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51D1">
      <w:pPr>
        <w:jc w:val="center"/>
        <w:rPr>
          <w:rFonts w:ascii="宋体" w:hAnsi="宋体" w:cs="宋体" w:hint="eastAsia"/>
          <w:b/>
          <w:bCs/>
          <w:sz w:val="30"/>
          <w:szCs w:val="30"/>
        </w:rPr>
      </w:pPr>
      <w:r>
        <w:rPr>
          <w:rFonts w:ascii="宋体" w:hAnsi="宋体" w:cs="宋体" w:hint="eastAsia"/>
          <w:b/>
          <w:bCs/>
          <w:sz w:val="30"/>
          <w:szCs w:val="30"/>
        </w:rPr>
        <w:t>博时基金</w:t>
      </w:r>
      <w:r>
        <w:rPr>
          <w:rFonts w:ascii="宋体" w:hAnsi="宋体" w:cs="宋体" w:hint="eastAsia"/>
          <w:b/>
          <w:bCs/>
          <w:sz w:val="30"/>
          <w:szCs w:val="30"/>
        </w:rPr>
        <w:t>管理有限公司关于</w:t>
      </w:r>
      <w:r>
        <w:rPr>
          <w:rFonts w:ascii="宋体" w:hAnsi="宋体" w:cs="宋体" w:hint="eastAsia"/>
          <w:b/>
          <w:bCs/>
          <w:sz w:val="30"/>
          <w:szCs w:val="30"/>
        </w:rPr>
        <w:t>调整</w:t>
      </w:r>
      <w:r>
        <w:rPr>
          <w:rFonts w:ascii="宋体" w:hAnsi="宋体" w:cs="宋体" w:hint="eastAsia"/>
          <w:b/>
          <w:bCs/>
          <w:sz w:val="30"/>
          <w:szCs w:val="30"/>
        </w:rPr>
        <w:t>博时黄金交易型开放式证券投资基金</w:t>
      </w:r>
      <w:r>
        <w:rPr>
          <w:rFonts w:ascii="宋体" w:hAnsi="宋体" w:cs="宋体" w:hint="eastAsia"/>
          <w:b/>
          <w:bCs/>
          <w:sz w:val="30"/>
          <w:szCs w:val="30"/>
        </w:rPr>
        <w:t>场内</w:t>
      </w:r>
      <w:r>
        <w:rPr>
          <w:rFonts w:ascii="宋体" w:hAnsi="宋体" w:cs="宋体" w:hint="eastAsia"/>
          <w:b/>
          <w:bCs/>
          <w:sz w:val="30"/>
          <w:szCs w:val="30"/>
        </w:rPr>
        <w:t>基金</w:t>
      </w:r>
      <w:r>
        <w:rPr>
          <w:rFonts w:ascii="宋体" w:hAnsi="宋体" w:cs="宋体" w:hint="eastAsia"/>
          <w:b/>
          <w:bCs/>
          <w:sz w:val="30"/>
          <w:szCs w:val="30"/>
        </w:rPr>
        <w:t>份额</w:t>
      </w:r>
      <w:r>
        <w:rPr>
          <w:rFonts w:ascii="宋体" w:hAnsi="宋体" w:cs="宋体" w:hint="eastAsia"/>
          <w:b/>
          <w:bCs/>
          <w:sz w:val="30"/>
          <w:szCs w:val="30"/>
        </w:rPr>
        <w:t>的</w:t>
      </w:r>
      <w:r>
        <w:rPr>
          <w:rFonts w:ascii="宋体" w:hAnsi="宋体" w:cs="宋体" w:hint="eastAsia"/>
          <w:b/>
          <w:bCs/>
          <w:sz w:val="30"/>
          <w:szCs w:val="30"/>
        </w:rPr>
        <w:t>最小申购、赎回单位</w:t>
      </w:r>
      <w:r>
        <w:rPr>
          <w:rFonts w:ascii="宋体" w:hAnsi="宋体" w:cs="宋体" w:hint="eastAsia"/>
          <w:b/>
          <w:bCs/>
          <w:sz w:val="30"/>
          <w:szCs w:val="30"/>
        </w:rPr>
        <w:t>与</w:t>
      </w:r>
      <w:r>
        <w:rPr>
          <w:rFonts w:ascii="宋体" w:hAnsi="宋体" w:cs="宋体" w:hint="eastAsia"/>
          <w:b/>
          <w:bCs/>
          <w:sz w:val="30"/>
          <w:szCs w:val="30"/>
        </w:rPr>
        <w:t>黄金现货合约</w:t>
      </w:r>
      <w:r>
        <w:rPr>
          <w:rFonts w:ascii="宋体" w:hAnsi="宋体" w:cs="宋体" w:hint="eastAsia"/>
          <w:b/>
          <w:bCs/>
          <w:sz w:val="30"/>
          <w:szCs w:val="30"/>
        </w:rPr>
        <w:t>申购、赎回对价并修改招募说明书</w:t>
      </w:r>
      <w:r>
        <w:rPr>
          <w:rFonts w:ascii="宋体" w:hAnsi="宋体" w:cs="宋体" w:hint="eastAsia"/>
          <w:b/>
          <w:bCs/>
          <w:sz w:val="30"/>
          <w:szCs w:val="30"/>
        </w:rPr>
        <w:t>的</w:t>
      </w:r>
      <w:r>
        <w:rPr>
          <w:rFonts w:ascii="宋体" w:hAnsi="宋体" w:cs="宋体" w:hint="eastAsia"/>
          <w:b/>
          <w:bCs/>
          <w:sz w:val="30"/>
          <w:szCs w:val="30"/>
        </w:rPr>
        <w:t>提示性</w:t>
      </w:r>
      <w:r>
        <w:rPr>
          <w:rFonts w:ascii="宋体" w:hAnsi="宋体" w:cs="宋体" w:hint="eastAsia"/>
          <w:b/>
          <w:bCs/>
          <w:sz w:val="30"/>
          <w:szCs w:val="30"/>
        </w:rPr>
        <w:t>公告</w:t>
      </w:r>
    </w:p>
    <w:p w:rsidR="00000000" w:rsidRDefault="004451D1">
      <w:pPr>
        <w:jc w:val="center"/>
        <w:rPr>
          <w:rFonts w:ascii="宋体" w:hAnsi="宋体" w:cs="宋体" w:hint="eastAsia"/>
          <w:sz w:val="24"/>
        </w:rPr>
      </w:pPr>
    </w:p>
    <w:p w:rsidR="00000000" w:rsidRDefault="004451D1">
      <w:pPr>
        <w:spacing w:line="360" w:lineRule="auto"/>
        <w:ind w:firstLineChars="200" w:firstLine="420"/>
        <w:rPr>
          <w:rFonts w:ascii="宋体" w:hAnsi="宋体" w:cs="宋体" w:hint="eastAsia"/>
          <w:szCs w:val="21"/>
        </w:rPr>
      </w:pPr>
      <w:r>
        <w:rPr>
          <w:rFonts w:ascii="宋体" w:hAnsi="宋体" w:cs="宋体" w:hint="eastAsia"/>
          <w:szCs w:val="21"/>
        </w:rPr>
        <w:t>根据基金投资运作需要</w:t>
      </w:r>
      <w:r>
        <w:rPr>
          <w:rFonts w:ascii="宋体" w:hAnsi="宋体" w:cs="宋体" w:hint="eastAsia"/>
          <w:szCs w:val="21"/>
        </w:rPr>
        <w:t>，</w:t>
      </w:r>
      <w:r>
        <w:rPr>
          <w:rFonts w:ascii="宋体" w:hAnsi="宋体" w:cs="宋体" w:hint="eastAsia"/>
          <w:szCs w:val="21"/>
        </w:rPr>
        <w:t>博时基金</w:t>
      </w:r>
      <w:r>
        <w:rPr>
          <w:rFonts w:ascii="宋体" w:hAnsi="宋体" w:cs="宋体" w:hint="eastAsia"/>
          <w:szCs w:val="21"/>
        </w:rPr>
        <w:t>管理有限公司（以下简称“本公司”）决定自</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w:t>
      </w:r>
      <w:r>
        <w:rPr>
          <w:rFonts w:ascii="宋体" w:hAnsi="宋体" w:cs="宋体" w:hint="eastAsia"/>
          <w:szCs w:val="21"/>
        </w:rPr>
        <w:t>起，调整</w:t>
      </w:r>
      <w:r>
        <w:rPr>
          <w:rFonts w:ascii="宋体" w:hAnsi="宋体" w:cs="宋体" w:hint="eastAsia"/>
          <w:szCs w:val="21"/>
        </w:rPr>
        <w:t>博时黄金交易型开放式证券投资基金（</w:t>
      </w:r>
      <w:r>
        <w:rPr>
          <w:rFonts w:ascii="宋体" w:hAnsi="宋体" w:cs="宋体" w:hint="eastAsia"/>
          <w:szCs w:val="21"/>
        </w:rPr>
        <w:t>以下简称“本基金”</w:t>
      </w:r>
      <w:r>
        <w:rPr>
          <w:rFonts w:ascii="宋体" w:hAnsi="宋体" w:cs="宋体" w:hint="eastAsia"/>
          <w:szCs w:val="21"/>
        </w:rPr>
        <w:t>）</w:t>
      </w:r>
      <w:r>
        <w:rPr>
          <w:rFonts w:ascii="宋体" w:hAnsi="宋体" w:cs="宋体" w:hint="eastAsia"/>
          <w:szCs w:val="21"/>
        </w:rPr>
        <w:t>场内份额</w:t>
      </w:r>
      <w:r>
        <w:rPr>
          <w:rFonts w:ascii="宋体" w:hAnsi="宋体" w:cs="宋体" w:hint="eastAsia"/>
          <w:szCs w:val="21"/>
        </w:rPr>
        <w:t>（</w:t>
      </w:r>
      <w:r>
        <w:rPr>
          <w:rFonts w:ascii="宋体" w:hAnsi="宋体" w:cs="宋体" w:hint="eastAsia"/>
          <w:szCs w:val="21"/>
        </w:rPr>
        <w:t>基金份额简称：博时黄金</w:t>
      </w:r>
      <w:r>
        <w:rPr>
          <w:rFonts w:ascii="宋体" w:hAnsi="宋体" w:cs="宋体" w:hint="eastAsia"/>
          <w:szCs w:val="21"/>
        </w:rPr>
        <w:t>ETF</w:t>
      </w:r>
      <w:r>
        <w:rPr>
          <w:rFonts w:ascii="宋体" w:hAnsi="宋体" w:cs="宋体" w:hint="eastAsia"/>
          <w:szCs w:val="21"/>
        </w:rPr>
        <w:t>，</w:t>
      </w:r>
      <w:r>
        <w:rPr>
          <w:rFonts w:ascii="宋体" w:hAnsi="宋体" w:cs="宋体" w:hint="eastAsia"/>
          <w:szCs w:val="21"/>
        </w:rPr>
        <w:t>基金代码</w:t>
      </w:r>
      <w:r>
        <w:rPr>
          <w:rFonts w:ascii="宋体" w:hAnsi="宋体" w:cs="宋体" w:hint="eastAsia"/>
          <w:szCs w:val="21"/>
        </w:rPr>
        <w:t>：</w:t>
      </w:r>
      <w:r>
        <w:rPr>
          <w:rFonts w:ascii="宋体" w:hAnsi="宋体" w:cs="宋体" w:hint="eastAsia"/>
          <w:szCs w:val="21"/>
        </w:rPr>
        <w:t>159937</w:t>
      </w:r>
      <w:r>
        <w:rPr>
          <w:rFonts w:ascii="宋体" w:hAnsi="宋体" w:cs="宋体" w:hint="eastAsia"/>
          <w:szCs w:val="21"/>
        </w:rPr>
        <w:t>，</w:t>
      </w:r>
      <w:r>
        <w:rPr>
          <w:rFonts w:ascii="宋体" w:hAnsi="宋体" w:cs="宋体" w:hint="eastAsia"/>
          <w:szCs w:val="21"/>
        </w:rPr>
        <w:t>场内简称：黄金</w:t>
      </w:r>
      <w:r>
        <w:rPr>
          <w:rFonts w:ascii="宋体" w:hAnsi="宋体" w:cs="宋体" w:hint="eastAsia"/>
          <w:szCs w:val="21"/>
        </w:rPr>
        <w:t>ETF</w:t>
      </w:r>
      <w:r>
        <w:rPr>
          <w:rFonts w:ascii="宋体" w:hAnsi="宋体" w:cs="宋体" w:hint="eastAsia"/>
          <w:szCs w:val="21"/>
        </w:rPr>
        <w:t>基金</w:t>
      </w:r>
      <w:r>
        <w:rPr>
          <w:rFonts w:ascii="宋体" w:hAnsi="宋体" w:cs="宋体" w:hint="eastAsia"/>
          <w:szCs w:val="21"/>
        </w:rPr>
        <w:t>）</w:t>
      </w:r>
      <w:r>
        <w:rPr>
          <w:rFonts w:ascii="宋体" w:hAnsi="宋体" w:cs="宋体" w:hint="eastAsia"/>
          <w:szCs w:val="21"/>
        </w:rPr>
        <w:t>的最小申购、赎回单位与</w:t>
      </w:r>
      <w:r>
        <w:rPr>
          <w:rFonts w:ascii="宋体" w:hAnsi="宋体" w:cs="宋体" w:hint="eastAsia"/>
          <w:szCs w:val="21"/>
        </w:rPr>
        <w:t>黄金</w:t>
      </w:r>
      <w:r>
        <w:rPr>
          <w:rFonts w:ascii="宋体" w:hAnsi="宋体" w:cs="宋体" w:hint="eastAsia"/>
          <w:szCs w:val="21"/>
        </w:rPr>
        <w:t>现货</w:t>
      </w:r>
      <w:r>
        <w:rPr>
          <w:rFonts w:ascii="宋体" w:hAnsi="宋体" w:cs="宋体" w:hint="eastAsia"/>
          <w:szCs w:val="21"/>
        </w:rPr>
        <w:t>合约</w:t>
      </w:r>
      <w:r>
        <w:rPr>
          <w:rFonts w:ascii="宋体" w:hAnsi="宋体" w:cs="宋体" w:hint="eastAsia"/>
          <w:szCs w:val="21"/>
        </w:rPr>
        <w:t>申购、赎回对价，并相应修改招募说明书相关条款。</w:t>
      </w:r>
    </w:p>
    <w:p w:rsidR="00000000" w:rsidRDefault="004451D1">
      <w:pPr>
        <w:spacing w:line="360" w:lineRule="auto"/>
        <w:ind w:firstLineChars="200" w:firstLine="420"/>
        <w:rPr>
          <w:rFonts w:ascii="宋体" w:hAnsi="宋体" w:cs="宋体" w:hint="eastAsia"/>
          <w:szCs w:val="21"/>
        </w:rPr>
      </w:pPr>
    </w:p>
    <w:p w:rsidR="00000000" w:rsidRDefault="004451D1">
      <w:pPr>
        <w:spacing w:line="360" w:lineRule="auto"/>
        <w:ind w:firstLineChars="200" w:firstLine="422"/>
        <w:rPr>
          <w:rFonts w:ascii="宋体" w:hAnsi="宋体" w:cs="宋体" w:hint="eastAsia"/>
          <w:b/>
          <w:bCs/>
          <w:szCs w:val="21"/>
        </w:rPr>
      </w:pPr>
      <w:r>
        <w:rPr>
          <w:rFonts w:ascii="宋体" w:hAnsi="宋体" w:cs="宋体" w:hint="eastAsia"/>
          <w:b/>
          <w:bCs/>
          <w:szCs w:val="21"/>
        </w:rPr>
        <w:t>一、调整内容</w:t>
      </w:r>
    </w:p>
    <w:p w:rsidR="00000000" w:rsidRDefault="004451D1">
      <w:pPr>
        <w:pStyle w:val="a4"/>
        <w:spacing w:before="0" w:beforeAutospacing="0" w:after="0" w:afterAutospacing="0" w:line="360" w:lineRule="auto"/>
        <w:ind w:firstLine="420"/>
        <w:rPr>
          <w:rFonts w:hint="eastAsia"/>
          <w:sz w:val="21"/>
          <w:szCs w:val="21"/>
        </w:rPr>
      </w:pPr>
      <w:r>
        <w:rPr>
          <w:rFonts w:hint="eastAsia"/>
          <w:sz w:val="21"/>
          <w:szCs w:val="21"/>
        </w:rPr>
        <w:t>1</w:t>
      </w:r>
      <w:r>
        <w:rPr>
          <w:rFonts w:hint="eastAsia"/>
          <w:sz w:val="21"/>
          <w:szCs w:val="21"/>
        </w:rPr>
        <w:t>、</w:t>
      </w:r>
      <w:r>
        <w:rPr>
          <w:rFonts w:hint="eastAsia"/>
          <w:sz w:val="21"/>
          <w:szCs w:val="21"/>
        </w:rPr>
        <w:t>自</w:t>
      </w:r>
      <w:r>
        <w:rPr>
          <w:rFonts w:hint="eastAsia"/>
          <w:sz w:val="21"/>
          <w:szCs w:val="21"/>
        </w:rPr>
        <w:t>2025</w:t>
      </w:r>
      <w:r>
        <w:rPr>
          <w:rFonts w:hint="eastAsia"/>
          <w:sz w:val="21"/>
          <w:szCs w:val="21"/>
        </w:rPr>
        <w:t>年</w:t>
      </w:r>
      <w:r>
        <w:rPr>
          <w:rFonts w:hint="eastAsia"/>
          <w:sz w:val="21"/>
          <w:szCs w:val="21"/>
        </w:rPr>
        <w:t>1</w:t>
      </w:r>
      <w:r>
        <w:rPr>
          <w:rFonts w:hint="eastAsia"/>
          <w:sz w:val="21"/>
          <w:szCs w:val="21"/>
        </w:rPr>
        <w:t>1</w:t>
      </w:r>
      <w:r>
        <w:rPr>
          <w:rFonts w:hint="eastAsia"/>
          <w:sz w:val="21"/>
          <w:szCs w:val="21"/>
        </w:rPr>
        <w:t>月</w:t>
      </w:r>
      <w:r>
        <w:rPr>
          <w:rFonts w:hint="eastAsia"/>
          <w:sz w:val="21"/>
          <w:szCs w:val="21"/>
        </w:rPr>
        <w:t>17</w:t>
      </w:r>
      <w:r>
        <w:rPr>
          <w:rFonts w:hint="eastAsia"/>
          <w:sz w:val="21"/>
          <w:szCs w:val="21"/>
        </w:rPr>
        <w:t>日</w:t>
      </w:r>
      <w:r>
        <w:rPr>
          <w:rFonts w:hint="eastAsia"/>
          <w:sz w:val="21"/>
          <w:szCs w:val="21"/>
        </w:rPr>
        <w:t>起，</w:t>
      </w:r>
      <w:r>
        <w:rPr>
          <w:rFonts w:hint="eastAsia"/>
          <w:sz w:val="21"/>
          <w:szCs w:val="21"/>
        </w:rPr>
        <w:t>本基金</w:t>
      </w:r>
      <w:r>
        <w:rPr>
          <w:rFonts w:hint="eastAsia"/>
          <w:sz w:val="21"/>
          <w:szCs w:val="21"/>
        </w:rPr>
        <w:t>场内</w:t>
      </w:r>
      <w:r>
        <w:rPr>
          <w:rFonts w:hint="eastAsia"/>
          <w:sz w:val="21"/>
          <w:szCs w:val="21"/>
        </w:rPr>
        <w:t>基金</w:t>
      </w:r>
      <w:r>
        <w:rPr>
          <w:rFonts w:hint="eastAsia"/>
          <w:sz w:val="21"/>
          <w:szCs w:val="21"/>
        </w:rPr>
        <w:t>份额</w:t>
      </w:r>
      <w:r>
        <w:rPr>
          <w:rFonts w:hint="eastAsia"/>
          <w:sz w:val="21"/>
          <w:szCs w:val="21"/>
        </w:rPr>
        <w:t>的最小申购、赎回单位</w:t>
      </w:r>
      <w:r>
        <w:rPr>
          <w:rFonts w:hint="eastAsia"/>
          <w:sz w:val="21"/>
          <w:szCs w:val="21"/>
        </w:rPr>
        <w:t>由</w:t>
      </w:r>
      <w:r>
        <w:rPr>
          <w:rFonts w:hint="eastAsia"/>
          <w:sz w:val="21"/>
          <w:szCs w:val="21"/>
        </w:rPr>
        <w:t>30</w:t>
      </w:r>
      <w:r>
        <w:rPr>
          <w:rFonts w:hint="eastAsia"/>
          <w:sz w:val="21"/>
          <w:szCs w:val="21"/>
        </w:rPr>
        <w:t>万份调整</w:t>
      </w:r>
      <w:r>
        <w:rPr>
          <w:rFonts w:hint="eastAsia"/>
          <w:sz w:val="21"/>
          <w:szCs w:val="21"/>
        </w:rPr>
        <w:t>为</w:t>
      </w:r>
      <w:r>
        <w:rPr>
          <w:rFonts w:hint="eastAsia"/>
          <w:sz w:val="21"/>
          <w:szCs w:val="21"/>
        </w:rPr>
        <w:t>10</w:t>
      </w:r>
      <w:r>
        <w:rPr>
          <w:rFonts w:hint="eastAsia"/>
          <w:sz w:val="21"/>
          <w:szCs w:val="21"/>
        </w:rPr>
        <w:t>万份</w:t>
      </w:r>
      <w:r>
        <w:rPr>
          <w:rFonts w:hint="eastAsia"/>
          <w:sz w:val="21"/>
          <w:szCs w:val="21"/>
        </w:rPr>
        <w:t>，对应黄金现货合约最小申购、赎回单位由</w:t>
      </w:r>
      <w:r>
        <w:rPr>
          <w:rFonts w:hint="eastAsia"/>
          <w:sz w:val="21"/>
          <w:szCs w:val="21"/>
        </w:rPr>
        <w:t>3,000</w:t>
      </w:r>
      <w:r>
        <w:rPr>
          <w:rFonts w:hint="eastAsia"/>
          <w:sz w:val="21"/>
          <w:szCs w:val="21"/>
        </w:rPr>
        <w:t>克调整为</w:t>
      </w:r>
      <w:r>
        <w:rPr>
          <w:rFonts w:hint="eastAsia"/>
          <w:sz w:val="21"/>
          <w:szCs w:val="21"/>
        </w:rPr>
        <w:t>1,000</w:t>
      </w:r>
      <w:r>
        <w:rPr>
          <w:rFonts w:hint="eastAsia"/>
          <w:sz w:val="21"/>
          <w:szCs w:val="21"/>
        </w:rPr>
        <w:t>克。</w:t>
      </w:r>
    </w:p>
    <w:p w:rsidR="00000000" w:rsidRDefault="004451D1">
      <w:pPr>
        <w:pStyle w:val="a4"/>
        <w:widowControl w:val="0"/>
        <w:adjustRightInd w:val="0"/>
        <w:snapToGrid w:val="0"/>
        <w:spacing w:before="0" w:beforeAutospacing="0" w:after="0" w:afterAutospacing="0" w:line="360" w:lineRule="auto"/>
        <w:ind w:firstLine="420"/>
        <w:jc w:val="both"/>
        <w:rPr>
          <w:rFonts w:hint="eastAsia"/>
          <w:sz w:val="21"/>
          <w:szCs w:val="21"/>
        </w:rPr>
      </w:pPr>
      <w:r>
        <w:rPr>
          <w:rFonts w:hint="eastAsia"/>
          <w:sz w:val="21"/>
          <w:szCs w:val="21"/>
        </w:rPr>
        <w:t>2</w:t>
      </w:r>
      <w:r>
        <w:rPr>
          <w:rFonts w:hint="eastAsia"/>
          <w:sz w:val="21"/>
          <w:szCs w:val="21"/>
        </w:rPr>
        <w:t>、自</w:t>
      </w:r>
      <w:r>
        <w:rPr>
          <w:rFonts w:hint="eastAsia"/>
          <w:sz w:val="21"/>
          <w:szCs w:val="21"/>
        </w:rPr>
        <w:t>2025</w:t>
      </w:r>
      <w:r>
        <w:rPr>
          <w:rFonts w:hint="eastAsia"/>
          <w:sz w:val="21"/>
          <w:szCs w:val="21"/>
        </w:rPr>
        <w:t>年</w:t>
      </w:r>
      <w:r>
        <w:rPr>
          <w:rFonts w:hint="eastAsia"/>
          <w:sz w:val="21"/>
          <w:szCs w:val="21"/>
        </w:rPr>
        <w:t>11</w:t>
      </w:r>
      <w:r>
        <w:rPr>
          <w:rFonts w:hint="eastAsia"/>
          <w:sz w:val="21"/>
          <w:szCs w:val="21"/>
        </w:rPr>
        <w:t>月</w:t>
      </w:r>
      <w:r>
        <w:rPr>
          <w:rFonts w:hint="eastAsia"/>
          <w:sz w:val="21"/>
          <w:szCs w:val="21"/>
        </w:rPr>
        <w:t>17</w:t>
      </w:r>
      <w:r>
        <w:rPr>
          <w:rFonts w:hint="eastAsia"/>
          <w:sz w:val="21"/>
          <w:szCs w:val="21"/>
        </w:rPr>
        <w:t>日起，投资者办理本基金</w:t>
      </w:r>
      <w:r>
        <w:rPr>
          <w:rFonts w:hint="eastAsia"/>
          <w:sz w:val="21"/>
          <w:szCs w:val="21"/>
        </w:rPr>
        <w:t>场内基金份额</w:t>
      </w:r>
      <w:r>
        <w:rPr>
          <w:rFonts w:hint="eastAsia"/>
          <w:sz w:val="21"/>
          <w:szCs w:val="21"/>
        </w:rPr>
        <w:t>黄金现货合约申购赎回业务时，申购赎回对价中的黄金现货合约仅为上海黄金交易所</w:t>
      </w:r>
      <w:r>
        <w:rPr>
          <w:rFonts w:hint="eastAsia"/>
          <w:sz w:val="21"/>
          <w:szCs w:val="21"/>
        </w:rPr>
        <w:t>Au99.99</w:t>
      </w:r>
      <w:r>
        <w:rPr>
          <w:rFonts w:hint="eastAsia"/>
          <w:sz w:val="21"/>
          <w:szCs w:val="21"/>
        </w:rPr>
        <w:t>合约，不再包括上海黄金交易所</w:t>
      </w:r>
      <w:r>
        <w:rPr>
          <w:rFonts w:hint="eastAsia"/>
          <w:sz w:val="21"/>
          <w:szCs w:val="21"/>
        </w:rPr>
        <w:t>Au99.95</w:t>
      </w:r>
      <w:r>
        <w:rPr>
          <w:rFonts w:hint="eastAsia"/>
          <w:sz w:val="21"/>
          <w:szCs w:val="21"/>
        </w:rPr>
        <w:t>合约。具体黄金现货合约种类及相关信息请见开放日的黄金现货合约申购赎回清单，投资者亦应根据开放日的黄金现货合约申购赎回清单办理黄金现货合约申购赎回业务。</w:t>
      </w:r>
    </w:p>
    <w:p w:rsidR="00000000" w:rsidRDefault="004451D1">
      <w:pPr>
        <w:pStyle w:val="a4"/>
        <w:widowControl w:val="0"/>
        <w:adjustRightInd w:val="0"/>
        <w:snapToGrid w:val="0"/>
        <w:spacing w:before="0" w:beforeAutospacing="0" w:after="0" w:afterAutospacing="0" w:line="360" w:lineRule="auto"/>
        <w:ind w:firstLine="420"/>
        <w:rPr>
          <w:rFonts w:hint="eastAsia"/>
          <w:sz w:val="21"/>
          <w:szCs w:val="21"/>
        </w:rPr>
      </w:pPr>
    </w:p>
    <w:p w:rsidR="00000000" w:rsidRDefault="004451D1">
      <w:pPr>
        <w:adjustRightInd w:val="0"/>
        <w:snapToGrid w:val="0"/>
        <w:spacing w:line="360" w:lineRule="auto"/>
        <w:ind w:firstLineChars="200" w:firstLine="422"/>
        <w:rPr>
          <w:rFonts w:ascii="sans-serif" w:hAnsi="sans-serif" w:cs="sans-serif"/>
          <w:b/>
          <w:bCs/>
          <w:sz w:val="20"/>
          <w:szCs w:val="20"/>
          <w:shd w:val="clear" w:color="auto" w:fill="FFFFFF"/>
        </w:rPr>
      </w:pPr>
      <w:r>
        <w:rPr>
          <w:rFonts w:ascii="宋体" w:hAnsi="宋体" w:cs="宋体" w:hint="eastAsia"/>
          <w:b/>
          <w:bCs/>
          <w:szCs w:val="21"/>
        </w:rPr>
        <w:t>二、</w:t>
      </w:r>
      <w:r>
        <w:rPr>
          <w:rFonts w:ascii="sans-serif" w:eastAsia="sans-serif" w:hAnsi="sans-serif" w:cs="sans-serif"/>
          <w:b/>
          <w:bCs/>
          <w:sz w:val="20"/>
          <w:szCs w:val="20"/>
          <w:shd w:val="clear" w:color="auto" w:fill="FFFFFF"/>
        </w:rPr>
        <w:t>招募说明书</w:t>
      </w:r>
      <w:r>
        <w:rPr>
          <w:rFonts w:ascii="sans-serif" w:hAnsi="sans-serif" w:cs="sans-serif" w:hint="eastAsia"/>
          <w:b/>
          <w:bCs/>
          <w:sz w:val="20"/>
          <w:szCs w:val="20"/>
          <w:shd w:val="clear" w:color="auto" w:fill="FFFFFF"/>
        </w:rPr>
        <w:t>相关条</w:t>
      </w:r>
      <w:r>
        <w:rPr>
          <w:rFonts w:ascii="sans-serif" w:hAnsi="sans-serif" w:cs="sans-serif" w:hint="eastAsia"/>
          <w:b/>
          <w:bCs/>
          <w:sz w:val="20"/>
          <w:szCs w:val="20"/>
          <w:shd w:val="clear" w:color="auto" w:fill="FFFFFF"/>
        </w:rPr>
        <w:t>款修订</w:t>
      </w:r>
    </w:p>
    <w:tbl>
      <w:tblPr>
        <w:tblW w:w="5444" w:type="pct"/>
        <w:jc w:val="center"/>
        <w:tblInd w:w="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54"/>
        <w:gridCol w:w="4212"/>
        <w:gridCol w:w="4213"/>
      </w:tblGrid>
      <w:tr w:rsidR="00000000">
        <w:trPr>
          <w:trHeight w:val="490"/>
          <w:jc w:val="center"/>
        </w:trPr>
        <w:tc>
          <w:tcPr>
            <w:tcW w:w="854" w:type="dxa"/>
          </w:tcPr>
          <w:p w:rsidR="00000000" w:rsidRDefault="004451D1">
            <w:pPr>
              <w:pStyle w:val="1"/>
              <w:keepNext w:val="0"/>
              <w:keepLines w:val="0"/>
              <w:rPr>
                <w:rFonts w:cs="宋体" w:hint="eastAsia"/>
                <w:sz w:val="21"/>
              </w:rPr>
            </w:pPr>
            <w:r>
              <w:rPr>
                <w:rFonts w:cs="宋体" w:hint="eastAsia"/>
                <w:sz w:val="21"/>
              </w:rPr>
              <w:t>章节</w:t>
            </w:r>
          </w:p>
        </w:tc>
        <w:tc>
          <w:tcPr>
            <w:tcW w:w="4212" w:type="dxa"/>
          </w:tcPr>
          <w:p w:rsidR="00000000" w:rsidRDefault="004451D1">
            <w:pPr>
              <w:adjustRightInd w:val="0"/>
              <w:snapToGrid w:val="0"/>
              <w:spacing w:line="360" w:lineRule="auto"/>
              <w:ind w:firstLineChars="200" w:firstLine="422"/>
              <w:jc w:val="center"/>
              <w:rPr>
                <w:rFonts w:ascii="宋体" w:hAnsi="宋体" w:cs="宋体"/>
                <w:b/>
                <w:bCs/>
                <w:color w:val="0C0C0C"/>
                <w:kern w:val="0"/>
                <w:szCs w:val="21"/>
              </w:rPr>
            </w:pPr>
            <w:r>
              <w:rPr>
                <w:rFonts w:ascii="宋体" w:hAnsi="宋体" w:cs="宋体" w:hint="eastAsia"/>
                <w:b/>
                <w:bCs/>
                <w:color w:val="0C0C0C"/>
                <w:kern w:val="0"/>
                <w:szCs w:val="21"/>
              </w:rPr>
              <w:t>修订前</w:t>
            </w:r>
          </w:p>
        </w:tc>
        <w:tc>
          <w:tcPr>
            <w:tcW w:w="4213" w:type="dxa"/>
          </w:tcPr>
          <w:p w:rsidR="00000000" w:rsidRDefault="004451D1">
            <w:pPr>
              <w:adjustRightInd w:val="0"/>
              <w:snapToGrid w:val="0"/>
              <w:spacing w:line="360" w:lineRule="auto"/>
              <w:ind w:firstLineChars="200" w:firstLine="422"/>
              <w:jc w:val="center"/>
              <w:rPr>
                <w:rFonts w:ascii="宋体" w:hAnsi="宋体" w:cs="宋体"/>
                <w:b/>
                <w:bCs/>
                <w:color w:val="0C0C0C"/>
                <w:kern w:val="0"/>
                <w:szCs w:val="21"/>
              </w:rPr>
            </w:pPr>
            <w:r>
              <w:rPr>
                <w:rFonts w:ascii="宋体" w:hAnsi="宋体" w:cs="宋体" w:hint="eastAsia"/>
                <w:b/>
                <w:bCs/>
                <w:color w:val="0C0C0C"/>
                <w:kern w:val="0"/>
                <w:szCs w:val="21"/>
              </w:rPr>
              <w:t>修订后</w:t>
            </w:r>
          </w:p>
        </w:tc>
      </w:tr>
      <w:tr w:rsidR="00000000">
        <w:trPr>
          <w:trHeight w:val="90"/>
          <w:jc w:val="center"/>
        </w:trPr>
        <w:tc>
          <w:tcPr>
            <w:tcW w:w="854" w:type="dxa"/>
          </w:tcPr>
          <w:p w:rsidR="00000000" w:rsidRDefault="004451D1">
            <w:pPr>
              <w:pStyle w:val="1"/>
              <w:keepNext w:val="0"/>
              <w:keepLines w:val="0"/>
              <w:rPr>
                <w:rFonts w:cs="宋体" w:hint="eastAsia"/>
                <w:sz w:val="21"/>
              </w:rPr>
            </w:pPr>
            <w:r>
              <w:rPr>
                <w:rFonts w:cs="宋体" w:hint="eastAsia"/>
                <w:sz w:val="21"/>
              </w:rPr>
              <w:t>第十部分基金份额的申购与赎回</w:t>
            </w:r>
          </w:p>
        </w:tc>
        <w:tc>
          <w:tcPr>
            <w:tcW w:w="4212" w:type="dxa"/>
          </w:tcPr>
          <w:p w:rsidR="00000000" w:rsidRDefault="004451D1">
            <w:pPr>
              <w:pStyle w:val="a4"/>
              <w:widowControl w:val="0"/>
              <w:adjustRightInd w:val="0"/>
              <w:snapToGrid w:val="0"/>
              <w:spacing w:before="0" w:beforeAutospacing="0" w:after="0" w:afterAutospacing="0"/>
              <w:ind w:firstLine="420"/>
              <w:rPr>
                <w:sz w:val="21"/>
                <w:szCs w:val="21"/>
              </w:rPr>
            </w:pPr>
            <w:r>
              <w:rPr>
                <w:rFonts w:hint="eastAsia"/>
                <w:sz w:val="21"/>
                <w:szCs w:val="21"/>
              </w:rPr>
              <w:t>5</w:t>
            </w:r>
            <w:r>
              <w:rPr>
                <w:rFonts w:hint="eastAsia"/>
                <w:sz w:val="21"/>
                <w:szCs w:val="21"/>
              </w:rPr>
              <w:t>、申购与赎回的数额限制</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sz w:val="21"/>
                <w:szCs w:val="21"/>
              </w:rPr>
            </w:pPr>
            <w:r>
              <w:rPr>
                <w:rFonts w:hint="eastAsia"/>
                <w:sz w:val="21"/>
                <w:szCs w:val="21"/>
              </w:rPr>
              <w:t>（</w:t>
            </w:r>
            <w:r>
              <w:rPr>
                <w:rFonts w:hint="eastAsia"/>
                <w:sz w:val="21"/>
                <w:szCs w:val="21"/>
              </w:rPr>
              <w:t>1</w:t>
            </w:r>
            <w:r>
              <w:rPr>
                <w:rFonts w:hint="eastAsia"/>
                <w:sz w:val="21"/>
                <w:szCs w:val="21"/>
              </w:rPr>
              <w:t>）投资者现券申购、赎回本基金场内份额，须按现券申购、赎回的最小申购、赎回单位的整数倍提交申请。投资者现金申购、赎回本基金场内份额，须按现金申购、赎回的最小申购、赎回单位的整数倍提交申请。</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目前，本基金场内份额的最小申购、赎回单位为</w:t>
            </w:r>
            <w:r>
              <w:rPr>
                <w:rFonts w:hint="eastAsia"/>
                <w:b/>
                <w:bCs/>
                <w:strike/>
                <w:sz w:val="21"/>
                <w:szCs w:val="21"/>
              </w:rPr>
              <w:t>30</w:t>
            </w:r>
            <w:r>
              <w:rPr>
                <w:rFonts w:hint="eastAsia"/>
                <w:sz w:val="21"/>
                <w:szCs w:val="21"/>
              </w:rPr>
              <w:t>万份。</w:t>
            </w:r>
          </w:p>
          <w:p w:rsidR="00000000" w:rsidRDefault="004451D1">
            <w:pPr>
              <w:pStyle w:val="a4"/>
              <w:widowControl w:val="0"/>
              <w:adjustRightInd w:val="0"/>
              <w:snapToGrid w:val="0"/>
              <w:spacing w:before="0" w:beforeAutospacing="0" w:after="0" w:afterAutospacing="0"/>
              <w:ind w:firstLine="420"/>
              <w:rPr>
                <w:rFonts w:hint="eastAsia"/>
                <w:b/>
                <w:sz w:val="21"/>
                <w:szCs w:val="21"/>
              </w:rPr>
            </w:pPr>
            <w:r>
              <w:rPr>
                <w:rFonts w:hint="eastAsia"/>
                <w:sz w:val="21"/>
                <w:szCs w:val="21"/>
              </w:rPr>
              <w:t>投资者提出场内份额的现券申购申请前须按</w:t>
            </w:r>
            <w:r>
              <w:rPr>
                <w:rFonts w:hint="eastAsia"/>
                <w:b/>
                <w:bCs/>
                <w:strike/>
                <w:sz w:val="21"/>
                <w:szCs w:val="21"/>
              </w:rPr>
              <w:t>3000</w:t>
            </w:r>
            <w:r>
              <w:rPr>
                <w:rFonts w:hint="eastAsia"/>
                <w:sz w:val="21"/>
                <w:szCs w:val="21"/>
              </w:rPr>
              <w:t>克或其整数倍备足用于申购的</w:t>
            </w:r>
            <w:r>
              <w:rPr>
                <w:rFonts w:hint="eastAsia"/>
                <w:b/>
                <w:bCs/>
                <w:strike/>
                <w:sz w:val="21"/>
                <w:szCs w:val="21"/>
              </w:rPr>
              <w:t>AU99.95</w:t>
            </w:r>
            <w:r>
              <w:rPr>
                <w:rFonts w:hint="eastAsia"/>
                <w:b/>
                <w:bCs/>
                <w:strike/>
                <w:sz w:val="21"/>
                <w:szCs w:val="21"/>
              </w:rPr>
              <w:t>或</w:t>
            </w:r>
            <w:r>
              <w:rPr>
                <w:rFonts w:hint="eastAsia"/>
                <w:sz w:val="21"/>
                <w:szCs w:val="21"/>
              </w:rPr>
              <w:t>AU99.99</w:t>
            </w:r>
            <w:r>
              <w:rPr>
                <w:rFonts w:hint="eastAsia"/>
                <w:sz w:val="21"/>
                <w:szCs w:val="21"/>
              </w:rPr>
              <w:t>现货实盘合约</w:t>
            </w:r>
            <w:r>
              <w:rPr>
                <w:rFonts w:hint="eastAsia"/>
                <w:b/>
                <w:bCs/>
                <w:strike/>
                <w:sz w:val="21"/>
                <w:szCs w:val="21"/>
              </w:rPr>
              <w:t>，或</w:t>
            </w:r>
            <w:r>
              <w:rPr>
                <w:rFonts w:hint="eastAsia"/>
                <w:b/>
                <w:bCs/>
                <w:strike/>
                <w:sz w:val="21"/>
                <w:szCs w:val="21"/>
              </w:rPr>
              <w:t>AU99.95</w:t>
            </w:r>
            <w:r>
              <w:rPr>
                <w:rFonts w:hint="eastAsia"/>
                <w:b/>
                <w:bCs/>
                <w:strike/>
                <w:sz w:val="21"/>
                <w:szCs w:val="21"/>
              </w:rPr>
              <w:t>和</w:t>
            </w:r>
            <w:r>
              <w:rPr>
                <w:rFonts w:hint="eastAsia"/>
                <w:b/>
                <w:bCs/>
                <w:strike/>
                <w:sz w:val="21"/>
                <w:szCs w:val="21"/>
              </w:rPr>
              <w:t>AU99.99</w:t>
            </w:r>
            <w:r>
              <w:rPr>
                <w:rFonts w:hint="eastAsia"/>
                <w:b/>
                <w:bCs/>
                <w:strike/>
                <w:sz w:val="21"/>
                <w:szCs w:val="21"/>
              </w:rPr>
              <w:t>两种现货实盘合约的组合</w:t>
            </w:r>
            <w:r>
              <w:rPr>
                <w:rFonts w:hint="eastAsia"/>
                <w:sz w:val="21"/>
                <w:szCs w:val="21"/>
              </w:rPr>
              <w:t>。</w:t>
            </w:r>
          </w:p>
        </w:tc>
        <w:tc>
          <w:tcPr>
            <w:tcW w:w="4213" w:type="dxa"/>
          </w:tcPr>
          <w:p w:rsidR="00000000" w:rsidRDefault="004451D1">
            <w:pPr>
              <w:pStyle w:val="a4"/>
              <w:widowControl w:val="0"/>
              <w:adjustRightInd w:val="0"/>
              <w:snapToGrid w:val="0"/>
              <w:spacing w:before="0" w:beforeAutospacing="0" w:after="0" w:afterAutospacing="0"/>
              <w:ind w:firstLine="420"/>
              <w:rPr>
                <w:sz w:val="21"/>
                <w:szCs w:val="21"/>
              </w:rPr>
            </w:pPr>
            <w:r>
              <w:rPr>
                <w:rFonts w:hint="eastAsia"/>
                <w:sz w:val="21"/>
                <w:szCs w:val="21"/>
              </w:rPr>
              <w:t>5</w:t>
            </w:r>
            <w:r>
              <w:rPr>
                <w:rFonts w:hint="eastAsia"/>
                <w:sz w:val="21"/>
                <w:szCs w:val="21"/>
              </w:rPr>
              <w:t>、申购与赎回的数额限制</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sz w:val="21"/>
                <w:szCs w:val="21"/>
              </w:rPr>
            </w:pPr>
            <w:r>
              <w:rPr>
                <w:rFonts w:hint="eastAsia"/>
                <w:sz w:val="21"/>
                <w:szCs w:val="21"/>
              </w:rPr>
              <w:t>（</w:t>
            </w:r>
            <w:r>
              <w:rPr>
                <w:rFonts w:hint="eastAsia"/>
                <w:sz w:val="21"/>
                <w:szCs w:val="21"/>
              </w:rPr>
              <w:t>1</w:t>
            </w:r>
            <w:r>
              <w:rPr>
                <w:rFonts w:hint="eastAsia"/>
                <w:sz w:val="21"/>
                <w:szCs w:val="21"/>
              </w:rPr>
              <w:t>）投资者现券申购、赎回本基金场内份额，须按现券申购、赎回的最小申购、赎回单位的整数倍提交申请。投资者现金申购、赎回本基金场内份额，须按现金申购、赎回的最小申购、赎回单位的整数倍提交申请。</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sz w:val="21"/>
                <w:szCs w:val="21"/>
              </w:rPr>
            </w:pPr>
            <w:r>
              <w:rPr>
                <w:rFonts w:hint="eastAsia"/>
                <w:sz w:val="21"/>
                <w:szCs w:val="21"/>
              </w:rPr>
              <w:t>目前，本基金场内份额的最小申购、赎回单位为</w:t>
            </w:r>
            <w:r>
              <w:rPr>
                <w:rFonts w:hint="eastAsia"/>
                <w:b/>
                <w:bCs/>
                <w:sz w:val="21"/>
                <w:szCs w:val="21"/>
                <w:u w:val="single"/>
              </w:rPr>
              <w:t>10</w:t>
            </w:r>
            <w:r>
              <w:rPr>
                <w:rFonts w:hint="eastAsia"/>
                <w:sz w:val="21"/>
                <w:szCs w:val="21"/>
              </w:rPr>
              <w:t>万份。</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rFonts w:hint="eastAsia"/>
                <w:b/>
                <w:sz w:val="21"/>
                <w:szCs w:val="21"/>
              </w:rPr>
            </w:pPr>
            <w:r>
              <w:rPr>
                <w:rFonts w:hint="eastAsia"/>
                <w:sz w:val="21"/>
                <w:szCs w:val="21"/>
              </w:rPr>
              <w:t>投资者提出场内份额的现券申购申请前须按</w:t>
            </w:r>
            <w:r>
              <w:rPr>
                <w:rFonts w:hint="eastAsia"/>
                <w:b/>
                <w:bCs/>
                <w:sz w:val="21"/>
                <w:szCs w:val="21"/>
                <w:u w:val="single"/>
              </w:rPr>
              <w:t>1</w:t>
            </w:r>
            <w:r>
              <w:rPr>
                <w:rFonts w:hint="eastAsia"/>
                <w:b/>
                <w:bCs/>
                <w:sz w:val="21"/>
                <w:szCs w:val="21"/>
                <w:u w:val="single"/>
              </w:rPr>
              <w:t>000</w:t>
            </w:r>
            <w:r>
              <w:rPr>
                <w:rFonts w:hint="eastAsia"/>
                <w:sz w:val="21"/>
                <w:szCs w:val="21"/>
              </w:rPr>
              <w:t>克或其整数倍备足用于申购的</w:t>
            </w:r>
            <w:r>
              <w:rPr>
                <w:rFonts w:hint="eastAsia"/>
                <w:sz w:val="21"/>
                <w:szCs w:val="21"/>
              </w:rPr>
              <w:t>AU99.99</w:t>
            </w:r>
            <w:r>
              <w:rPr>
                <w:rFonts w:hint="eastAsia"/>
                <w:sz w:val="21"/>
                <w:szCs w:val="21"/>
              </w:rPr>
              <w:t>现货实盘合约。</w:t>
            </w:r>
            <w:r>
              <w:rPr>
                <w:rFonts w:hint="eastAsia"/>
                <w:sz w:val="21"/>
                <w:szCs w:val="21"/>
              </w:rPr>
              <w:t xml:space="preserve"> </w:t>
            </w:r>
          </w:p>
        </w:tc>
      </w:tr>
      <w:tr w:rsidR="00000000">
        <w:trPr>
          <w:trHeight w:val="2822"/>
          <w:jc w:val="center"/>
        </w:trPr>
        <w:tc>
          <w:tcPr>
            <w:tcW w:w="854" w:type="dxa"/>
          </w:tcPr>
          <w:p w:rsidR="00000000" w:rsidRDefault="004451D1">
            <w:pPr>
              <w:pStyle w:val="1"/>
              <w:rPr>
                <w:rFonts w:cs="宋体" w:hint="eastAsia"/>
                <w:sz w:val="21"/>
              </w:rPr>
            </w:pPr>
            <w:r>
              <w:rPr>
                <w:rFonts w:cs="宋体" w:hint="eastAsia"/>
                <w:sz w:val="21"/>
              </w:rPr>
              <w:lastRenderedPageBreak/>
              <w:t>第十部分基金份额的申购与赎回</w:t>
            </w:r>
          </w:p>
        </w:tc>
        <w:tc>
          <w:tcPr>
            <w:tcW w:w="4212" w:type="dxa"/>
          </w:tcPr>
          <w:p w:rsidR="00000000" w:rsidRDefault="004451D1">
            <w:pPr>
              <w:pStyle w:val="a4"/>
              <w:spacing w:before="0" w:beforeAutospacing="0" w:after="0" w:afterAutospacing="0" w:line="360" w:lineRule="auto"/>
              <w:ind w:firstLine="420"/>
              <w:rPr>
                <w:rStyle w:val="a6"/>
                <w:rFonts w:hint="eastAsia"/>
                <w:sz w:val="21"/>
                <w:szCs w:val="21"/>
              </w:rPr>
            </w:pPr>
            <w:r>
              <w:rPr>
                <w:rStyle w:val="a6"/>
                <w:rFonts w:hint="eastAsia"/>
                <w:sz w:val="21"/>
                <w:szCs w:val="21"/>
              </w:rPr>
              <w:t>（三）申购赎回清单的内容与格式</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1</w:t>
            </w:r>
            <w:r>
              <w:rPr>
                <w:rFonts w:hint="eastAsia"/>
                <w:sz w:val="21"/>
                <w:szCs w:val="21"/>
              </w:rPr>
              <w:t>、</w:t>
            </w:r>
            <w:r>
              <w:rPr>
                <w:rFonts w:hint="eastAsia"/>
                <w:sz w:val="21"/>
                <w:szCs w:val="21"/>
              </w:rPr>
              <w:t>现券申购赎回清单的内容</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r>
              <w:rPr>
                <w:rFonts w:hint="eastAsia"/>
                <w:sz w:val="21"/>
                <w:szCs w:val="21"/>
              </w:rPr>
              <w:t>2</w:t>
            </w:r>
            <w:r>
              <w:rPr>
                <w:rFonts w:hint="eastAsia"/>
                <w:sz w:val="21"/>
                <w:szCs w:val="21"/>
              </w:rPr>
              <w:t>）预估现金差额相关内容</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b/>
                <w:bCs/>
                <w:strike/>
                <w:sz w:val="21"/>
                <w:szCs w:val="21"/>
              </w:rPr>
            </w:pPr>
            <w:r>
              <w:rPr>
                <w:rFonts w:hint="eastAsia"/>
                <w:b/>
                <w:bCs/>
                <w:strike/>
                <w:sz w:val="21"/>
                <w:szCs w:val="21"/>
              </w:rPr>
              <w:t>T</w:t>
            </w:r>
            <w:r>
              <w:rPr>
                <w:rFonts w:hint="eastAsia"/>
                <w:b/>
                <w:bCs/>
                <w:strike/>
                <w:sz w:val="21"/>
                <w:szCs w:val="21"/>
              </w:rPr>
              <w:t>日每</w:t>
            </w:r>
            <w:r>
              <w:rPr>
                <w:rFonts w:hint="eastAsia"/>
                <w:b/>
                <w:bCs/>
                <w:strike/>
                <w:sz w:val="21"/>
                <w:szCs w:val="21"/>
              </w:rPr>
              <w:t>千克</w:t>
            </w:r>
            <w:r>
              <w:rPr>
                <w:rFonts w:hint="eastAsia"/>
                <w:b/>
                <w:bCs/>
                <w:strike/>
                <w:sz w:val="21"/>
                <w:szCs w:val="21"/>
              </w:rPr>
              <w:t>Au99.95</w:t>
            </w:r>
            <w:r>
              <w:rPr>
                <w:rFonts w:hint="eastAsia"/>
                <w:b/>
                <w:bCs/>
                <w:strike/>
                <w:sz w:val="21"/>
                <w:szCs w:val="21"/>
              </w:rPr>
              <w:t>现货实盘合约预估现金差额＝（</w:t>
            </w:r>
            <w:r>
              <w:rPr>
                <w:rFonts w:hint="eastAsia"/>
                <w:b/>
                <w:bCs/>
                <w:strike/>
                <w:sz w:val="21"/>
                <w:szCs w:val="21"/>
              </w:rPr>
              <w:t>T</w:t>
            </w:r>
            <w:r>
              <w:rPr>
                <w:rFonts w:hint="eastAsia"/>
                <w:b/>
                <w:bCs/>
                <w:strike/>
                <w:sz w:val="21"/>
                <w:szCs w:val="21"/>
              </w:rPr>
              <w:t>－</w:t>
            </w:r>
            <w:r>
              <w:rPr>
                <w:rFonts w:hint="eastAsia"/>
                <w:b/>
                <w:bCs/>
                <w:strike/>
                <w:sz w:val="21"/>
                <w:szCs w:val="21"/>
              </w:rPr>
              <w:t>1</w:t>
            </w:r>
            <w:r>
              <w:rPr>
                <w:rFonts w:hint="eastAsia"/>
                <w:b/>
                <w:bCs/>
                <w:strike/>
                <w:sz w:val="21"/>
                <w:szCs w:val="21"/>
              </w:rPr>
              <w:t>日最小申购、赎回单位的基金资产净值－</w:t>
            </w:r>
            <w:r>
              <w:rPr>
                <w:rFonts w:hint="eastAsia"/>
                <w:b/>
                <w:bCs/>
                <w:strike/>
                <w:sz w:val="21"/>
                <w:szCs w:val="21"/>
              </w:rPr>
              <w:t>T</w:t>
            </w:r>
            <w:r>
              <w:rPr>
                <w:rFonts w:hint="eastAsia"/>
                <w:b/>
                <w:bCs/>
                <w:strike/>
                <w:sz w:val="21"/>
                <w:szCs w:val="21"/>
              </w:rPr>
              <w:t>－</w:t>
            </w:r>
            <w:r>
              <w:rPr>
                <w:rFonts w:hint="eastAsia"/>
                <w:b/>
                <w:bCs/>
                <w:strike/>
                <w:sz w:val="21"/>
                <w:szCs w:val="21"/>
              </w:rPr>
              <w:t>1</w:t>
            </w:r>
            <w:r>
              <w:rPr>
                <w:rFonts w:hint="eastAsia"/>
                <w:b/>
                <w:bCs/>
                <w:strike/>
                <w:sz w:val="21"/>
                <w:szCs w:val="21"/>
              </w:rPr>
              <w:t>日最小申购、赎回单位对应的黄金现货重量×</w:t>
            </w:r>
            <w:r>
              <w:rPr>
                <w:rFonts w:hint="eastAsia"/>
                <w:b/>
                <w:bCs/>
                <w:strike/>
                <w:sz w:val="21"/>
                <w:szCs w:val="21"/>
              </w:rPr>
              <w:t>Au99.95</w:t>
            </w:r>
            <w:r>
              <w:rPr>
                <w:rFonts w:hint="eastAsia"/>
                <w:b/>
                <w:bCs/>
                <w:strike/>
                <w:sz w:val="21"/>
                <w:szCs w:val="21"/>
              </w:rPr>
              <w:t>现货实盘合约</w:t>
            </w:r>
            <w:r>
              <w:rPr>
                <w:rFonts w:hint="eastAsia"/>
                <w:b/>
                <w:bCs/>
                <w:strike/>
                <w:sz w:val="21"/>
                <w:szCs w:val="21"/>
              </w:rPr>
              <w:t>T</w:t>
            </w:r>
            <w:r>
              <w:rPr>
                <w:rFonts w:hint="eastAsia"/>
                <w:b/>
                <w:bCs/>
                <w:strike/>
                <w:sz w:val="21"/>
                <w:szCs w:val="21"/>
              </w:rPr>
              <w:t>－</w:t>
            </w:r>
            <w:r>
              <w:rPr>
                <w:rFonts w:hint="eastAsia"/>
                <w:b/>
                <w:bCs/>
                <w:strike/>
                <w:sz w:val="21"/>
                <w:szCs w:val="21"/>
              </w:rPr>
              <w:t>1</w:t>
            </w:r>
            <w:r>
              <w:rPr>
                <w:rFonts w:hint="eastAsia"/>
                <w:b/>
                <w:bCs/>
                <w:strike/>
                <w:sz w:val="21"/>
                <w:szCs w:val="21"/>
              </w:rPr>
              <w:t>日收盘价）÷</w:t>
            </w:r>
            <w:r>
              <w:rPr>
                <w:rFonts w:hint="eastAsia"/>
                <w:b/>
                <w:bCs/>
                <w:strike/>
                <w:sz w:val="21"/>
                <w:szCs w:val="21"/>
              </w:rPr>
              <w:t>T</w:t>
            </w:r>
            <w:r>
              <w:rPr>
                <w:rFonts w:hint="eastAsia"/>
                <w:b/>
                <w:bCs/>
                <w:strike/>
                <w:sz w:val="21"/>
                <w:szCs w:val="21"/>
              </w:rPr>
              <w:t>－</w:t>
            </w:r>
            <w:r>
              <w:rPr>
                <w:rFonts w:hint="eastAsia"/>
                <w:b/>
                <w:bCs/>
                <w:strike/>
                <w:sz w:val="21"/>
                <w:szCs w:val="21"/>
              </w:rPr>
              <w:t>1</w:t>
            </w:r>
            <w:r>
              <w:rPr>
                <w:rFonts w:hint="eastAsia"/>
                <w:b/>
                <w:bCs/>
                <w:strike/>
                <w:sz w:val="21"/>
                <w:szCs w:val="21"/>
              </w:rPr>
              <w:t>日最小申购、赎回单位对应的黄金现货重量×</w:t>
            </w:r>
            <w:r>
              <w:rPr>
                <w:rFonts w:hint="eastAsia"/>
                <w:b/>
                <w:bCs/>
                <w:strike/>
                <w:sz w:val="21"/>
                <w:szCs w:val="21"/>
              </w:rPr>
              <w:t>1000</w:t>
            </w:r>
            <w:r>
              <w:rPr>
                <w:rFonts w:hint="eastAsia"/>
                <w:b/>
                <w:bCs/>
                <w:strike/>
                <w:sz w:val="21"/>
                <w:szCs w:val="21"/>
              </w:rPr>
              <w:t>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r>
              <w:rPr>
                <w:rFonts w:hint="eastAsia"/>
                <w:sz w:val="21"/>
                <w:szCs w:val="21"/>
              </w:rPr>
              <w:t>3</w:t>
            </w:r>
            <w:r>
              <w:rPr>
                <w:rFonts w:hint="eastAsia"/>
                <w:sz w:val="21"/>
                <w:szCs w:val="21"/>
              </w:rPr>
              <w:t>）现金差额相关内容</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b/>
                <w:bCs/>
                <w:strike/>
                <w:sz w:val="21"/>
                <w:szCs w:val="21"/>
              </w:rPr>
            </w:pPr>
            <w:r>
              <w:rPr>
                <w:rFonts w:hint="eastAsia"/>
                <w:b/>
                <w:bCs/>
                <w:strike/>
                <w:sz w:val="21"/>
                <w:szCs w:val="21"/>
              </w:rPr>
              <w:t>T</w:t>
            </w:r>
            <w:r>
              <w:rPr>
                <w:rFonts w:hint="eastAsia"/>
                <w:b/>
                <w:bCs/>
                <w:strike/>
                <w:sz w:val="21"/>
                <w:szCs w:val="21"/>
              </w:rPr>
              <w:t>日每千克</w:t>
            </w:r>
            <w:r>
              <w:rPr>
                <w:rFonts w:hint="eastAsia"/>
                <w:b/>
                <w:bCs/>
                <w:strike/>
                <w:sz w:val="21"/>
                <w:szCs w:val="21"/>
              </w:rPr>
              <w:t>Au99.95</w:t>
            </w:r>
            <w:r>
              <w:rPr>
                <w:rFonts w:hint="eastAsia"/>
                <w:b/>
                <w:bCs/>
                <w:strike/>
                <w:sz w:val="21"/>
                <w:szCs w:val="21"/>
              </w:rPr>
              <w:t>现货实盘合约现金差额＝（</w:t>
            </w:r>
            <w:r>
              <w:rPr>
                <w:rFonts w:hint="eastAsia"/>
                <w:b/>
                <w:bCs/>
                <w:strike/>
                <w:sz w:val="21"/>
                <w:szCs w:val="21"/>
              </w:rPr>
              <w:t>T</w:t>
            </w:r>
            <w:r>
              <w:rPr>
                <w:rFonts w:hint="eastAsia"/>
                <w:b/>
                <w:bCs/>
                <w:strike/>
                <w:sz w:val="21"/>
                <w:szCs w:val="21"/>
              </w:rPr>
              <w:t>日最小申购、赎回单位的基金资产净值－</w:t>
            </w:r>
            <w:r>
              <w:rPr>
                <w:rFonts w:hint="eastAsia"/>
                <w:b/>
                <w:bCs/>
                <w:strike/>
                <w:sz w:val="21"/>
                <w:szCs w:val="21"/>
              </w:rPr>
              <w:t>T</w:t>
            </w:r>
            <w:r>
              <w:rPr>
                <w:rFonts w:hint="eastAsia"/>
                <w:b/>
                <w:bCs/>
                <w:strike/>
                <w:sz w:val="21"/>
                <w:szCs w:val="21"/>
              </w:rPr>
              <w:t>日最小申购、赎回单位对应的黄金现货重量×</w:t>
            </w:r>
            <w:r>
              <w:rPr>
                <w:rFonts w:hint="eastAsia"/>
                <w:b/>
                <w:bCs/>
                <w:strike/>
                <w:sz w:val="21"/>
                <w:szCs w:val="21"/>
              </w:rPr>
              <w:t>Au99.95</w:t>
            </w:r>
            <w:r>
              <w:rPr>
                <w:rFonts w:hint="eastAsia"/>
                <w:b/>
                <w:bCs/>
                <w:strike/>
                <w:sz w:val="21"/>
                <w:szCs w:val="21"/>
              </w:rPr>
              <w:t>现货实盘合约</w:t>
            </w:r>
            <w:r>
              <w:rPr>
                <w:rFonts w:hint="eastAsia"/>
                <w:b/>
                <w:bCs/>
                <w:strike/>
                <w:sz w:val="21"/>
                <w:szCs w:val="21"/>
              </w:rPr>
              <w:t>T</w:t>
            </w:r>
            <w:r>
              <w:rPr>
                <w:rFonts w:hint="eastAsia"/>
                <w:b/>
                <w:bCs/>
                <w:strike/>
                <w:sz w:val="21"/>
                <w:szCs w:val="21"/>
              </w:rPr>
              <w:t>日收盘价）÷</w:t>
            </w:r>
            <w:r>
              <w:rPr>
                <w:rFonts w:hint="eastAsia"/>
                <w:b/>
                <w:bCs/>
                <w:strike/>
                <w:sz w:val="21"/>
                <w:szCs w:val="21"/>
              </w:rPr>
              <w:t>T</w:t>
            </w:r>
            <w:r>
              <w:rPr>
                <w:rFonts w:hint="eastAsia"/>
                <w:b/>
                <w:bCs/>
                <w:strike/>
                <w:sz w:val="21"/>
                <w:szCs w:val="21"/>
              </w:rPr>
              <w:t>日最小申购、赎回单位对应的黄金现货重量×</w:t>
            </w:r>
            <w:r>
              <w:rPr>
                <w:rFonts w:hint="eastAsia"/>
                <w:b/>
                <w:bCs/>
                <w:strike/>
                <w:sz w:val="21"/>
                <w:szCs w:val="21"/>
              </w:rPr>
              <w:t>1000</w:t>
            </w:r>
            <w:r>
              <w:rPr>
                <w:rFonts w:hint="eastAsia"/>
                <w:b/>
                <w:bCs/>
                <w:strike/>
                <w:sz w:val="21"/>
                <w:szCs w:val="21"/>
              </w:rPr>
              <w:t>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r>
              <w:rPr>
                <w:rFonts w:hint="eastAsia"/>
                <w:sz w:val="21"/>
                <w:szCs w:val="21"/>
              </w:rPr>
              <w:t>4</w:t>
            </w:r>
            <w:r>
              <w:rPr>
                <w:rFonts w:hint="eastAsia"/>
                <w:sz w:val="21"/>
                <w:szCs w:val="21"/>
              </w:rPr>
              <w:t>）</w:t>
            </w:r>
            <w:r>
              <w:rPr>
                <w:rFonts w:hint="eastAsia"/>
                <w:sz w:val="21"/>
                <w:szCs w:val="21"/>
              </w:rPr>
              <w:t>申购</w:t>
            </w:r>
            <w:r>
              <w:rPr>
                <w:rFonts w:hint="eastAsia"/>
                <w:sz w:val="21"/>
                <w:szCs w:val="21"/>
              </w:rPr>
              <w:t>赎回清单的格式</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T</w:t>
            </w:r>
            <w:r>
              <w:rPr>
                <w:rFonts w:hint="eastAsia"/>
                <w:sz w:val="21"/>
                <w:szCs w:val="21"/>
              </w:rPr>
              <w:t>日现券申购赎回清单的格式举例如下：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b/>
                <w:bCs/>
                <w:strike/>
                <w:sz w:val="21"/>
                <w:szCs w:val="21"/>
              </w:rPr>
            </w:pPr>
            <w:r>
              <w:rPr>
                <w:rFonts w:hint="eastAsia"/>
                <w:b/>
                <w:bCs/>
                <w:strike/>
                <w:sz w:val="21"/>
                <w:szCs w:val="21"/>
              </w:rPr>
              <w:t>Au99.95</w:t>
            </w:r>
            <w:r>
              <w:rPr>
                <w:rFonts w:hint="eastAsia"/>
                <w:b/>
                <w:bCs/>
                <w:strike/>
                <w:sz w:val="21"/>
                <w:szCs w:val="21"/>
              </w:rPr>
              <w:t>现金差额（单位：人民币元</w:t>
            </w:r>
            <w:r>
              <w:rPr>
                <w:rFonts w:hint="eastAsia"/>
                <w:b/>
                <w:bCs/>
                <w:strike/>
                <w:sz w:val="21"/>
                <w:szCs w:val="21"/>
              </w:rPr>
              <w:t>/</w:t>
            </w:r>
            <w:r>
              <w:rPr>
                <w:rFonts w:hint="eastAsia"/>
                <w:b/>
                <w:bCs/>
                <w:strike/>
                <w:sz w:val="21"/>
                <w:szCs w:val="21"/>
              </w:rPr>
              <w:t>千克）</w:t>
            </w:r>
          </w:p>
          <w:p w:rsidR="00000000" w:rsidRDefault="004451D1">
            <w:pPr>
              <w:pStyle w:val="a4"/>
              <w:widowControl w:val="0"/>
              <w:adjustRightInd w:val="0"/>
              <w:snapToGrid w:val="0"/>
              <w:spacing w:before="0" w:beforeAutospacing="0" w:after="0" w:afterAutospacing="0"/>
              <w:ind w:firstLine="420"/>
              <w:rPr>
                <w:rFonts w:hint="eastAsia"/>
                <w:b/>
                <w:bCs/>
                <w:strike/>
                <w:sz w:val="21"/>
                <w:szCs w:val="21"/>
              </w:rPr>
            </w:pPr>
            <w:r>
              <w:rPr>
                <w:rFonts w:hint="eastAsia"/>
                <w:b/>
                <w:bCs/>
                <w:strike/>
                <w:sz w:val="21"/>
                <w:szCs w:val="21"/>
              </w:rPr>
              <w:t>Au99.95</w:t>
            </w:r>
            <w:r>
              <w:rPr>
                <w:rFonts w:hint="eastAsia"/>
                <w:b/>
                <w:bCs/>
                <w:strike/>
                <w:sz w:val="21"/>
                <w:szCs w:val="21"/>
              </w:rPr>
              <w:t>预估现金差额（单位：人民币元</w:t>
            </w:r>
            <w:r>
              <w:rPr>
                <w:rFonts w:hint="eastAsia"/>
                <w:b/>
                <w:bCs/>
                <w:strike/>
                <w:sz w:val="21"/>
                <w:szCs w:val="21"/>
              </w:rPr>
              <w:t>/</w:t>
            </w:r>
            <w:r>
              <w:rPr>
                <w:rFonts w:hint="eastAsia"/>
                <w:b/>
                <w:bCs/>
                <w:strike/>
                <w:sz w:val="21"/>
                <w:szCs w:val="21"/>
              </w:rPr>
              <w:t>千克）</w:t>
            </w:r>
          </w:p>
          <w:p w:rsidR="00000000" w:rsidRDefault="004451D1">
            <w:pPr>
              <w:pStyle w:val="a4"/>
              <w:widowControl w:val="0"/>
              <w:adjustRightInd w:val="0"/>
              <w:snapToGrid w:val="0"/>
              <w:spacing w:before="0" w:beforeAutospacing="0" w:after="0" w:afterAutospacing="0"/>
              <w:ind w:firstLine="420"/>
              <w:rPr>
                <w:rFonts w:hint="eastAsia"/>
                <w:b/>
                <w:bCs/>
                <w:strike/>
                <w:sz w:val="21"/>
                <w:szCs w:val="21"/>
              </w:rPr>
            </w:pPr>
            <w:r>
              <w:rPr>
                <w:rFonts w:hint="eastAsia"/>
                <w:b/>
                <w:bCs/>
                <w:strike/>
                <w:sz w:val="21"/>
                <w:szCs w:val="21"/>
              </w:rPr>
              <w:t>是否接受</w:t>
            </w:r>
            <w:r>
              <w:rPr>
                <w:rFonts w:hint="eastAsia"/>
                <w:b/>
                <w:bCs/>
                <w:strike/>
                <w:sz w:val="21"/>
                <w:szCs w:val="21"/>
              </w:rPr>
              <w:t>Au99.95</w:t>
            </w:r>
            <w:r>
              <w:rPr>
                <w:rFonts w:hint="eastAsia"/>
                <w:b/>
                <w:bCs/>
                <w:strike/>
                <w:sz w:val="21"/>
                <w:szCs w:val="21"/>
              </w:rPr>
              <w:t>现货实盘合约申购</w:t>
            </w:r>
            <w:r>
              <w:rPr>
                <w:rFonts w:hint="eastAsia"/>
                <w:b/>
                <w:bCs/>
                <w:strike/>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Au99.99</w:t>
            </w:r>
            <w:r>
              <w:rPr>
                <w:rFonts w:hint="eastAsia"/>
                <w:sz w:val="21"/>
                <w:szCs w:val="21"/>
              </w:rPr>
              <w:t>合约</w:t>
            </w:r>
            <w:r>
              <w:rPr>
                <w:rFonts w:hint="eastAsia"/>
                <w:b/>
                <w:bCs/>
                <w:strike/>
                <w:sz w:val="21"/>
                <w:szCs w:val="21"/>
              </w:rPr>
              <w:t>和</w:t>
            </w:r>
            <w:r>
              <w:rPr>
                <w:rFonts w:hint="eastAsia"/>
                <w:b/>
                <w:bCs/>
                <w:strike/>
                <w:sz w:val="21"/>
                <w:szCs w:val="21"/>
              </w:rPr>
              <w:t>/</w:t>
            </w:r>
            <w:r>
              <w:rPr>
                <w:rFonts w:hint="eastAsia"/>
                <w:b/>
                <w:bCs/>
                <w:strike/>
                <w:sz w:val="21"/>
                <w:szCs w:val="21"/>
              </w:rPr>
              <w:t>或</w:t>
            </w:r>
            <w:r>
              <w:rPr>
                <w:rFonts w:hint="eastAsia"/>
                <w:b/>
                <w:bCs/>
                <w:strike/>
                <w:sz w:val="21"/>
                <w:szCs w:val="21"/>
              </w:rPr>
              <w:t>Au99.95</w:t>
            </w:r>
            <w:r>
              <w:rPr>
                <w:rFonts w:hint="eastAsia"/>
                <w:b/>
                <w:bCs/>
                <w:strike/>
                <w:sz w:val="21"/>
                <w:szCs w:val="21"/>
              </w:rPr>
              <w:t>合约</w:t>
            </w:r>
            <w:r>
              <w:rPr>
                <w:rFonts w:hint="eastAsia"/>
                <w:sz w:val="21"/>
                <w:szCs w:val="21"/>
              </w:rPr>
              <w:t>：</w:t>
            </w:r>
            <w:r>
              <w:rPr>
                <w:rFonts w:hint="eastAsia"/>
                <w:b/>
                <w:bCs/>
                <w:strike/>
                <w:sz w:val="21"/>
                <w:szCs w:val="21"/>
              </w:rPr>
              <w:t>3000</w:t>
            </w:r>
            <w:r>
              <w:rPr>
                <w:rFonts w:hint="eastAsia"/>
                <w:sz w:val="21"/>
                <w:szCs w:val="21"/>
              </w:rPr>
              <w:t>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2</w:t>
            </w:r>
            <w:r>
              <w:rPr>
                <w:rFonts w:hint="eastAsia"/>
                <w:sz w:val="21"/>
                <w:szCs w:val="21"/>
              </w:rPr>
              <w:t>、现金申购赎回清单</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rPr>
                <w:rFonts w:hint="eastAsia"/>
                <w:sz w:val="21"/>
                <w:szCs w:val="21"/>
              </w:rPr>
            </w:pP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r>
              <w:rPr>
                <w:rFonts w:hint="eastAsia"/>
                <w:sz w:val="21"/>
                <w:szCs w:val="21"/>
              </w:rPr>
              <w:t>7</w:t>
            </w:r>
            <w:r>
              <w:rPr>
                <w:rFonts w:hint="eastAsia"/>
                <w:sz w:val="21"/>
                <w:szCs w:val="21"/>
              </w:rPr>
              <w:t>）申购赎回清单的格式</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T</w:t>
            </w:r>
            <w:r>
              <w:rPr>
                <w:rFonts w:hint="eastAsia"/>
                <w:sz w:val="21"/>
                <w:szCs w:val="21"/>
              </w:rPr>
              <w:t>日现金申购赎回清单格式举例如下：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Au9999</w:t>
            </w:r>
            <w:r>
              <w:rPr>
                <w:rFonts w:hint="eastAsia"/>
                <w:sz w:val="21"/>
                <w:szCs w:val="21"/>
              </w:rPr>
              <w:t>：</w:t>
            </w:r>
            <w:r>
              <w:rPr>
                <w:rFonts w:hint="eastAsia"/>
                <w:b/>
                <w:bCs/>
                <w:strike/>
                <w:sz w:val="21"/>
                <w:szCs w:val="21"/>
              </w:rPr>
              <w:t>3000</w:t>
            </w:r>
          </w:p>
        </w:tc>
        <w:tc>
          <w:tcPr>
            <w:tcW w:w="4213" w:type="dxa"/>
          </w:tcPr>
          <w:p w:rsidR="00000000" w:rsidRDefault="004451D1">
            <w:pPr>
              <w:pStyle w:val="a4"/>
              <w:spacing w:before="0" w:beforeAutospacing="0" w:after="0" w:afterAutospacing="0"/>
              <w:ind w:firstLine="420"/>
              <w:rPr>
                <w:rStyle w:val="a6"/>
                <w:rFonts w:hint="eastAsia"/>
                <w:sz w:val="21"/>
                <w:szCs w:val="21"/>
              </w:rPr>
            </w:pPr>
            <w:r>
              <w:rPr>
                <w:rStyle w:val="a6"/>
                <w:rFonts w:hint="eastAsia"/>
                <w:sz w:val="21"/>
                <w:szCs w:val="21"/>
              </w:rPr>
              <w:t>（三）申购赎回清单的内容与格式</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1</w:t>
            </w:r>
            <w:r>
              <w:rPr>
                <w:rFonts w:hint="eastAsia"/>
                <w:sz w:val="21"/>
                <w:szCs w:val="21"/>
              </w:rPr>
              <w:t>、</w:t>
            </w:r>
            <w:r>
              <w:rPr>
                <w:rFonts w:hint="eastAsia"/>
                <w:sz w:val="21"/>
                <w:szCs w:val="21"/>
              </w:rPr>
              <w:t>现券申购赎回清单的内容</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r>
              <w:rPr>
                <w:rFonts w:hint="eastAsia"/>
                <w:sz w:val="21"/>
                <w:szCs w:val="21"/>
              </w:rPr>
              <w:t>4</w:t>
            </w:r>
            <w:r>
              <w:rPr>
                <w:rFonts w:hint="eastAsia"/>
                <w:sz w:val="21"/>
                <w:szCs w:val="21"/>
              </w:rPr>
              <w:t>）</w:t>
            </w:r>
            <w:r>
              <w:rPr>
                <w:rFonts w:hint="eastAsia"/>
                <w:sz w:val="21"/>
                <w:szCs w:val="21"/>
              </w:rPr>
              <w:t>申购赎回清单的格式</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T</w:t>
            </w:r>
            <w:r>
              <w:rPr>
                <w:rFonts w:hint="eastAsia"/>
                <w:sz w:val="21"/>
                <w:szCs w:val="21"/>
              </w:rPr>
              <w:t>日现券申购赎回清单的格式举例如下：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Au99.99</w:t>
            </w:r>
            <w:r>
              <w:rPr>
                <w:rFonts w:hint="eastAsia"/>
                <w:sz w:val="21"/>
                <w:szCs w:val="21"/>
              </w:rPr>
              <w:t>合约</w:t>
            </w:r>
            <w:r>
              <w:rPr>
                <w:rFonts w:hint="eastAsia"/>
                <w:sz w:val="21"/>
                <w:szCs w:val="21"/>
              </w:rPr>
              <w:t>：</w:t>
            </w:r>
            <w:r>
              <w:rPr>
                <w:rFonts w:hint="eastAsia"/>
                <w:b/>
                <w:bCs/>
                <w:sz w:val="21"/>
                <w:szCs w:val="21"/>
                <w:u w:val="single"/>
              </w:rPr>
              <w:t>1000</w:t>
            </w:r>
            <w:r>
              <w:rPr>
                <w:rFonts w:hint="eastAsia"/>
                <w:sz w:val="21"/>
                <w:szCs w:val="21"/>
              </w:rPr>
              <w:t>克</w:t>
            </w:r>
          </w:p>
          <w:p w:rsidR="00000000" w:rsidRDefault="004451D1">
            <w:pPr>
              <w:pStyle w:val="a4"/>
              <w:spacing w:before="0" w:beforeAutospacing="0" w:after="0" w:afterAutospacing="0"/>
              <w:ind w:firstLine="420"/>
              <w:rPr>
                <w:rFonts w:hint="eastAsia"/>
                <w:sz w:val="21"/>
                <w:szCs w:val="21"/>
              </w:rPr>
            </w:pP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2</w:t>
            </w:r>
            <w:r>
              <w:rPr>
                <w:rFonts w:hint="eastAsia"/>
                <w:sz w:val="21"/>
                <w:szCs w:val="21"/>
              </w:rPr>
              <w:t>、现金申购赎回清单</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rFonts w:hint="eastAsia"/>
                <w:sz w:val="21"/>
                <w:szCs w:val="21"/>
              </w:rPr>
            </w:pPr>
          </w:p>
          <w:p w:rsidR="00000000" w:rsidRDefault="004451D1">
            <w:pPr>
              <w:pStyle w:val="a4"/>
              <w:widowControl w:val="0"/>
              <w:adjustRightInd w:val="0"/>
              <w:snapToGrid w:val="0"/>
              <w:spacing w:before="0" w:beforeAutospacing="0" w:after="0" w:afterAutospacing="0"/>
              <w:ind w:firstLine="420"/>
              <w:rPr>
                <w:sz w:val="21"/>
                <w:szCs w:val="21"/>
              </w:rPr>
            </w:pPr>
            <w:r>
              <w:rPr>
                <w:rFonts w:hint="eastAsia"/>
                <w:sz w:val="21"/>
                <w:szCs w:val="21"/>
              </w:rPr>
              <w:t>（</w:t>
            </w:r>
            <w:r>
              <w:rPr>
                <w:rFonts w:hint="eastAsia"/>
                <w:sz w:val="21"/>
                <w:szCs w:val="21"/>
              </w:rPr>
              <w:t>7</w:t>
            </w:r>
            <w:r>
              <w:rPr>
                <w:rFonts w:hint="eastAsia"/>
                <w:sz w:val="21"/>
                <w:szCs w:val="21"/>
              </w:rPr>
              <w:t>）申购赎回清单的格式</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T</w:t>
            </w:r>
            <w:r>
              <w:rPr>
                <w:rFonts w:hint="eastAsia"/>
                <w:sz w:val="21"/>
                <w:szCs w:val="21"/>
              </w:rPr>
              <w:t>日现金申购赎回清单格式举例如下：</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w:t>
            </w:r>
          </w:p>
          <w:p w:rsidR="00000000" w:rsidRDefault="004451D1">
            <w:pPr>
              <w:pStyle w:val="a4"/>
              <w:widowControl w:val="0"/>
              <w:adjustRightInd w:val="0"/>
              <w:snapToGrid w:val="0"/>
              <w:spacing w:before="0" w:beforeAutospacing="0" w:after="0" w:afterAutospacing="0"/>
              <w:ind w:firstLine="420"/>
              <w:rPr>
                <w:rFonts w:hint="eastAsia"/>
                <w:sz w:val="21"/>
                <w:szCs w:val="21"/>
              </w:rPr>
            </w:pPr>
            <w:r>
              <w:rPr>
                <w:rFonts w:hint="eastAsia"/>
                <w:sz w:val="21"/>
                <w:szCs w:val="21"/>
              </w:rPr>
              <w:t>Au9999</w:t>
            </w:r>
            <w:r>
              <w:rPr>
                <w:rFonts w:hint="eastAsia"/>
                <w:sz w:val="21"/>
                <w:szCs w:val="21"/>
              </w:rPr>
              <w:t>：</w:t>
            </w:r>
            <w:r>
              <w:rPr>
                <w:rFonts w:hint="eastAsia"/>
                <w:b/>
                <w:bCs/>
                <w:sz w:val="21"/>
                <w:szCs w:val="21"/>
                <w:u w:val="single"/>
              </w:rPr>
              <w:t>1000</w:t>
            </w:r>
          </w:p>
          <w:p w:rsidR="00000000" w:rsidRDefault="004451D1">
            <w:pPr>
              <w:pStyle w:val="a4"/>
              <w:spacing w:before="0" w:beforeAutospacing="0" w:after="0" w:afterAutospacing="0"/>
              <w:ind w:firstLine="420"/>
              <w:rPr>
                <w:sz w:val="21"/>
                <w:szCs w:val="21"/>
              </w:rPr>
            </w:pPr>
          </w:p>
        </w:tc>
      </w:tr>
      <w:tr w:rsidR="00000000">
        <w:trPr>
          <w:trHeight w:val="7964"/>
          <w:jc w:val="center"/>
        </w:trPr>
        <w:tc>
          <w:tcPr>
            <w:tcW w:w="854" w:type="dxa"/>
          </w:tcPr>
          <w:p w:rsidR="00000000" w:rsidRDefault="004451D1">
            <w:pPr>
              <w:pStyle w:val="2"/>
              <w:jc w:val="center"/>
              <w:rPr>
                <w:rFonts w:ascii="宋体" w:hAnsi="宋体" w:cs="宋体" w:hint="eastAsia"/>
                <w:bCs w:val="0"/>
                <w:kern w:val="44"/>
                <w:sz w:val="21"/>
                <w:szCs w:val="21"/>
              </w:rPr>
            </w:pPr>
            <w:bookmarkStart w:id="0" w:name="chapter_level1_22_68"/>
            <w:bookmarkStart w:id="1" w:name="_Toc207943834"/>
            <w:r>
              <w:rPr>
                <w:rFonts w:ascii="宋体" w:hAnsi="宋体" w:cs="宋体" w:hint="eastAsia"/>
                <w:bCs w:val="0"/>
                <w:kern w:val="44"/>
                <w:sz w:val="21"/>
                <w:szCs w:val="21"/>
              </w:rPr>
              <w:lastRenderedPageBreak/>
              <w:t>第十九部分</w:t>
            </w:r>
            <w:r>
              <w:rPr>
                <w:rFonts w:ascii="宋体" w:hAnsi="宋体" w:cs="宋体" w:hint="eastAsia"/>
                <w:bCs w:val="0"/>
                <w:kern w:val="44"/>
                <w:sz w:val="21"/>
                <w:szCs w:val="21"/>
              </w:rPr>
              <w:t xml:space="preserve">  </w:t>
            </w:r>
            <w:r>
              <w:rPr>
                <w:rFonts w:ascii="宋体" w:hAnsi="宋体" w:cs="宋体" w:hint="eastAsia"/>
                <w:bCs w:val="0"/>
                <w:kern w:val="44"/>
                <w:sz w:val="21"/>
                <w:szCs w:val="21"/>
              </w:rPr>
              <w:t>风险揭示</w:t>
            </w:r>
            <w:bookmarkEnd w:id="0"/>
            <w:bookmarkEnd w:id="1"/>
          </w:p>
          <w:p w:rsidR="00000000" w:rsidRDefault="004451D1">
            <w:pPr>
              <w:pStyle w:val="1"/>
              <w:rPr>
                <w:rFonts w:cs="宋体" w:hint="eastAsia"/>
                <w:sz w:val="21"/>
              </w:rPr>
            </w:pPr>
          </w:p>
        </w:tc>
        <w:tc>
          <w:tcPr>
            <w:tcW w:w="4212" w:type="dxa"/>
          </w:tcPr>
          <w:p w:rsidR="00000000" w:rsidRDefault="004451D1">
            <w:pPr>
              <w:pStyle w:val="a4"/>
              <w:spacing w:before="0" w:beforeAutospacing="0" w:after="0" w:afterAutospacing="0" w:line="360" w:lineRule="auto"/>
              <w:ind w:firstLine="420"/>
              <w:rPr>
                <w:sz w:val="21"/>
                <w:szCs w:val="21"/>
              </w:rPr>
            </w:pPr>
            <w:r>
              <w:rPr>
                <w:rStyle w:val="a6"/>
                <w:rFonts w:hint="eastAsia"/>
                <w:sz w:val="21"/>
                <w:szCs w:val="21"/>
              </w:rPr>
              <w:t>一、本基金的特定风险</w:t>
            </w:r>
          </w:p>
          <w:p w:rsidR="00000000" w:rsidRDefault="004451D1">
            <w:pPr>
              <w:pStyle w:val="a4"/>
              <w:spacing w:before="0" w:beforeAutospacing="0" w:after="0" w:afterAutospacing="0" w:line="360" w:lineRule="auto"/>
              <w:ind w:firstLine="420"/>
              <w:rPr>
                <w:rFonts w:hint="eastAsia"/>
                <w:sz w:val="21"/>
                <w:szCs w:val="21"/>
              </w:rPr>
            </w:pPr>
            <w:r>
              <w:rPr>
                <w:rFonts w:hint="eastAsia"/>
                <w:sz w:val="21"/>
                <w:szCs w:val="21"/>
              </w:rPr>
              <w:t>2</w:t>
            </w:r>
            <w:r>
              <w:rPr>
                <w:rFonts w:hint="eastAsia"/>
                <w:sz w:val="21"/>
                <w:szCs w:val="21"/>
              </w:rPr>
              <w:t>、基金跟踪偏离的风险</w:t>
            </w:r>
            <w:r>
              <w:rPr>
                <w:rFonts w:hint="eastAsia"/>
                <w:sz w:val="21"/>
                <w:szCs w:val="21"/>
              </w:rPr>
              <w:t xml:space="preserve"> </w:t>
            </w:r>
          </w:p>
          <w:p w:rsidR="00000000" w:rsidRDefault="004451D1">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）本基金投资标的与业绩比较基准的结构可能存在差异。投资者以现券方式申购本基金场内份额时，本基金接受投资者以</w:t>
            </w:r>
            <w:r>
              <w:rPr>
                <w:rFonts w:hint="eastAsia"/>
                <w:b/>
                <w:bCs/>
                <w:strike/>
                <w:sz w:val="21"/>
                <w:szCs w:val="21"/>
              </w:rPr>
              <w:t>Au99.95</w:t>
            </w:r>
            <w:r>
              <w:rPr>
                <w:rFonts w:hint="eastAsia"/>
                <w:b/>
                <w:bCs/>
                <w:strike/>
                <w:sz w:val="21"/>
                <w:szCs w:val="21"/>
              </w:rPr>
              <w:t>或</w:t>
            </w:r>
            <w:r>
              <w:rPr>
                <w:rFonts w:hint="eastAsia"/>
                <w:sz w:val="21"/>
                <w:szCs w:val="21"/>
              </w:rPr>
              <w:t>Au99.99</w:t>
            </w:r>
            <w:r>
              <w:rPr>
                <w:rFonts w:hint="eastAsia"/>
                <w:sz w:val="21"/>
                <w:szCs w:val="21"/>
              </w:rPr>
              <w:t>现货实盘合约提出的申购申请；在投资者赎回基金份额时，本基金可支付</w:t>
            </w:r>
            <w:r>
              <w:rPr>
                <w:rFonts w:hint="eastAsia"/>
                <w:b/>
                <w:bCs/>
                <w:strike/>
                <w:sz w:val="21"/>
                <w:szCs w:val="21"/>
              </w:rPr>
              <w:t>Au99.95</w:t>
            </w:r>
            <w:r>
              <w:rPr>
                <w:rFonts w:hint="eastAsia"/>
                <w:b/>
                <w:bCs/>
                <w:strike/>
                <w:sz w:val="21"/>
                <w:szCs w:val="21"/>
              </w:rPr>
              <w:t>或</w:t>
            </w:r>
            <w:r>
              <w:rPr>
                <w:rFonts w:hint="eastAsia"/>
                <w:sz w:val="21"/>
                <w:szCs w:val="21"/>
              </w:rPr>
              <w:t>Au99.99</w:t>
            </w:r>
            <w:r>
              <w:rPr>
                <w:rFonts w:hint="eastAsia"/>
                <w:sz w:val="21"/>
                <w:szCs w:val="21"/>
              </w:rPr>
              <w:t>现货实盘合约作为赎回对价。本基金可以投资于</w:t>
            </w:r>
            <w:r>
              <w:rPr>
                <w:rFonts w:hint="eastAsia"/>
                <w:sz w:val="21"/>
                <w:szCs w:val="21"/>
              </w:rPr>
              <w:t>A</w:t>
            </w:r>
            <w:r>
              <w:rPr>
                <w:rFonts w:hint="eastAsia"/>
                <w:sz w:val="21"/>
                <w:szCs w:val="21"/>
              </w:rPr>
              <w:t>U(t+d)</w:t>
            </w:r>
            <w:r>
              <w:rPr>
                <w:rFonts w:hint="eastAsia"/>
                <w:sz w:val="21"/>
                <w:szCs w:val="21"/>
              </w:rPr>
              <w:t>现货延期合约，当出现较大规模的申购或赎回时，为应对流动性压力，本基金持有或交易的黄金延期合约的比例将上升。即，本基金投资组合可能由</w:t>
            </w:r>
            <w:r>
              <w:rPr>
                <w:rFonts w:hint="eastAsia"/>
                <w:sz w:val="21"/>
                <w:szCs w:val="21"/>
              </w:rPr>
              <w:t>Au99.95</w:t>
            </w:r>
            <w:r>
              <w:rPr>
                <w:rFonts w:hint="eastAsia"/>
                <w:sz w:val="21"/>
                <w:szCs w:val="21"/>
              </w:rPr>
              <w:t>和</w:t>
            </w:r>
            <w:r>
              <w:rPr>
                <w:rFonts w:hint="eastAsia"/>
                <w:sz w:val="21"/>
                <w:szCs w:val="21"/>
              </w:rPr>
              <w:t>Au99.99</w:t>
            </w:r>
            <w:r>
              <w:rPr>
                <w:rFonts w:hint="eastAsia"/>
                <w:sz w:val="21"/>
                <w:szCs w:val="21"/>
              </w:rPr>
              <w:t>现货实盘合约以及</w:t>
            </w:r>
            <w:r>
              <w:rPr>
                <w:rFonts w:hint="eastAsia"/>
                <w:sz w:val="21"/>
                <w:szCs w:val="21"/>
              </w:rPr>
              <w:t>AU(T+d)</w:t>
            </w:r>
            <w:r>
              <w:rPr>
                <w:rFonts w:hint="eastAsia"/>
                <w:sz w:val="21"/>
                <w:szCs w:val="21"/>
              </w:rPr>
              <w:t>现货延期合约等共同构成，本基金投资组合与业绩比较基准的结构差异可能导致基金表现与业绩比较基准的偏离。</w:t>
            </w:r>
            <w:r>
              <w:rPr>
                <w:rFonts w:hint="eastAsia"/>
                <w:sz w:val="21"/>
                <w:szCs w:val="21"/>
              </w:rPr>
              <w:t xml:space="preserve"> </w:t>
            </w:r>
          </w:p>
          <w:p w:rsidR="00000000" w:rsidRDefault="004451D1">
            <w:pPr>
              <w:pStyle w:val="a4"/>
              <w:widowControl w:val="0"/>
              <w:adjustRightInd w:val="0"/>
              <w:snapToGrid w:val="0"/>
              <w:spacing w:before="0" w:beforeAutospacing="0" w:after="0" w:afterAutospacing="0"/>
              <w:ind w:firstLine="420"/>
              <w:rPr>
                <w:rFonts w:hint="eastAsia"/>
                <w:sz w:val="21"/>
                <w:szCs w:val="21"/>
              </w:rPr>
            </w:pPr>
          </w:p>
        </w:tc>
        <w:tc>
          <w:tcPr>
            <w:tcW w:w="4213" w:type="dxa"/>
          </w:tcPr>
          <w:p w:rsidR="00000000" w:rsidRDefault="004451D1">
            <w:pPr>
              <w:pStyle w:val="a4"/>
              <w:spacing w:before="0" w:beforeAutospacing="0" w:after="0" w:afterAutospacing="0" w:line="360" w:lineRule="auto"/>
              <w:ind w:firstLine="420"/>
              <w:rPr>
                <w:sz w:val="21"/>
                <w:szCs w:val="21"/>
              </w:rPr>
            </w:pPr>
            <w:r>
              <w:rPr>
                <w:rStyle w:val="a6"/>
                <w:rFonts w:hint="eastAsia"/>
                <w:sz w:val="21"/>
                <w:szCs w:val="21"/>
              </w:rPr>
              <w:t>一、本基金的特定风险</w:t>
            </w:r>
          </w:p>
          <w:p w:rsidR="00000000" w:rsidRDefault="004451D1">
            <w:pPr>
              <w:pStyle w:val="a4"/>
              <w:spacing w:before="0" w:beforeAutospacing="0" w:after="0" w:afterAutospacing="0" w:line="360" w:lineRule="auto"/>
              <w:ind w:firstLine="420"/>
              <w:rPr>
                <w:rFonts w:hint="eastAsia"/>
                <w:sz w:val="21"/>
                <w:szCs w:val="21"/>
              </w:rPr>
            </w:pPr>
            <w:r>
              <w:rPr>
                <w:rFonts w:hint="eastAsia"/>
                <w:sz w:val="21"/>
                <w:szCs w:val="21"/>
              </w:rPr>
              <w:t>2</w:t>
            </w:r>
            <w:r>
              <w:rPr>
                <w:rFonts w:hint="eastAsia"/>
                <w:sz w:val="21"/>
                <w:szCs w:val="21"/>
              </w:rPr>
              <w:t>、基金跟踪偏离的风险</w:t>
            </w:r>
            <w:r>
              <w:rPr>
                <w:rFonts w:hint="eastAsia"/>
                <w:sz w:val="21"/>
                <w:szCs w:val="21"/>
              </w:rPr>
              <w:t xml:space="preserve"> </w:t>
            </w:r>
          </w:p>
          <w:p w:rsidR="00000000" w:rsidRDefault="004451D1">
            <w:pPr>
              <w:pStyle w:val="a4"/>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）本基金投资标的与业绩比较基准的结构可能存在差异。投资者以现券方式申购本基金场内份额时，本基金接受投资者以</w:t>
            </w:r>
            <w:r>
              <w:rPr>
                <w:rFonts w:hint="eastAsia"/>
                <w:sz w:val="21"/>
                <w:szCs w:val="21"/>
              </w:rPr>
              <w:t>Au99.99</w:t>
            </w:r>
            <w:r>
              <w:rPr>
                <w:rFonts w:hint="eastAsia"/>
                <w:sz w:val="21"/>
                <w:szCs w:val="21"/>
              </w:rPr>
              <w:t>现货实盘合约提出的申购申请；在投</w:t>
            </w:r>
            <w:r>
              <w:rPr>
                <w:rFonts w:hint="eastAsia"/>
                <w:sz w:val="21"/>
                <w:szCs w:val="21"/>
              </w:rPr>
              <w:t>资者赎回基金份额时，本基金可支付</w:t>
            </w:r>
            <w:r>
              <w:rPr>
                <w:rFonts w:hint="eastAsia"/>
                <w:sz w:val="21"/>
                <w:szCs w:val="21"/>
              </w:rPr>
              <w:t>Au99.99</w:t>
            </w:r>
            <w:r>
              <w:rPr>
                <w:rFonts w:hint="eastAsia"/>
                <w:sz w:val="21"/>
                <w:szCs w:val="21"/>
              </w:rPr>
              <w:t>现货实盘合约作为赎回对价。本基金可以投资于</w:t>
            </w:r>
            <w:r>
              <w:rPr>
                <w:rFonts w:hint="eastAsia"/>
                <w:sz w:val="21"/>
                <w:szCs w:val="21"/>
              </w:rPr>
              <w:t>AU(t+d)</w:t>
            </w:r>
            <w:r>
              <w:rPr>
                <w:rFonts w:hint="eastAsia"/>
                <w:sz w:val="21"/>
                <w:szCs w:val="21"/>
              </w:rPr>
              <w:t>现货延期合约，当出现较大规模的申购或赎回时，为应对流动性压力，本基金持有或交易的黄金延期合约的比例将上升。即，本基金投资组合可能由</w:t>
            </w:r>
            <w:r>
              <w:rPr>
                <w:rFonts w:hint="eastAsia"/>
                <w:sz w:val="21"/>
                <w:szCs w:val="21"/>
              </w:rPr>
              <w:t>Au99.95</w:t>
            </w:r>
            <w:r>
              <w:rPr>
                <w:rFonts w:hint="eastAsia"/>
                <w:sz w:val="21"/>
                <w:szCs w:val="21"/>
              </w:rPr>
              <w:t>和</w:t>
            </w:r>
            <w:r>
              <w:rPr>
                <w:rFonts w:hint="eastAsia"/>
                <w:sz w:val="21"/>
                <w:szCs w:val="21"/>
              </w:rPr>
              <w:t>Au99.99</w:t>
            </w:r>
            <w:r>
              <w:rPr>
                <w:rFonts w:hint="eastAsia"/>
                <w:sz w:val="21"/>
                <w:szCs w:val="21"/>
              </w:rPr>
              <w:t>现货实盘合约以及</w:t>
            </w:r>
            <w:r>
              <w:rPr>
                <w:rFonts w:hint="eastAsia"/>
                <w:sz w:val="21"/>
                <w:szCs w:val="21"/>
              </w:rPr>
              <w:t>AU(T+d)</w:t>
            </w:r>
            <w:r>
              <w:rPr>
                <w:rFonts w:hint="eastAsia"/>
                <w:sz w:val="21"/>
                <w:szCs w:val="21"/>
              </w:rPr>
              <w:t>现货延期合约等共同构成，本基金投资组合与业绩比较基准的结构差异可能导致基金表现与业绩比较基准的偏离。</w:t>
            </w:r>
            <w:r>
              <w:rPr>
                <w:rFonts w:hint="eastAsia"/>
                <w:sz w:val="21"/>
                <w:szCs w:val="21"/>
              </w:rPr>
              <w:t xml:space="preserve"> </w:t>
            </w:r>
          </w:p>
          <w:p w:rsidR="00000000" w:rsidRDefault="004451D1">
            <w:pPr>
              <w:pStyle w:val="a4"/>
              <w:spacing w:before="0" w:beforeAutospacing="0" w:after="0" w:afterAutospacing="0"/>
              <w:ind w:firstLine="420"/>
              <w:rPr>
                <w:sz w:val="21"/>
                <w:szCs w:val="21"/>
              </w:rPr>
            </w:pPr>
          </w:p>
        </w:tc>
      </w:tr>
    </w:tbl>
    <w:p w:rsidR="00000000" w:rsidRDefault="004451D1">
      <w:pPr>
        <w:spacing w:line="360" w:lineRule="auto"/>
        <w:ind w:firstLineChars="200" w:firstLine="422"/>
        <w:rPr>
          <w:rFonts w:ascii="宋体" w:hAnsi="宋体" w:cs="宋体" w:hint="eastAsia"/>
          <w:b/>
          <w:bCs/>
          <w:szCs w:val="21"/>
        </w:rPr>
      </w:pPr>
    </w:p>
    <w:p w:rsidR="00000000" w:rsidRDefault="004451D1">
      <w:pPr>
        <w:spacing w:line="360" w:lineRule="auto"/>
        <w:ind w:firstLineChars="200" w:firstLine="422"/>
        <w:rPr>
          <w:rFonts w:ascii="宋体" w:hAnsi="宋体" w:cs="宋体" w:hint="eastAsia"/>
          <w:b/>
          <w:bCs/>
          <w:szCs w:val="21"/>
        </w:rPr>
      </w:pPr>
      <w:r>
        <w:rPr>
          <w:rFonts w:ascii="宋体" w:hAnsi="宋体" w:cs="宋体" w:hint="eastAsia"/>
          <w:b/>
          <w:bCs/>
          <w:szCs w:val="21"/>
        </w:rPr>
        <w:t>三</w:t>
      </w:r>
      <w:r>
        <w:rPr>
          <w:rFonts w:ascii="宋体" w:hAnsi="宋体" w:cs="宋体" w:hint="eastAsia"/>
          <w:b/>
          <w:bCs/>
          <w:szCs w:val="21"/>
        </w:rPr>
        <w:t>、其他事项</w:t>
      </w:r>
    </w:p>
    <w:p w:rsidR="00000000" w:rsidRDefault="004451D1" w:rsidP="004451D1">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w:t>
      </w:r>
      <w:r>
        <w:rPr>
          <w:rFonts w:ascii="宋体" w:hAnsi="宋体" w:cs="宋体" w:hint="eastAsia"/>
          <w:szCs w:val="21"/>
        </w:rPr>
        <w:t>申购赎回清单所列示的前一日最小申购、赎回单位资产净值为根据调整后的最小</w:t>
      </w:r>
      <w:r>
        <w:rPr>
          <w:rFonts w:ascii="宋体" w:hAnsi="宋体" w:cs="宋体" w:hint="eastAsia"/>
          <w:szCs w:val="21"/>
        </w:rPr>
        <w:t>申购、赎回单位计算所得。</w:t>
      </w:r>
    </w:p>
    <w:p w:rsidR="00000000" w:rsidRDefault="004451D1">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投资者现券申购、赎回本</w:t>
      </w:r>
      <w:r>
        <w:rPr>
          <w:rFonts w:ascii="宋体" w:hAnsi="宋体" w:cs="宋体" w:hint="eastAsia"/>
          <w:szCs w:val="21"/>
        </w:rPr>
        <w:t>基金场内</w:t>
      </w:r>
      <w:r>
        <w:rPr>
          <w:rFonts w:ascii="宋体" w:hAnsi="宋体" w:cs="宋体" w:hint="eastAsia"/>
          <w:szCs w:val="21"/>
        </w:rPr>
        <w:t>基金</w:t>
      </w:r>
      <w:r>
        <w:rPr>
          <w:rFonts w:ascii="宋体" w:hAnsi="宋体" w:cs="宋体" w:hint="eastAsia"/>
          <w:szCs w:val="21"/>
        </w:rPr>
        <w:t>份额</w:t>
      </w:r>
      <w:r>
        <w:rPr>
          <w:rFonts w:ascii="宋体" w:hAnsi="宋体" w:cs="宋体" w:hint="eastAsia"/>
          <w:szCs w:val="21"/>
        </w:rPr>
        <w:t>，须按现券申购、赎回的最小申购、赎回单位的整数倍提交申请。投资者现金申购、赎回本基金</w:t>
      </w:r>
      <w:r>
        <w:rPr>
          <w:rFonts w:ascii="宋体" w:hAnsi="宋体" w:cs="宋体" w:hint="eastAsia"/>
          <w:szCs w:val="21"/>
        </w:rPr>
        <w:t>场内</w:t>
      </w:r>
      <w:r>
        <w:rPr>
          <w:rFonts w:ascii="宋体" w:hAnsi="宋体" w:cs="宋体" w:hint="eastAsia"/>
          <w:szCs w:val="21"/>
        </w:rPr>
        <w:t>基金</w:t>
      </w:r>
      <w:r>
        <w:rPr>
          <w:rFonts w:ascii="宋体" w:hAnsi="宋体" w:cs="宋体" w:hint="eastAsia"/>
          <w:szCs w:val="21"/>
        </w:rPr>
        <w:t>份额</w:t>
      </w:r>
      <w:r>
        <w:rPr>
          <w:rFonts w:ascii="宋体" w:hAnsi="宋体" w:cs="宋体" w:hint="eastAsia"/>
          <w:szCs w:val="21"/>
        </w:rPr>
        <w:t>，须按现金申购、赎回的最小申购、赎回单位的整数倍提交申请。</w:t>
      </w:r>
      <w:r>
        <w:rPr>
          <w:rFonts w:ascii="宋体" w:hAnsi="宋体" w:cs="宋体" w:hint="eastAsia"/>
          <w:szCs w:val="21"/>
        </w:rPr>
        <w:t xml:space="preserve"> </w:t>
      </w:r>
    </w:p>
    <w:p w:rsidR="00000000" w:rsidRDefault="004451D1">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本公告仅对调整本基金场内基金份额的最小申购、赎回单位和黄金现货合约申购、赎回对价的有关事项予以说明。投资者欲了解本基金详细情况，请阅读本基金的基金合同、招募说明书及其更新等法律文件。</w:t>
      </w:r>
    </w:p>
    <w:p w:rsidR="00000000" w:rsidRDefault="004451D1">
      <w:pPr>
        <w:spacing w:line="360" w:lineRule="auto"/>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投资者可登录本基金管理人网站（</w:t>
      </w:r>
      <w:r>
        <w:rPr>
          <w:rFonts w:ascii="宋体" w:hAnsi="宋体" w:cs="宋体" w:hint="eastAsia"/>
          <w:szCs w:val="21"/>
        </w:rPr>
        <w:t>www.</w:t>
      </w:r>
      <w:r>
        <w:rPr>
          <w:rFonts w:ascii="宋体" w:hAnsi="宋体" w:cs="宋体" w:hint="eastAsia"/>
          <w:szCs w:val="21"/>
        </w:rPr>
        <w:t>bosera</w:t>
      </w:r>
      <w:r>
        <w:rPr>
          <w:rFonts w:ascii="宋体" w:hAnsi="宋体" w:cs="宋体" w:hint="eastAsia"/>
          <w:szCs w:val="21"/>
        </w:rPr>
        <w:t>.com</w:t>
      </w:r>
      <w:r>
        <w:rPr>
          <w:rFonts w:ascii="宋体" w:hAnsi="宋体" w:cs="宋体" w:hint="eastAsia"/>
          <w:szCs w:val="21"/>
        </w:rPr>
        <w:t>）或拨打客户服务电话</w:t>
      </w:r>
      <w:r>
        <w:rPr>
          <w:rFonts w:ascii="宋体" w:hAnsi="宋体" w:cs="宋体" w:hint="eastAsia"/>
          <w:szCs w:val="21"/>
        </w:rPr>
        <w:t>95105568</w:t>
      </w:r>
      <w:r>
        <w:rPr>
          <w:rFonts w:ascii="宋体" w:hAnsi="宋体" w:cs="宋体" w:hint="eastAsia"/>
          <w:szCs w:val="21"/>
        </w:rPr>
        <w:t>（免长途话费）咨询详情。</w:t>
      </w:r>
    </w:p>
    <w:p w:rsidR="00000000" w:rsidRDefault="004451D1">
      <w:pPr>
        <w:spacing w:line="360" w:lineRule="auto"/>
        <w:ind w:firstLineChars="200" w:firstLine="420"/>
        <w:rPr>
          <w:rFonts w:ascii="宋体" w:hAnsi="宋体" w:cs="宋体" w:hint="eastAsia"/>
          <w:szCs w:val="21"/>
        </w:rPr>
      </w:pPr>
      <w:r>
        <w:rPr>
          <w:rFonts w:ascii="宋体" w:hAnsi="宋体" w:cs="宋体" w:hint="eastAsia"/>
          <w:szCs w:val="21"/>
        </w:rPr>
        <w:lastRenderedPageBreak/>
        <w:t>风险提示：本公司承诺以诚实信用、勤勉尽责的原则管理和运用基金资产，但不保证基金一定盈利，也不保证最低收益。投资者投资于基金前应认真阅读基金的基金合同、招募说明书等文件。敬请投资者注意投资风险。</w:t>
      </w:r>
    </w:p>
    <w:p w:rsidR="00000000" w:rsidRDefault="004451D1">
      <w:pPr>
        <w:spacing w:line="360" w:lineRule="auto"/>
        <w:ind w:firstLineChars="200" w:firstLine="420"/>
        <w:rPr>
          <w:rFonts w:ascii="宋体" w:hAnsi="宋体" w:cs="宋体" w:hint="eastAsia"/>
          <w:szCs w:val="21"/>
        </w:rPr>
      </w:pPr>
      <w:r>
        <w:rPr>
          <w:rFonts w:ascii="宋体" w:hAnsi="宋体" w:cs="宋体" w:hint="eastAsia"/>
          <w:szCs w:val="21"/>
        </w:rPr>
        <w:t>特此公告。</w:t>
      </w:r>
    </w:p>
    <w:p w:rsidR="00000000" w:rsidRDefault="004451D1">
      <w:pPr>
        <w:spacing w:line="360" w:lineRule="auto"/>
        <w:ind w:firstLineChars="200" w:firstLine="420"/>
        <w:jc w:val="right"/>
        <w:rPr>
          <w:rFonts w:ascii="宋体" w:hAnsi="宋体" w:cs="宋体" w:hint="eastAsia"/>
          <w:szCs w:val="21"/>
        </w:rPr>
      </w:pPr>
    </w:p>
    <w:p w:rsidR="00000000" w:rsidRDefault="004451D1">
      <w:pPr>
        <w:spacing w:line="360" w:lineRule="auto"/>
        <w:ind w:firstLineChars="200" w:firstLine="420"/>
        <w:jc w:val="right"/>
        <w:rPr>
          <w:rFonts w:ascii="宋体" w:hAnsi="宋体" w:cs="宋体" w:hint="eastAsia"/>
          <w:szCs w:val="21"/>
        </w:rPr>
      </w:pPr>
    </w:p>
    <w:p w:rsidR="00000000" w:rsidRDefault="004451D1">
      <w:pPr>
        <w:spacing w:line="360" w:lineRule="auto"/>
        <w:ind w:firstLineChars="200" w:firstLine="420"/>
        <w:jc w:val="right"/>
        <w:rPr>
          <w:rFonts w:ascii="宋体" w:hAnsi="宋体" w:cs="宋体" w:hint="eastAsia"/>
          <w:szCs w:val="21"/>
        </w:rPr>
      </w:pPr>
    </w:p>
    <w:p w:rsidR="00000000" w:rsidRDefault="004451D1">
      <w:pPr>
        <w:spacing w:line="360" w:lineRule="auto"/>
        <w:ind w:firstLineChars="200" w:firstLine="420"/>
        <w:jc w:val="right"/>
        <w:rPr>
          <w:rFonts w:ascii="宋体" w:hAnsi="宋体" w:cs="宋体" w:hint="eastAsia"/>
          <w:szCs w:val="21"/>
        </w:rPr>
      </w:pPr>
      <w:r>
        <w:rPr>
          <w:rFonts w:ascii="宋体" w:hAnsi="宋体" w:cs="宋体" w:hint="eastAsia"/>
          <w:szCs w:val="21"/>
        </w:rPr>
        <w:t>博时基金</w:t>
      </w:r>
      <w:r>
        <w:rPr>
          <w:rFonts w:ascii="宋体" w:hAnsi="宋体" w:cs="宋体" w:hint="eastAsia"/>
          <w:szCs w:val="21"/>
        </w:rPr>
        <w:t>管理有限公司</w:t>
      </w:r>
    </w:p>
    <w:p w:rsidR="00000000" w:rsidRDefault="004451D1">
      <w:pPr>
        <w:spacing w:line="360" w:lineRule="auto"/>
        <w:ind w:firstLineChars="200" w:firstLine="420"/>
        <w:jc w:val="right"/>
        <w:rPr>
          <w:rFonts w:ascii="宋体" w:hAnsi="宋体" w:cs="宋体" w:hint="eastAsia"/>
          <w:szCs w:val="21"/>
        </w:rPr>
      </w:pP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ans-serif">
    <w:altName w:val="Arial Unicode MS"/>
    <w:charset w:val="00"/>
    <w:family w:val="auto"/>
    <w:pitch w:val="default"/>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85EF5"/>
    <w:multiLevelType w:val="multilevel"/>
    <w:tmpl w:val="5C185EF5"/>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1D1"/>
    <w:rsid w:val="000377B2"/>
    <w:rsid w:val="004451D1"/>
    <w:rsid w:val="03AA7F53"/>
    <w:rsid w:val="053E7F94"/>
    <w:rsid w:val="06225B8E"/>
    <w:rsid w:val="0701348E"/>
    <w:rsid w:val="090833EC"/>
    <w:rsid w:val="0A400C0D"/>
    <w:rsid w:val="0AF2584D"/>
    <w:rsid w:val="11BB0871"/>
    <w:rsid w:val="13407650"/>
    <w:rsid w:val="13B0325D"/>
    <w:rsid w:val="16835F53"/>
    <w:rsid w:val="175B0BC9"/>
    <w:rsid w:val="1D22285A"/>
    <w:rsid w:val="1E5A543C"/>
    <w:rsid w:val="26D17246"/>
    <w:rsid w:val="27D53609"/>
    <w:rsid w:val="28304EAB"/>
    <w:rsid w:val="296B0BA3"/>
    <w:rsid w:val="2A29146E"/>
    <w:rsid w:val="2DBB6F14"/>
    <w:rsid w:val="2DE7683E"/>
    <w:rsid w:val="30AE6E40"/>
    <w:rsid w:val="33822A3D"/>
    <w:rsid w:val="37132880"/>
    <w:rsid w:val="388F6715"/>
    <w:rsid w:val="3CCB4851"/>
    <w:rsid w:val="41A82C28"/>
    <w:rsid w:val="42EB021D"/>
    <w:rsid w:val="4655253B"/>
    <w:rsid w:val="4775490F"/>
    <w:rsid w:val="47F06D9E"/>
    <w:rsid w:val="48F17A38"/>
    <w:rsid w:val="4B0D48B0"/>
    <w:rsid w:val="4B0D6960"/>
    <w:rsid w:val="4C3C09E7"/>
    <w:rsid w:val="4C4F7644"/>
    <w:rsid w:val="4CDE44D0"/>
    <w:rsid w:val="4F0B7915"/>
    <w:rsid w:val="50F647A3"/>
    <w:rsid w:val="5253712F"/>
    <w:rsid w:val="53F85010"/>
    <w:rsid w:val="54C93027"/>
    <w:rsid w:val="55193816"/>
    <w:rsid w:val="56973DD8"/>
    <w:rsid w:val="58914066"/>
    <w:rsid w:val="59A170C1"/>
    <w:rsid w:val="59CA642E"/>
    <w:rsid w:val="5D6F45FE"/>
    <w:rsid w:val="5DC578C0"/>
    <w:rsid w:val="5E734129"/>
    <w:rsid w:val="609A34CF"/>
    <w:rsid w:val="62AB7F4E"/>
    <w:rsid w:val="63E52687"/>
    <w:rsid w:val="647729EF"/>
    <w:rsid w:val="65903B5A"/>
    <w:rsid w:val="67FC7427"/>
    <w:rsid w:val="6B8A205A"/>
    <w:rsid w:val="6BF967E6"/>
    <w:rsid w:val="6E8C3EA7"/>
    <w:rsid w:val="714E22F7"/>
    <w:rsid w:val="71B04E10"/>
    <w:rsid w:val="7584333E"/>
    <w:rsid w:val="78514427"/>
    <w:rsid w:val="791E5A9A"/>
    <w:rsid w:val="79A471A7"/>
    <w:rsid w:val="7ACE63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numPr>
        <w:numId w:val="1"/>
      </w:numPr>
      <w:adjustRightInd w:val="0"/>
      <w:snapToGrid w:val="0"/>
      <w:spacing w:line="360" w:lineRule="auto"/>
      <w:jc w:val="center"/>
      <w:outlineLvl w:val="0"/>
    </w:pPr>
    <w:rPr>
      <w:rFonts w:ascii="宋体" w:hAnsi="宋体"/>
      <w:b/>
      <w:kern w:val="44"/>
      <w:sz w:val="24"/>
      <w:szCs w:val="21"/>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Pr>
      <w:b/>
      <w:bCs/>
    </w:rPr>
  </w:style>
  <w:style w:type="paragraph" w:styleId="a7">
    <w:name w:val="Balloon Text"/>
    <w:basedOn w:val="a"/>
    <w:link w:val="Char"/>
    <w:rsid w:val="004451D1"/>
    <w:rPr>
      <w:sz w:val="18"/>
      <w:szCs w:val="18"/>
    </w:rPr>
  </w:style>
  <w:style w:type="character" w:customStyle="1" w:styleId="Char">
    <w:name w:val="批注框文本 Char"/>
    <w:basedOn w:val="a0"/>
    <w:link w:val="a7"/>
    <w:rsid w:val="004451D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2299</Characters>
  <Application>Microsoft Office Word</Application>
  <DocSecurity>4</DocSecurity>
  <Lines>19</Lines>
  <Paragraphs>5</Paragraphs>
  <ScaleCrop>false</ScaleCrop>
  <Company>CNSTOCK</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tangl</dc:creator>
  <cp:keywords/>
  <cp:lastModifiedBy>ZHONGM</cp:lastModifiedBy>
  <cp:revision>2</cp:revision>
  <dcterms:created xsi:type="dcterms:W3CDTF">2025-11-11T16:03:00Z</dcterms:created>
  <dcterms:modified xsi:type="dcterms:W3CDTF">2025-11-11T16:03:00Z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FF5EE8526ACA4D16B8DC63734E2BECC9_13</vt:lpwstr>
  </property>
</Properties>
</file>