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46" w:rsidRDefault="00CD6D7C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关于博时基金管理有限公司旗下部分基金新增华福证券为申购、赎回代办券商的公告</w:t>
      </w:r>
    </w:p>
    <w:p w:rsidR="00FA6146" w:rsidRDefault="00FA6146">
      <w:pPr>
        <w:rPr>
          <w:rFonts w:ascii="楷体_GB2312" w:eastAsia="楷体_GB2312"/>
          <w:color w:val="000000"/>
          <w:sz w:val="24"/>
          <w:szCs w:val="24"/>
        </w:rPr>
      </w:pPr>
    </w:p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由博时基金管理有限公司（以下简称“本公司”）申请，并经深圳证券交易所确认，自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日起，本公司旗下部分基金将新增华福证券有限责任公司为场内申购、赎回业务的代办券商（以下简称“一级交易商”）。投资者可通过上述券商办理下述基金的场内申购、赎回等业务。具体基金如下：</w:t>
      </w:r>
      <w:r>
        <w:rPr>
          <w:rFonts w:hint="eastAsia"/>
        </w:rPr>
        <w:t> </w:t>
      </w:r>
    </w:p>
    <w:tbl>
      <w:tblPr>
        <w:tblW w:w="51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5086"/>
        <w:gridCol w:w="2797"/>
        <w:gridCol w:w="1389"/>
      </w:tblGrid>
      <w:tr w:rsidR="00FA6146"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序号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基金名称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基金简称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基金代码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</w:tr>
      <w:tr w:rsidR="00FA6146"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 </w:t>
            </w:r>
          </w:p>
        </w:tc>
        <w:tc>
          <w:tcPr>
            <w:tcW w:w="2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博时中证红利低波动</w:t>
            </w: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交易型开放式指数证券投资基金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红利低波</w:t>
            </w:r>
            <w:r>
              <w:rPr>
                <w:rFonts w:hint="eastAsia"/>
                <w:sz w:val="24"/>
                <w:szCs w:val="24"/>
              </w:rPr>
              <w:t>100ETF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159307 </w:t>
            </w:r>
          </w:p>
        </w:tc>
      </w:tr>
      <w:tr w:rsidR="00FA6146"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2 </w:t>
            </w:r>
          </w:p>
        </w:tc>
        <w:tc>
          <w:tcPr>
            <w:tcW w:w="2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博时中证半导体产业交易型开放式指数证券投资基金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半导体产业</w:t>
            </w:r>
            <w:r>
              <w:rPr>
                <w:rFonts w:hint="eastAsia"/>
                <w:sz w:val="24"/>
                <w:szCs w:val="24"/>
              </w:rPr>
              <w:t>ETF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159582 </w:t>
            </w:r>
          </w:p>
        </w:tc>
      </w:tr>
      <w:tr w:rsidR="00FA6146"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3 </w:t>
            </w:r>
          </w:p>
        </w:tc>
        <w:tc>
          <w:tcPr>
            <w:tcW w:w="2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博时恒生科技交易型开放式指数证券投资基金</w:t>
            </w:r>
            <w:r>
              <w:rPr>
                <w:rFonts w:hint="eastAsia"/>
                <w:sz w:val="24"/>
                <w:szCs w:val="24"/>
              </w:rPr>
              <w:t>(QDII)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恒生科技指数</w:t>
            </w:r>
            <w:r>
              <w:rPr>
                <w:rFonts w:hint="eastAsia"/>
                <w:sz w:val="24"/>
                <w:szCs w:val="24"/>
              </w:rPr>
              <w:t>ETF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159742 </w:t>
            </w:r>
          </w:p>
        </w:tc>
      </w:tr>
      <w:tr w:rsidR="00FA6146">
        <w:trPr>
          <w:trHeight w:val="961"/>
        </w:trPr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4 </w:t>
            </w:r>
          </w:p>
        </w:tc>
        <w:tc>
          <w:tcPr>
            <w:tcW w:w="2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博时中证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交易型开放式指数证券投资基金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中证</w:t>
            </w:r>
            <w:r>
              <w:rPr>
                <w:rFonts w:hint="eastAsia"/>
                <w:sz w:val="24"/>
                <w:szCs w:val="24"/>
              </w:rPr>
              <w:t>500ETF</w:t>
            </w:r>
            <w:r>
              <w:rPr>
                <w:rFonts w:hint="eastAsia"/>
                <w:sz w:val="24"/>
                <w:szCs w:val="24"/>
              </w:rPr>
              <w:t>博时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159968 </w:t>
            </w:r>
          </w:p>
        </w:tc>
      </w:tr>
    </w:tbl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01"/>
        <w:gridCol w:w="1718"/>
        <w:gridCol w:w="4043"/>
      </w:tblGrid>
      <w:tr w:rsidR="00FA61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机构名称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客服电话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网址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</w:tr>
      <w:tr w:rsidR="00FA61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华福证券有限责任公司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95547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6146" w:rsidRDefault="00CD6D7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http://www.hfzq.com.cn </w:t>
            </w:r>
          </w:p>
        </w:tc>
      </w:tr>
    </w:tbl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</w:t>
      </w:r>
      <w:r>
        <w:rPr>
          <w:rFonts w:hint="eastAsia"/>
        </w:rPr>
        <w:t>，登录本公司网站</w:t>
      </w:r>
      <w:r>
        <w:rPr>
          <w:rFonts w:hint="eastAsia"/>
        </w:rPr>
        <w:t>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FA6146" w:rsidRDefault="00CD6D7C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FA6146" w:rsidRDefault="00CD6D7C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FA6146" w:rsidRDefault="00CD6D7C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2025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11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12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FA6146" w:rsidSect="00FA61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E2DEA"/>
    <w:rsid w:val="0054440F"/>
    <w:rsid w:val="005C6C5C"/>
    <w:rsid w:val="005F7AF8"/>
    <w:rsid w:val="00791D57"/>
    <w:rsid w:val="007B2188"/>
    <w:rsid w:val="00816D5C"/>
    <w:rsid w:val="00855A50"/>
    <w:rsid w:val="008D0F9B"/>
    <w:rsid w:val="008E39A2"/>
    <w:rsid w:val="00967FC3"/>
    <w:rsid w:val="009D1DE7"/>
    <w:rsid w:val="00A02E52"/>
    <w:rsid w:val="00B50B2B"/>
    <w:rsid w:val="00CD6D7C"/>
    <w:rsid w:val="00DF750F"/>
    <w:rsid w:val="00F8460C"/>
    <w:rsid w:val="00FA6146"/>
    <w:rsid w:val="00FB06A4"/>
    <w:rsid w:val="00FB450C"/>
    <w:rsid w:val="00FC2A28"/>
    <w:rsid w:val="00FE0443"/>
    <w:rsid w:val="00FE5261"/>
    <w:rsid w:val="2724559C"/>
    <w:rsid w:val="3757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46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A6146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6146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6146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6146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6146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6146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A614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A61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A6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A6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FA6146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FA6146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FA614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FA614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614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A6146"/>
  </w:style>
  <w:style w:type="character" w:customStyle="1" w:styleId="Char3">
    <w:name w:val="批注主题 Char"/>
    <w:basedOn w:val="Char"/>
    <w:link w:val="a8"/>
    <w:uiPriority w:val="99"/>
    <w:semiHidden/>
    <w:qFormat/>
    <w:rsid w:val="00FA6146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A6146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FA6146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FA6146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FA6146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FA6146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sid w:val="00FA6146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FA6146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FA6146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4</DocSecurity>
  <Lines>4</Lines>
  <Paragraphs>1</Paragraphs>
  <ScaleCrop>false</ScaleCrop>
  <Company>CNSTOCK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2025-11-11T16:03:00Z</dcterms:created>
  <dcterms:modified xsi:type="dcterms:W3CDTF">2025-11-11T16:03:00Z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9C137A87EF9647058CAF19628651877B</vt:lpwstr>
  </property>
</Properties>
</file>