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44" w:rsidRDefault="00643244">
      <w:pPr>
        <w:widowControl w:val="0"/>
        <w:jc w:val="both"/>
      </w:pPr>
      <w:bookmarkStart w:id="0" w:name="_GoBack"/>
      <w:bookmarkEnd w:id="0"/>
    </w:p>
    <w:p w:rsidR="00643244" w:rsidRDefault="00643244">
      <w:pPr>
        <w:widowControl w:val="0"/>
        <w:jc w:val="both"/>
      </w:pPr>
    </w:p>
    <w:p w:rsidR="00643244" w:rsidRDefault="00643244">
      <w:pPr>
        <w:widowControl w:val="0"/>
        <w:jc w:val="both"/>
      </w:pPr>
    </w:p>
    <w:p w:rsidR="00643244" w:rsidRDefault="00643244">
      <w:pPr>
        <w:widowControl w:val="0"/>
        <w:jc w:val="both"/>
      </w:pPr>
    </w:p>
    <w:p w:rsidR="00643244" w:rsidRPr="003B3A22" w:rsidRDefault="001E4554">
      <w:pPr>
        <w:widowControl w:val="0"/>
        <w:jc w:val="center"/>
        <w:rPr>
          <w:sz w:val="48"/>
          <w:szCs w:val="48"/>
          <w:lang w:eastAsia="zh-CN"/>
        </w:rPr>
      </w:pPr>
      <w:r w:rsidRPr="003B3A22">
        <w:rPr>
          <w:rFonts w:ascii="宋体" w:eastAsia="宋体" w:hAnsi="宋体" w:cs="宋体"/>
          <w:b/>
          <w:bCs/>
          <w:sz w:val="48"/>
          <w:szCs w:val="48"/>
          <w:lang w:eastAsia="zh-CN"/>
        </w:rPr>
        <w:t>鹏华中短债3个月定期开放债券型证券投资基金开放申购、赎回和转换业务的公告</w:t>
      </w:r>
    </w:p>
    <w:p w:rsidR="00643244" w:rsidRPr="003B3A22" w:rsidRDefault="00643244">
      <w:pPr>
        <w:widowControl w:val="0"/>
        <w:jc w:val="center"/>
        <w:rPr>
          <w:sz w:val="30"/>
          <w:szCs w:val="30"/>
          <w:lang w:eastAsia="zh-CN"/>
        </w:rPr>
      </w:pPr>
    </w:p>
    <w:p w:rsidR="00643244" w:rsidRPr="003B3A22" w:rsidRDefault="00643244">
      <w:pPr>
        <w:widowControl w:val="0"/>
        <w:jc w:val="center"/>
        <w:rPr>
          <w:sz w:val="30"/>
          <w:szCs w:val="30"/>
          <w:lang w:eastAsia="zh-CN"/>
        </w:rPr>
      </w:pPr>
    </w:p>
    <w:p w:rsidR="00643244" w:rsidRPr="003B3A22" w:rsidRDefault="00643244">
      <w:pPr>
        <w:widowControl w:val="0"/>
        <w:jc w:val="center"/>
        <w:rPr>
          <w:sz w:val="30"/>
          <w:szCs w:val="30"/>
          <w:lang w:eastAsia="zh-CN"/>
        </w:rPr>
      </w:pPr>
    </w:p>
    <w:p w:rsidR="00643244" w:rsidRPr="003B3A22" w:rsidRDefault="00643244">
      <w:pPr>
        <w:widowControl w:val="0"/>
        <w:jc w:val="center"/>
        <w:rPr>
          <w:sz w:val="30"/>
          <w:szCs w:val="30"/>
          <w:lang w:eastAsia="zh-CN"/>
        </w:rPr>
      </w:pPr>
    </w:p>
    <w:p w:rsidR="00643244" w:rsidRPr="003B3A22" w:rsidRDefault="00643244">
      <w:pPr>
        <w:widowControl w:val="0"/>
        <w:jc w:val="center"/>
        <w:rPr>
          <w:sz w:val="30"/>
          <w:szCs w:val="30"/>
          <w:lang w:eastAsia="zh-CN"/>
        </w:rPr>
      </w:pPr>
    </w:p>
    <w:p w:rsidR="00643244" w:rsidRPr="003B3A22" w:rsidRDefault="00643244">
      <w:pPr>
        <w:widowControl w:val="0"/>
        <w:jc w:val="center"/>
        <w:rPr>
          <w:sz w:val="30"/>
          <w:szCs w:val="30"/>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1E4554">
      <w:pPr>
        <w:widowControl w:val="0"/>
        <w:jc w:val="both"/>
        <w:rPr>
          <w:lang w:eastAsia="zh-CN"/>
        </w:rPr>
      </w:pPr>
      <w:r w:rsidRPr="003B3A22">
        <w:rPr>
          <w:rFonts w:eastAsia="Times New Roman"/>
          <w:lang w:eastAsia="zh-CN"/>
        </w:rPr>
        <w:t> </w:t>
      </w:r>
    </w:p>
    <w:p w:rsidR="00643244" w:rsidRPr="003B3A22" w:rsidRDefault="001E4554">
      <w:pPr>
        <w:widowControl w:val="0"/>
        <w:jc w:val="both"/>
        <w:rPr>
          <w:lang w:eastAsia="zh-CN"/>
        </w:rPr>
      </w:pPr>
      <w:r w:rsidRPr="003B3A22">
        <w:rPr>
          <w:rFonts w:eastAsia="Times New Roman"/>
          <w:lang w:eastAsia="zh-CN"/>
        </w:rPr>
        <w:t> </w:t>
      </w:r>
    </w:p>
    <w:p w:rsidR="00643244" w:rsidRPr="003B3A22" w:rsidRDefault="001E4554">
      <w:pPr>
        <w:widowControl w:val="0"/>
        <w:jc w:val="both"/>
        <w:rPr>
          <w:lang w:eastAsia="zh-CN"/>
        </w:rPr>
      </w:pPr>
      <w:r w:rsidRPr="003B3A22">
        <w:rPr>
          <w:rFonts w:eastAsia="Times New Roman"/>
          <w:lang w:eastAsia="zh-CN"/>
        </w:rPr>
        <w:t> </w:t>
      </w:r>
    </w:p>
    <w:p w:rsidR="00643244" w:rsidRPr="003B3A22" w:rsidRDefault="001E4554">
      <w:pPr>
        <w:widowControl w:val="0"/>
        <w:jc w:val="both"/>
        <w:rPr>
          <w:lang w:eastAsia="zh-CN"/>
        </w:rPr>
      </w:pPr>
      <w:r w:rsidRPr="003B3A22">
        <w:rPr>
          <w:rFonts w:eastAsia="Times New Roman"/>
          <w:lang w:eastAsia="zh-CN"/>
        </w:rPr>
        <w:t> </w:t>
      </w:r>
    </w:p>
    <w:p w:rsidR="00643244" w:rsidRPr="003B3A22" w:rsidRDefault="001E4554">
      <w:pPr>
        <w:widowControl w:val="0"/>
        <w:jc w:val="both"/>
        <w:rPr>
          <w:lang w:eastAsia="zh-CN"/>
        </w:rPr>
      </w:pPr>
      <w:r w:rsidRPr="003B3A22">
        <w:rPr>
          <w:rFonts w:eastAsia="Times New Roman"/>
          <w:lang w:eastAsia="zh-CN"/>
        </w:rPr>
        <w:t> </w:t>
      </w:r>
    </w:p>
    <w:p w:rsidR="00643244" w:rsidRPr="003B3A22" w:rsidRDefault="001E4554">
      <w:pPr>
        <w:widowControl w:val="0"/>
        <w:jc w:val="both"/>
        <w:rPr>
          <w:lang w:eastAsia="zh-CN"/>
        </w:rPr>
      </w:pPr>
      <w:r w:rsidRPr="003B3A22">
        <w:rPr>
          <w:rFonts w:eastAsia="Times New Roman"/>
          <w:lang w:eastAsia="zh-CN"/>
        </w:rPr>
        <w:t> </w:t>
      </w: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643244">
      <w:pPr>
        <w:widowControl w:val="0"/>
        <w:jc w:val="both"/>
        <w:rPr>
          <w:lang w:eastAsia="zh-CN"/>
        </w:rPr>
      </w:pPr>
    </w:p>
    <w:p w:rsidR="00643244" w:rsidRPr="003B3A22" w:rsidRDefault="001E4554" w:rsidP="005061A6">
      <w:pPr>
        <w:widowControl w:val="0"/>
        <w:jc w:val="center"/>
        <w:rPr>
          <w:sz w:val="28"/>
          <w:szCs w:val="28"/>
        </w:rPr>
      </w:pPr>
      <w:r w:rsidRPr="003B3A22">
        <w:rPr>
          <w:rFonts w:ascii="宋体" w:eastAsia="宋体" w:hAnsi="宋体" w:cs="宋体"/>
          <w:b/>
          <w:bCs/>
          <w:sz w:val="28"/>
          <w:szCs w:val="28"/>
          <w:lang w:eastAsia="zh-CN"/>
        </w:rPr>
        <w:t>公告送出日期：2025年11月12日</w:t>
      </w:r>
    </w:p>
    <w:p w:rsidR="00643244" w:rsidRPr="003B3A22" w:rsidRDefault="00643244">
      <w:pPr>
        <w:widowControl w:val="0"/>
        <w:jc w:val="both"/>
      </w:pPr>
    </w:p>
    <w:p w:rsidR="00643244" w:rsidRPr="003B3A22" w:rsidRDefault="00643244">
      <w:pPr>
        <w:widowControl w:val="0"/>
        <w:jc w:val="both"/>
      </w:pPr>
    </w:p>
    <w:p w:rsidR="00643244" w:rsidRPr="003B3A22" w:rsidRDefault="001E4554">
      <w:pPr>
        <w:widowControl w:val="0"/>
        <w:jc w:val="both"/>
      </w:pPr>
      <w:r w:rsidRPr="003B3A22">
        <w:rPr>
          <w:rFonts w:eastAsia="Times New Roman"/>
          <w:lang w:eastAsia="zh-CN"/>
        </w:rPr>
        <w:t> </w:t>
      </w:r>
    </w:p>
    <w:p w:rsidR="00643244" w:rsidRPr="003B3A22" w:rsidRDefault="001E4554">
      <w:pPr>
        <w:widowControl w:val="0"/>
        <w:jc w:val="both"/>
      </w:pPr>
      <w:r w:rsidRPr="003B3A22">
        <w:rPr>
          <w:rFonts w:eastAsia="Times New Roman"/>
          <w:lang w:eastAsia="zh-CN"/>
        </w:rPr>
        <w:t> </w:t>
      </w:r>
    </w:p>
    <w:p w:rsidR="00643244" w:rsidRPr="003B3A22" w:rsidRDefault="001E4554">
      <w:pPr>
        <w:widowControl w:val="0"/>
        <w:jc w:val="both"/>
      </w:pPr>
      <w:r w:rsidRPr="003B3A22">
        <w:rPr>
          <w:rFonts w:eastAsia="Times New Roman"/>
          <w:lang w:eastAsia="zh-CN"/>
        </w:rPr>
        <w:t> </w:t>
      </w:r>
    </w:p>
    <w:p w:rsidR="00643244" w:rsidRPr="003B3A22" w:rsidRDefault="00643244">
      <w:pPr>
        <w:widowControl w:val="0"/>
        <w:jc w:val="both"/>
      </w:pPr>
    </w:p>
    <w:p w:rsidR="00643244" w:rsidRPr="003B3A22" w:rsidRDefault="001E4554">
      <w:pPr>
        <w:pStyle w:val="2"/>
        <w:keepLines/>
        <w:widowControl w:val="0"/>
        <w:spacing w:before="156" w:after="156"/>
        <w:rPr>
          <w:rFonts w:ascii="Times New Roman" w:hAnsi="Times New Roman" w:cs="Times New Roman"/>
        </w:rPr>
      </w:pPr>
      <w:r w:rsidRPr="003B3A22">
        <w:rPr>
          <w:rFonts w:ascii="宋体" w:eastAsia="宋体" w:hAnsi="宋体" w:cs="宋体"/>
          <w:i w:val="0"/>
          <w:iCs w:val="0"/>
          <w:sz w:val="24"/>
          <w:szCs w:val="24"/>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67"/>
        <w:gridCol w:w="1843"/>
        <w:gridCol w:w="1701"/>
        <w:gridCol w:w="1779"/>
      </w:tblGrid>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基金名称</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鹏华中短债3个月定期开放债券型证券投资基金</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基金简称</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鹏华中短债3个月定开债券</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基金主代码</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006434</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基金运作方式</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契约型开放式</w:t>
            </w:r>
            <w:r w:rsidR="003E4597" w:rsidRPr="003B3A22">
              <w:rPr>
                <w:rFonts w:ascii="宋体" w:eastAsia="宋体" w:hAnsi="宋体" w:cs="宋体" w:hint="eastAsia"/>
                <w:sz w:val="21"/>
                <w:szCs w:val="21"/>
                <w:lang w:eastAsia="zh-CN"/>
              </w:rPr>
              <w:t>。</w:t>
            </w:r>
          </w:p>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本基金以定期开放方式运作，即采用封闭运作和开放运作交替循环的方式。本基金自基金合同生效之日（含）起或自每一开放期结束之日次日（含）起至3 个月后的对应日的前一日止的期间封闭运作，不办理申购与赎回业务，也不上市交易。如该对应日不存在对应日期或为非工作日，则顺延至下一工作日。本基金自封闭期结束之后第一个工作日（含）起进入开放期，每个开放期原则上不少于一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基金合同生效日</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2018年10月17日</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基金管理人名称</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鹏华基金管理有限公司</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基金托管人名称</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中国工商银行股份有限公司</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基金份额登记机构名称</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鹏华基金管理有限公司</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公告依据</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《鹏华中短债3个月定期开放债券型证券投资基金基金合同》（以下简称“基金合同”）、《鹏华中短债3个月定期开放债券型证券投资基金招募说明书》及其更新（以下简称“招募说明书”）</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申购起始日</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2025年11月14日</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赎回起始日</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2025年11月14日</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转换转入起始日</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2025年11月14日</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转换转出起始日</w:t>
            </w:r>
          </w:p>
        </w:tc>
        <w:tc>
          <w:tcPr>
            <w:tcW w:w="5323" w:type="dxa"/>
            <w:gridSpan w:val="3"/>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2025年11月14日</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下属基金份额类别的基金简称</w:t>
            </w:r>
          </w:p>
        </w:tc>
        <w:tc>
          <w:tcPr>
            <w:tcW w:w="1843"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鹏华中短债3个月定开债券A</w:t>
            </w:r>
          </w:p>
        </w:tc>
        <w:tc>
          <w:tcPr>
            <w:tcW w:w="1701"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鹏华中短债3个月定开债券C</w:t>
            </w:r>
          </w:p>
        </w:tc>
        <w:tc>
          <w:tcPr>
            <w:tcW w:w="1779"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鹏华中短债3个月定开债券E</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下属基金份额类别的交易代码</w:t>
            </w:r>
          </w:p>
        </w:tc>
        <w:tc>
          <w:tcPr>
            <w:tcW w:w="1843"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006434</w:t>
            </w:r>
          </w:p>
        </w:tc>
        <w:tc>
          <w:tcPr>
            <w:tcW w:w="1701"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006456</w:t>
            </w:r>
          </w:p>
        </w:tc>
        <w:tc>
          <w:tcPr>
            <w:tcW w:w="1779"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021154</w:t>
            </w:r>
          </w:p>
        </w:tc>
      </w:tr>
      <w:tr w:rsidR="00643244" w:rsidRPr="003B3A22" w:rsidTr="00937D79">
        <w:tc>
          <w:tcPr>
            <w:tcW w:w="2967"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lang w:eastAsia="zh-CN"/>
              </w:rPr>
            </w:pPr>
            <w:r w:rsidRPr="003B3A22">
              <w:rPr>
                <w:rFonts w:ascii="宋体" w:eastAsia="宋体" w:hAnsi="宋体" w:cs="宋体"/>
                <w:sz w:val="21"/>
                <w:szCs w:val="21"/>
                <w:lang w:eastAsia="zh-CN"/>
              </w:rPr>
              <w:t>该类基金份额是否开放申购、赎回、转换转入、转换转出</w:t>
            </w:r>
          </w:p>
        </w:tc>
        <w:tc>
          <w:tcPr>
            <w:tcW w:w="1843"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是</w:t>
            </w:r>
          </w:p>
        </w:tc>
        <w:tc>
          <w:tcPr>
            <w:tcW w:w="1701"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是</w:t>
            </w:r>
          </w:p>
        </w:tc>
        <w:tc>
          <w:tcPr>
            <w:tcW w:w="1779"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643244" w:rsidRPr="003B3A22" w:rsidRDefault="001E4554" w:rsidP="00937D79">
            <w:pPr>
              <w:jc w:val="both"/>
              <w:rPr>
                <w:rFonts w:ascii="宋体" w:eastAsia="宋体" w:hAnsi="宋体" w:cs="宋体"/>
                <w:sz w:val="21"/>
                <w:szCs w:val="21"/>
              </w:rPr>
            </w:pPr>
            <w:r w:rsidRPr="003B3A22">
              <w:rPr>
                <w:rFonts w:ascii="宋体" w:eastAsia="宋体" w:hAnsi="宋体" w:cs="宋体"/>
                <w:sz w:val="21"/>
                <w:szCs w:val="21"/>
                <w:lang w:eastAsia="zh-CN"/>
              </w:rPr>
              <w:t>是</w:t>
            </w:r>
          </w:p>
        </w:tc>
      </w:tr>
    </w:tbl>
    <w:p w:rsidR="00643244" w:rsidRPr="003B3A22" w:rsidRDefault="001E4554">
      <w:pPr>
        <w:pStyle w:val="2"/>
        <w:keepLines/>
        <w:widowControl w:val="0"/>
        <w:spacing w:before="156" w:after="156"/>
        <w:rPr>
          <w:rFonts w:ascii="Times New Roman" w:hAnsi="Times New Roman" w:cs="Times New Roman"/>
          <w:lang w:eastAsia="zh-CN"/>
        </w:rPr>
      </w:pPr>
      <w:r w:rsidRPr="003B3A22">
        <w:rPr>
          <w:rFonts w:ascii="宋体" w:eastAsia="宋体" w:hAnsi="宋体" w:cs="宋体"/>
          <w:i w:val="0"/>
          <w:iCs w:val="0"/>
          <w:sz w:val="24"/>
          <w:szCs w:val="24"/>
          <w:lang w:eastAsia="zh-CN"/>
        </w:rPr>
        <w:t>2 申购、赎回和转换业务的办理时间</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鹏华中短债3个月定期开放债券型证券投资基金（以下简称“本基金”）自2025年11月14日起（含当日）进入开放期，其中开放申购时间为2025年11月14日至2025年12月11日，在此期间接受投资者的申购和转换转入业务申请；开放赎回时间为2025年11月14日至2025年11月20日，在此期间接受投资者的赎回和转换转出业务申请。</w:t>
      </w:r>
    </w:p>
    <w:p w:rsidR="00643244" w:rsidRPr="003B3A22" w:rsidRDefault="001E4554">
      <w:pPr>
        <w:pStyle w:val="2"/>
        <w:keepLines/>
        <w:widowControl w:val="0"/>
        <w:spacing w:before="156" w:after="156"/>
        <w:rPr>
          <w:rFonts w:ascii="Times New Roman" w:hAnsi="Times New Roman" w:cs="Times New Roman"/>
          <w:lang w:eastAsia="zh-CN"/>
        </w:rPr>
      </w:pPr>
      <w:r w:rsidRPr="003B3A22">
        <w:rPr>
          <w:rFonts w:ascii="宋体" w:eastAsia="宋体" w:hAnsi="宋体" w:cs="宋体"/>
          <w:i w:val="0"/>
          <w:iCs w:val="0"/>
          <w:sz w:val="24"/>
          <w:szCs w:val="24"/>
          <w:lang w:eastAsia="zh-CN"/>
        </w:rPr>
        <w:t>3 申购业务</w:t>
      </w:r>
    </w:p>
    <w:p w:rsidR="00643244" w:rsidRPr="003B3A22" w:rsidRDefault="001E4554">
      <w:pPr>
        <w:widowControl w:val="0"/>
        <w:spacing w:before="156" w:after="156"/>
        <w:rPr>
          <w:lang w:eastAsia="zh-CN"/>
        </w:rPr>
      </w:pPr>
      <w:r w:rsidRPr="003B3A22">
        <w:rPr>
          <w:rFonts w:ascii="宋体" w:eastAsia="宋体" w:hAnsi="宋体" w:cs="宋体"/>
          <w:b/>
          <w:bCs/>
          <w:lang w:eastAsia="zh-CN"/>
        </w:rPr>
        <w:t>3.1 申购金额限制</w:t>
      </w:r>
    </w:p>
    <w:p w:rsidR="00643244" w:rsidRPr="003B3A22" w:rsidRDefault="001E4554">
      <w:pPr>
        <w:widowControl w:val="0"/>
        <w:spacing w:line="360" w:lineRule="auto"/>
        <w:ind w:firstLine="420"/>
        <w:rPr>
          <w:rFonts w:ascii="宋体" w:eastAsia="宋体" w:hAnsi="宋体" w:cs="宋体"/>
          <w:sz w:val="21"/>
          <w:szCs w:val="21"/>
          <w:lang w:eastAsia="zh-CN"/>
        </w:rPr>
      </w:pPr>
      <w:r w:rsidRPr="003B3A22">
        <w:rPr>
          <w:rFonts w:ascii="宋体" w:eastAsia="宋体" w:hAnsi="宋体" w:cs="宋体"/>
          <w:sz w:val="21"/>
          <w:szCs w:val="21"/>
          <w:lang w:eastAsia="zh-CN"/>
        </w:rPr>
        <w:lastRenderedPageBreak/>
        <w:t>1、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p>
    <w:p w:rsidR="00643244" w:rsidRPr="003B3A22" w:rsidRDefault="001E4554">
      <w:pPr>
        <w:widowControl w:val="0"/>
        <w:spacing w:line="360" w:lineRule="auto"/>
        <w:ind w:firstLine="420"/>
        <w:rPr>
          <w:rFonts w:ascii="宋体" w:eastAsia="宋体" w:hAnsi="宋体" w:cs="宋体"/>
          <w:sz w:val="21"/>
          <w:szCs w:val="21"/>
          <w:lang w:eastAsia="zh-CN"/>
        </w:rPr>
      </w:pPr>
      <w:r w:rsidRPr="003B3A22">
        <w:rPr>
          <w:rFonts w:ascii="宋体" w:eastAsia="宋体" w:hAnsi="宋体" w:cs="宋体"/>
          <w:sz w:val="21"/>
          <w:szCs w:val="21"/>
          <w:lang w:eastAsia="zh-CN"/>
        </w:rPr>
        <w:t>2、本基金对单个基金份额持有人不设置最高申购金额限制，但单一投资者持有基金份额数不得达到或超过基金份额总数的50%(在基金运作过程中因基金份额赎回等情形导致被动达到或超过50%的除外)。</w:t>
      </w:r>
    </w:p>
    <w:p w:rsidR="00643244" w:rsidRPr="003B3A22" w:rsidRDefault="001E4554">
      <w:pPr>
        <w:widowControl w:val="0"/>
        <w:spacing w:before="156" w:after="156"/>
        <w:rPr>
          <w:lang w:eastAsia="zh-CN"/>
        </w:rPr>
      </w:pPr>
      <w:r w:rsidRPr="003B3A22">
        <w:rPr>
          <w:rFonts w:ascii="宋体" w:eastAsia="宋体" w:hAnsi="宋体" w:cs="宋体"/>
          <w:b/>
          <w:bCs/>
          <w:lang w:eastAsia="zh-CN"/>
        </w:rPr>
        <w:t>3.2 申购费率</w:t>
      </w:r>
    </w:p>
    <w:p w:rsidR="00643244" w:rsidRPr="003B3A22" w:rsidRDefault="001E4554">
      <w:pPr>
        <w:widowControl w:val="0"/>
        <w:spacing w:before="156" w:after="156"/>
        <w:ind w:firstLine="550"/>
        <w:jc w:val="both"/>
        <w:rPr>
          <w:rFonts w:ascii="宋体" w:eastAsia="宋体" w:hAnsi="宋体" w:cs="宋体"/>
          <w:sz w:val="21"/>
          <w:szCs w:val="21"/>
          <w:lang w:eastAsia="zh-CN"/>
        </w:rPr>
      </w:pPr>
      <w:r w:rsidRPr="003B3A22">
        <w:rPr>
          <w:rFonts w:ascii="宋体" w:eastAsia="宋体" w:hAnsi="宋体" w:cs="宋体"/>
          <w:sz w:val="21"/>
          <w:szCs w:val="21"/>
          <w:lang w:eastAsia="zh-CN"/>
        </w:rPr>
        <w:t>本基金A类基金份额</w:t>
      </w:r>
      <w:r w:rsidR="003E4597" w:rsidRPr="003B3A22">
        <w:rPr>
          <w:rFonts w:ascii="宋体" w:eastAsia="宋体" w:hAnsi="宋体" w:cs="宋体" w:hint="eastAsia"/>
          <w:sz w:val="21"/>
          <w:szCs w:val="21"/>
          <w:lang w:eastAsia="zh-CN"/>
        </w:rPr>
        <w:t>和E类基金份额</w:t>
      </w:r>
      <w:r w:rsidRPr="003B3A22">
        <w:rPr>
          <w:rFonts w:ascii="宋体" w:eastAsia="宋体" w:hAnsi="宋体" w:cs="宋体"/>
          <w:sz w:val="21"/>
          <w:szCs w:val="21"/>
          <w:lang w:eastAsia="zh-CN"/>
        </w:rPr>
        <w:t>在申购时收取申购费用，C类基金份额不收取申购费用。</w:t>
      </w:r>
    </w:p>
    <w:p w:rsidR="00643244" w:rsidRPr="003B3A22" w:rsidRDefault="001E4554">
      <w:pPr>
        <w:widowControl w:val="0"/>
        <w:spacing w:before="156" w:after="156"/>
        <w:ind w:firstLine="550"/>
        <w:jc w:val="both"/>
        <w:rPr>
          <w:rFonts w:ascii="宋体" w:eastAsia="宋体" w:hAnsi="宋体" w:cs="宋体"/>
          <w:sz w:val="21"/>
          <w:szCs w:val="21"/>
          <w:lang w:eastAsia="zh-CN"/>
        </w:rPr>
      </w:pPr>
      <w:r w:rsidRPr="003B3A22">
        <w:rPr>
          <w:rFonts w:ascii="宋体" w:eastAsia="宋体" w:hAnsi="宋体" w:cs="宋体"/>
          <w:sz w:val="21"/>
          <w:szCs w:val="21"/>
          <w:lang w:eastAsia="zh-CN"/>
        </w:rPr>
        <w:t>本基金A类基金份额的申购费率如下表所示：</w:t>
      </w:r>
    </w:p>
    <w:tbl>
      <w:tblPr>
        <w:tblW w:w="8018" w:type="dxa"/>
        <w:tblInd w:w="5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100"/>
        <w:gridCol w:w="2276"/>
        <w:gridCol w:w="2642"/>
      </w:tblGrid>
      <w:tr w:rsidR="00643244" w:rsidRPr="003B3A22">
        <w:trPr>
          <w:trHeight w:val="415"/>
        </w:trPr>
        <w:tc>
          <w:tcPr>
            <w:tcW w:w="3100"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申购金额</w:t>
            </w:r>
            <w:r w:rsidRPr="003B3A22">
              <w:rPr>
                <w:rFonts w:ascii="宋体" w:eastAsia="宋体" w:hAnsi="宋体"/>
                <w:b/>
                <w:bCs/>
                <w:sz w:val="21"/>
                <w:szCs w:val="21"/>
                <w:lang w:eastAsia="zh-CN"/>
              </w:rPr>
              <w:t>M</w:t>
            </w:r>
            <w:r w:rsidRPr="003B3A22">
              <w:rPr>
                <w:rFonts w:ascii="宋体" w:eastAsia="宋体" w:hAnsi="宋体" w:cs="宋体"/>
                <w:b/>
                <w:bCs/>
                <w:sz w:val="21"/>
                <w:szCs w:val="21"/>
                <w:lang w:eastAsia="zh-CN"/>
              </w:rPr>
              <w:t>（元）</w:t>
            </w:r>
          </w:p>
        </w:tc>
        <w:tc>
          <w:tcPr>
            <w:tcW w:w="2276" w:type="dxa"/>
            <w:tcBorders>
              <w:top w:val="single" w:sz="6" w:space="0" w:color="auto"/>
              <w:left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一般申购费率</w:t>
            </w:r>
          </w:p>
        </w:tc>
        <w:tc>
          <w:tcPr>
            <w:tcW w:w="2642"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特定申购费率</w:t>
            </w:r>
          </w:p>
        </w:tc>
      </w:tr>
      <w:tr w:rsidR="00643244" w:rsidRPr="003B3A22">
        <w:trPr>
          <w:trHeight w:val="415"/>
        </w:trPr>
        <w:tc>
          <w:tcPr>
            <w:tcW w:w="3100"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M&lt;100</w:t>
            </w:r>
            <w:r w:rsidRPr="003B3A22">
              <w:rPr>
                <w:rFonts w:ascii="宋体" w:eastAsia="宋体" w:hAnsi="宋体" w:cs="宋体"/>
                <w:sz w:val="21"/>
                <w:szCs w:val="21"/>
                <w:lang w:eastAsia="zh-CN"/>
              </w:rPr>
              <w:t>万</w:t>
            </w:r>
          </w:p>
        </w:tc>
        <w:tc>
          <w:tcPr>
            <w:tcW w:w="2276" w:type="dxa"/>
            <w:tcBorders>
              <w:top w:val="single" w:sz="6" w:space="0" w:color="auto"/>
              <w:left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0.40%</w:t>
            </w:r>
          </w:p>
        </w:tc>
        <w:tc>
          <w:tcPr>
            <w:tcW w:w="2642"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0.16%</w:t>
            </w:r>
          </w:p>
        </w:tc>
      </w:tr>
      <w:tr w:rsidR="00643244" w:rsidRPr="003B3A22">
        <w:trPr>
          <w:trHeight w:val="415"/>
        </w:trPr>
        <w:tc>
          <w:tcPr>
            <w:tcW w:w="3100"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100</w:t>
            </w:r>
            <w:r w:rsidRPr="003B3A22">
              <w:rPr>
                <w:rFonts w:ascii="宋体" w:eastAsia="宋体" w:hAnsi="宋体" w:cs="宋体"/>
                <w:sz w:val="21"/>
                <w:szCs w:val="21"/>
                <w:lang w:eastAsia="zh-CN"/>
              </w:rPr>
              <w:t>万</w:t>
            </w:r>
            <w:r w:rsidRPr="003B3A22">
              <w:rPr>
                <w:rFonts w:ascii="宋体" w:eastAsia="宋体" w:hAnsi="宋体"/>
                <w:sz w:val="21"/>
                <w:szCs w:val="21"/>
                <w:lang w:eastAsia="zh-CN"/>
              </w:rPr>
              <w:t>≤ M &lt;500</w:t>
            </w:r>
            <w:r w:rsidRPr="003B3A22">
              <w:rPr>
                <w:rFonts w:ascii="宋体" w:eastAsia="宋体" w:hAnsi="宋体" w:cs="宋体"/>
                <w:sz w:val="21"/>
                <w:szCs w:val="21"/>
                <w:lang w:eastAsia="zh-CN"/>
              </w:rPr>
              <w:t>万</w:t>
            </w:r>
          </w:p>
        </w:tc>
        <w:tc>
          <w:tcPr>
            <w:tcW w:w="2276" w:type="dxa"/>
            <w:tcBorders>
              <w:top w:val="single" w:sz="6" w:space="0" w:color="auto"/>
              <w:left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0.15%</w:t>
            </w:r>
          </w:p>
        </w:tc>
        <w:tc>
          <w:tcPr>
            <w:tcW w:w="2642"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0.04%</w:t>
            </w:r>
          </w:p>
        </w:tc>
      </w:tr>
      <w:tr w:rsidR="00643244" w:rsidRPr="003B3A22">
        <w:trPr>
          <w:trHeight w:val="415"/>
        </w:trPr>
        <w:tc>
          <w:tcPr>
            <w:tcW w:w="3100" w:type="dxa"/>
            <w:tcBorders>
              <w:top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M≥ 500</w:t>
            </w:r>
            <w:r w:rsidRPr="003B3A22">
              <w:rPr>
                <w:rFonts w:ascii="宋体" w:eastAsia="宋体" w:hAnsi="宋体" w:cs="宋体"/>
                <w:sz w:val="21"/>
                <w:szCs w:val="21"/>
                <w:lang w:eastAsia="zh-CN"/>
              </w:rPr>
              <w:t>万</w:t>
            </w:r>
          </w:p>
        </w:tc>
        <w:tc>
          <w:tcPr>
            <w:tcW w:w="2276" w:type="dxa"/>
            <w:tcBorders>
              <w:top w:val="single" w:sz="6" w:space="0" w:color="auto"/>
              <w:left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sz w:val="21"/>
                <w:szCs w:val="21"/>
                <w:lang w:eastAsia="zh-CN"/>
              </w:rPr>
              <w:t>每笔</w:t>
            </w:r>
            <w:r w:rsidRPr="003B3A22">
              <w:rPr>
                <w:rFonts w:ascii="宋体" w:eastAsia="宋体" w:hAnsi="宋体"/>
                <w:sz w:val="21"/>
                <w:szCs w:val="21"/>
                <w:lang w:eastAsia="zh-CN"/>
              </w:rPr>
              <w:t>1000</w:t>
            </w:r>
            <w:r w:rsidRPr="003B3A22">
              <w:rPr>
                <w:rFonts w:ascii="宋体" w:eastAsia="宋体" w:hAnsi="宋体" w:cs="宋体"/>
                <w:sz w:val="21"/>
                <w:szCs w:val="21"/>
                <w:lang w:eastAsia="zh-CN"/>
              </w:rPr>
              <w:t>元</w:t>
            </w:r>
          </w:p>
        </w:tc>
        <w:tc>
          <w:tcPr>
            <w:tcW w:w="2642" w:type="dxa"/>
            <w:tcBorders>
              <w:top w:val="single" w:sz="6" w:space="0" w:color="auto"/>
              <w:lef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sz w:val="21"/>
                <w:szCs w:val="21"/>
                <w:lang w:eastAsia="zh-CN"/>
              </w:rPr>
              <w:t>每笔</w:t>
            </w:r>
            <w:r w:rsidRPr="003B3A22">
              <w:rPr>
                <w:rFonts w:ascii="宋体" w:eastAsia="宋体" w:hAnsi="宋体"/>
                <w:sz w:val="21"/>
                <w:szCs w:val="21"/>
                <w:lang w:eastAsia="zh-CN"/>
              </w:rPr>
              <w:t>1000</w:t>
            </w:r>
            <w:r w:rsidRPr="003B3A22">
              <w:rPr>
                <w:rFonts w:ascii="宋体" w:eastAsia="宋体" w:hAnsi="宋体" w:cs="宋体"/>
                <w:sz w:val="21"/>
                <w:szCs w:val="21"/>
                <w:lang w:eastAsia="zh-CN"/>
              </w:rPr>
              <w:t>元</w:t>
            </w:r>
          </w:p>
        </w:tc>
      </w:tr>
    </w:tbl>
    <w:p w:rsidR="00643244" w:rsidRPr="003B3A22" w:rsidRDefault="001E4554">
      <w:pPr>
        <w:spacing w:before="120" w:line="360" w:lineRule="auto"/>
        <w:ind w:firstLine="420"/>
        <w:rPr>
          <w:rFonts w:ascii="宋体" w:eastAsia="宋体" w:hAnsi="宋体" w:cs="宋体"/>
          <w:sz w:val="21"/>
          <w:szCs w:val="21"/>
          <w:lang w:eastAsia="zh-CN"/>
        </w:rPr>
      </w:pPr>
      <w:r w:rsidRPr="003B3A22">
        <w:rPr>
          <w:rFonts w:ascii="宋体" w:eastAsia="宋体" w:hAnsi="宋体" w:cs="宋体"/>
          <w:sz w:val="21"/>
          <w:szCs w:val="21"/>
          <w:lang w:eastAsia="zh-CN"/>
        </w:rPr>
        <w:t>本基金E类基金份额的申购费率如下表所示：</w:t>
      </w:r>
    </w:p>
    <w:tbl>
      <w:tblPr>
        <w:tblW w:w="8018" w:type="dxa"/>
        <w:tblInd w:w="5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83"/>
        <w:gridCol w:w="2409"/>
        <w:gridCol w:w="2326"/>
      </w:tblGrid>
      <w:tr w:rsidR="00643244" w:rsidRPr="003B3A22">
        <w:trPr>
          <w:trHeight w:val="415"/>
        </w:trPr>
        <w:tc>
          <w:tcPr>
            <w:tcW w:w="3011"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申购金额</w:t>
            </w:r>
            <w:r w:rsidRPr="003B3A22">
              <w:rPr>
                <w:rFonts w:ascii="宋体" w:eastAsia="宋体" w:hAnsi="宋体"/>
                <w:b/>
                <w:bCs/>
                <w:sz w:val="21"/>
                <w:szCs w:val="21"/>
                <w:lang w:eastAsia="zh-CN"/>
              </w:rPr>
              <w:t>M</w:t>
            </w:r>
            <w:r w:rsidRPr="003B3A22">
              <w:rPr>
                <w:rFonts w:ascii="宋体" w:eastAsia="宋体" w:hAnsi="宋体" w:cs="宋体"/>
                <w:b/>
                <w:bCs/>
                <w:sz w:val="21"/>
                <w:szCs w:val="21"/>
                <w:lang w:eastAsia="zh-CN"/>
              </w:rPr>
              <w:t>（元）</w:t>
            </w:r>
          </w:p>
        </w:tc>
        <w:tc>
          <w:tcPr>
            <w:tcW w:w="2210" w:type="dxa"/>
            <w:tcBorders>
              <w:top w:val="single" w:sz="6" w:space="0" w:color="auto"/>
              <w:left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一般申购费率</w:t>
            </w:r>
          </w:p>
        </w:tc>
        <w:tc>
          <w:tcPr>
            <w:tcW w:w="2134"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特定申购费率</w:t>
            </w:r>
          </w:p>
        </w:tc>
      </w:tr>
      <w:tr w:rsidR="00643244" w:rsidRPr="003B3A22">
        <w:trPr>
          <w:trHeight w:val="415"/>
        </w:trPr>
        <w:tc>
          <w:tcPr>
            <w:tcW w:w="3011"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M&lt;100</w:t>
            </w:r>
            <w:r w:rsidRPr="003B3A22">
              <w:rPr>
                <w:rFonts w:ascii="宋体" w:eastAsia="宋体" w:hAnsi="宋体" w:cs="宋体"/>
                <w:sz w:val="21"/>
                <w:szCs w:val="21"/>
                <w:lang w:eastAsia="zh-CN"/>
              </w:rPr>
              <w:t>万</w:t>
            </w:r>
          </w:p>
        </w:tc>
        <w:tc>
          <w:tcPr>
            <w:tcW w:w="2210" w:type="dxa"/>
            <w:tcBorders>
              <w:top w:val="single" w:sz="6" w:space="0" w:color="auto"/>
              <w:left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0.50%</w:t>
            </w:r>
          </w:p>
        </w:tc>
        <w:tc>
          <w:tcPr>
            <w:tcW w:w="2134"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0.20%</w:t>
            </w:r>
          </w:p>
        </w:tc>
      </w:tr>
      <w:tr w:rsidR="00643244" w:rsidRPr="003B3A22">
        <w:trPr>
          <w:trHeight w:val="415"/>
        </w:trPr>
        <w:tc>
          <w:tcPr>
            <w:tcW w:w="3011"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100</w:t>
            </w:r>
            <w:r w:rsidRPr="003B3A22">
              <w:rPr>
                <w:rFonts w:ascii="宋体" w:eastAsia="宋体" w:hAnsi="宋体" w:cs="宋体"/>
                <w:sz w:val="21"/>
                <w:szCs w:val="21"/>
                <w:lang w:eastAsia="zh-CN"/>
              </w:rPr>
              <w:t>万</w:t>
            </w:r>
            <w:r w:rsidRPr="003B3A22">
              <w:rPr>
                <w:rFonts w:ascii="宋体" w:eastAsia="宋体" w:hAnsi="宋体"/>
                <w:sz w:val="21"/>
                <w:szCs w:val="21"/>
                <w:lang w:eastAsia="zh-CN"/>
              </w:rPr>
              <w:t>≤ M &lt;500</w:t>
            </w:r>
            <w:r w:rsidRPr="003B3A22">
              <w:rPr>
                <w:rFonts w:ascii="宋体" w:eastAsia="宋体" w:hAnsi="宋体" w:cs="宋体"/>
                <w:sz w:val="21"/>
                <w:szCs w:val="21"/>
                <w:lang w:eastAsia="zh-CN"/>
              </w:rPr>
              <w:t>万</w:t>
            </w:r>
          </w:p>
        </w:tc>
        <w:tc>
          <w:tcPr>
            <w:tcW w:w="2210" w:type="dxa"/>
            <w:tcBorders>
              <w:top w:val="single" w:sz="6" w:space="0" w:color="auto"/>
              <w:left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0.20%</w:t>
            </w:r>
          </w:p>
        </w:tc>
        <w:tc>
          <w:tcPr>
            <w:tcW w:w="2134"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0.06%</w:t>
            </w:r>
          </w:p>
        </w:tc>
      </w:tr>
      <w:tr w:rsidR="00643244" w:rsidRPr="003B3A22">
        <w:trPr>
          <w:trHeight w:val="415"/>
        </w:trPr>
        <w:tc>
          <w:tcPr>
            <w:tcW w:w="3011" w:type="dxa"/>
            <w:tcBorders>
              <w:top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M≥ 500</w:t>
            </w:r>
            <w:r w:rsidRPr="003B3A22">
              <w:rPr>
                <w:rFonts w:ascii="宋体" w:eastAsia="宋体" w:hAnsi="宋体" w:cs="宋体"/>
                <w:sz w:val="21"/>
                <w:szCs w:val="21"/>
                <w:lang w:eastAsia="zh-CN"/>
              </w:rPr>
              <w:t>万</w:t>
            </w:r>
          </w:p>
        </w:tc>
        <w:tc>
          <w:tcPr>
            <w:tcW w:w="2210" w:type="dxa"/>
            <w:tcBorders>
              <w:top w:val="single" w:sz="6" w:space="0" w:color="auto"/>
              <w:left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sz w:val="21"/>
                <w:szCs w:val="21"/>
                <w:lang w:eastAsia="zh-CN"/>
              </w:rPr>
              <w:t>每笔</w:t>
            </w:r>
            <w:r w:rsidRPr="003B3A22">
              <w:rPr>
                <w:rFonts w:ascii="宋体" w:eastAsia="宋体" w:hAnsi="宋体"/>
                <w:sz w:val="21"/>
                <w:szCs w:val="21"/>
                <w:lang w:eastAsia="zh-CN"/>
              </w:rPr>
              <w:t>1000</w:t>
            </w:r>
            <w:r w:rsidRPr="003B3A22">
              <w:rPr>
                <w:rFonts w:ascii="宋体" w:eastAsia="宋体" w:hAnsi="宋体" w:cs="宋体"/>
                <w:sz w:val="21"/>
                <w:szCs w:val="21"/>
                <w:lang w:eastAsia="zh-CN"/>
              </w:rPr>
              <w:t>元</w:t>
            </w:r>
          </w:p>
        </w:tc>
        <w:tc>
          <w:tcPr>
            <w:tcW w:w="2134" w:type="dxa"/>
            <w:tcBorders>
              <w:top w:val="single" w:sz="6" w:space="0" w:color="auto"/>
              <w:lef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sz w:val="21"/>
                <w:szCs w:val="21"/>
                <w:lang w:eastAsia="zh-CN"/>
              </w:rPr>
              <w:t>每笔</w:t>
            </w:r>
            <w:r w:rsidRPr="003B3A22">
              <w:rPr>
                <w:rFonts w:ascii="宋体" w:eastAsia="宋体" w:hAnsi="宋体"/>
                <w:sz w:val="21"/>
                <w:szCs w:val="21"/>
                <w:lang w:eastAsia="zh-CN"/>
              </w:rPr>
              <w:t>1000</w:t>
            </w:r>
            <w:r w:rsidRPr="003B3A22">
              <w:rPr>
                <w:rFonts w:ascii="宋体" w:eastAsia="宋体" w:hAnsi="宋体" w:cs="宋体"/>
                <w:sz w:val="21"/>
                <w:szCs w:val="21"/>
                <w:lang w:eastAsia="zh-CN"/>
              </w:rPr>
              <w:t>元</w:t>
            </w:r>
          </w:p>
        </w:tc>
      </w:tr>
    </w:tbl>
    <w:p w:rsidR="00643244" w:rsidRPr="003B3A22" w:rsidRDefault="001E4554">
      <w:pPr>
        <w:widowControl w:val="0"/>
        <w:spacing w:line="360" w:lineRule="auto"/>
        <w:jc w:val="both"/>
        <w:rPr>
          <w:rFonts w:ascii="宋体" w:eastAsia="宋体" w:hAnsi="宋体" w:cs="宋体"/>
          <w:sz w:val="21"/>
          <w:szCs w:val="21"/>
          <w:lang w:eastAsia="zh-CN"/>
        </w:rPr>
      </w:pPr>
      <w:r w:rsidRPr="003B3A22">
        <w:rPr>
          <w:rFonts w:ascii="宋体" w:eastAsia="宋体" w:hAnsi="宋体" w:cs="宋体"/>
          <w:sz w:val="21"/>
          <w:szCs w:val="21"/>
          <w:lang w:eastAsia="zh-CN"/>
        </w:rPr>
        <w:t>注：1、本基金的申购费用应在投资人申购A类基金份额</w:t>
      </w:r>
      <w:r w:rsidR="003E4597" w:rsidRPr="003B3A22">
        <w:rPr>
          <w:rFonts w:ascii="宋体" w:eastAsia="宋体" w:hAnsi="宋体" w:cs="宋体" w:hint="eastAsia"/>
          <w:sz w:val="21"/>
          <w:szCs w:val="21"/>
          <w:lang w:eastAsia="zh-CN"/>
        </w:rPr>
        <w:t>和E类基金份额</w:t>
      </w:r>
      <w:r w:rsidRPr="003B3A22">
        <w:rPr>
          <w:rFonts w:ascii="宋体" w:eastAsia="宋体" w:hAnsi="宋体" w:cs="宋体"/>
          <w:sz w:val="21"/>
          <w:szCs w:val="21"/>
          <w:lang w:eastAsia="zh-CN"/>
        </w:rPr>
        <w:t>时收取。投资人在一天之内如果有多笔申购，适用费率按单笔分别计算。</w:t>
      </w:r>
    </w:p>
    <w:p w:rsidR="00643244" w:rsidRPr="003B3A22" w:rsidRDefault="001E4554">
      <w:pPr>
        <w:widowControl w:val="0"/>
        <w:spacing w:line="360" w:lineRule="auto"/>
        <w:jc w:val="both"/>
        <w:rPr>
          <w:rFonts w:ascii="宋体" w:eastAsia="宋体" w:hAnsi="宋体" w:cs="宋体"/>
          <w:sz w:val="21"/>
          <w:szCs w:val="21"/>
          <w:lang w:eastAsia="zh-CN"/>
        </w:rPr>
      </w:pPr>
      <w:r w:rsidRPr="003B3A22">
        <w:rPr>
          <w:rFonts w:ascii="宋体" w:eastAsia="宋体" w:hAnsi="宋体" w:cs="宋体"/>
          <w:sz w:val="21"/>
          <w:szCs w:val="21"/>
          <w:lang w:eastAsia="zh-CN"/>
        </w:rPr>
        <w:t>2、申购费用由申购A类基金份额</w:t>
      </w:r>
      <w:r w:rsidR="003E4597" w:rsidRPr="003B3A22">
        <w:rPr>
          <w:rFonts w:ascii="宋体" w:eastAsia="宋体" w:hAnsi="宋体" w:cs="宋体" w:hint="eastAsia"/>
          <w:sz w:val="21"/>
          <w:szCs w:val="21"/>
          <w:lang w:eastAsia="zh-CN"/>
        </w:rPr>
        <w:t>和E类基金份额</w:t>
      </w:r>
      <w:r w:rsidRPr="003B3A22">
        <w:rPr>
          <w:rFonts w:ascii="宋体" w:eastAsia="宋体" w:hAnsi="宋体" w:cs="宋体"/>
          <w:sz w:val="21"/>
          <w:szCs w:val="21"/>
          <w:lang w:eastAsia="zh-CN"/>
        </w:rPr>
        <w:t>的投资人承担，不列入基金财产，主要用于本基金的市场推广、销售、登记等各项费用。</w:t>
      </w:r>
    </w:p>
    <w:p w:rsidR="00643244" w:rsidRPr="003B3A22" w:rsidRDefault="001E4554">
      <w:pPr>
        <w:widowControl w:val="0"/>
        <w:spacing w:line="360" w:lineRule="auto"/>
        <w:jc w:val="both"/>
        <w:rPr>
          <w:rFonts w:ascii="宋体" w:eastAsia="宋体" w:hAnsi="宋体" w:cs="宋体"/>
          <w:sz w:val="21"/>
          <w:szCs w:val="21"/>
          <w:lang w:eastAsia="zh-CN"/>
        </w:rPr>
      </w:pPr>
      <w:r w:rsidRPr="003B3A22">
        <w:rPr>
          <w:rFonts w:ascii="宋体" w:eastAsia="宋体" w:hAnsi="宋体" w:cs="宋体"/>
          <w:sz w:val="21"/>
          <w:szCs w:val="21"/>
          <w:lang w:eastAsia="zh-CN"/>
        </w:rPr>
        <w:t>3、本基金A类基金份额</w:t>
      </w:r>
      <w:r w:rsidR="003E4597" w:rsidRPr="003B3A22">
        <w:rPr>
          <w:rFonts w:ascii="宋体" w:eastAsia="宋体" w:hAnsi="宋体" w:cs="宋体" w:hint="eastAsia"/>
          <w:sz w:val="21"/>
          <w:szCs w:val="21"/>
          <w:lang w:eastAsia="zh-CN"/>
        </w:rPr>
        <w:t>和E类基金份额</w:t>
      </w:r>
      <w:r w:rsidRPr="003B3A22">
        <w:rPr>
          <w:rFonts w:ascii="宋体" w:eastAsia="宋体" w:hAnsi="宋体" w:cs="宋体"/>
          <w:sz w:val="21"/>
          <w:szCs w:val="21"/>
          <w:lang w:eastAsia="zh-CN"/>
        </w:rPr>
        <w:t>对通过直销中心申购的养老金客户与除此之外的其他投资人实施差别的申购费率。通过基金管理人的直销中心申购本基金A类基金份额</w:t>
      </w:r>
      <w:r w:rsidR="003E4597" w:rsidRPr="003B3A22">
        <w:rPr>
          <w:rFonts w:ascii="宋体" w:eastAsia="宋体" w:hAnsi="宋体" w:cs="宋体" w:hint="eastAsia"/>
          <w:sz w:val="21"/>
          <w:szCs w:val="21"/>
          <w:lang w:eastAsia="zh-CN"/>
        </w:rPr>
        <w:t>和E类基金份额</w:t>
      </w:r>
      <w:r w:rsidRPr="003B3A22">
        <w:rPr>
          <w:rFonts w:ascii="宋体" w:eastAsia="宋体" w:hAnsi="宋体" w:cs="宋体"/>
          <w:sz w:val="21"/>
          <w:szCs w:val="21"/>
          <w:lang w:eastAsia="zh-CN"/>
        </w:rPr>
        <w:t>的养老金客户适用特定申购费率，其他投资人申购本基金A类基金份额</w:t>
      </w:r>
      <w:r w:rsidR="003E4597" w:rsidRPr="003B3A22">
        <w:rPr>
          <w:rFonts w:ascii="宋体" w:eastAsia="宋体" w:hAnsi="宋体" w:cs="宋体" w:hint="eastAsia"/>
          <w:sz w:val="21"/>
          <w:szCs w:val="21"/>
          <w:lang w:eastAsia="zh-CN"/>
        </w:rPr>
        <w:t>和E类基金份额</w:t>
      </w:r>
      <w:r w:rsidRPr="003B3A22">
        <w:rPr>
          <w:rFonts w:ascii="宋体" w:eastAsia="宋体" w:hAnsi="宋体" w:cs="宋体"/>
          <w:sz w:val="21"/>
          <w:szCs w:val="21"/>
          <w:lang w:eastAsia="zh-CN"/>
        </w:rPr>
        <w:t>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643244" w:rsidRPr="003B3A22" w:rsidRDefault="001E4554">
      <w:pPr>
        <w:pStyle w:val="2"/>
        <w:keepLines/>
        <w:widowControl w:val="0"/>
        <w:spacing w:before="156" w:after="156"/>
        <w:jc w:val="both"/>
        <w:rPr>
          <w:rFonts w:ascii="Times New Roman" w:hAnsi="Times New Roman" w:cs="Times New Roman"/>
          <w:lang w:eastAsia="zh-CN"/>
        </w:rPr>
      </w:pPr>
      <w:r w:rsidRPr="003B3A22">
        <w:rPr>
          <w:rFonts w:ascii="宋体" w:eastAsia="宋体" w:hAnsi="宋体" w:cs="宋体"/>
          <w:i w:val="0"/>
          <w:iCs w:val="0"/>
          <w:sz w:val="24"/>
          <w:szCs w:val="24"/>
          <w:lang w:eastAsia="zh-CN"/>
        </w:rPr>
        <w:t>4 赎回业务</w:t>
      </w:r>
    </w:p>
    <w:p w:rsidR="00643244" w:rsidRPr="003B3A22" w:rsidRDefault="001E4554">
      <w:pPr>
        <w:widowControl w:val="0"/>
        <w:spacing w:before="156" w:after="156"/>
        <w:rPr>
          <w:lang w:eastAsia="zh-CN"/>
        </w:rPr>
      </w:pPr>
      <w:r w:rsidRPr="003B3A22">
        <w:rPr>
          <w:rFonts w:ascii="宋体" w:eastAsia="宋体" w:hAnsi="宋体" w:cs="宋体"/>
          <w:b/>
          <w:bCs/>
          <w:lang w:eastAsia="zh-CN"/>
        </w:rPr>
        <w:t>4.1 赎回份额限制</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643244" w:rsidRPr="003B3A22" w:rsidRDefault="001E4554">
      <w:pPr>
        <w:widowControl w:val="0"/>
        <w:spacing w:before="156" w:after="156"/>
        <w:jc w:val="both"/>
        <w:rPr>
          <w:lang w:eastAsia="zh-CN"/>
        </w:rPr>
      </w:pPr>
      <w:r w:rsidRPr="003B3A22">
        <w:rPr>
          <w:rFonts w:ascii="宋体" w:eastAsia="宋体" w:hAnsi="宋体" w:cs="宋体"/>
          <w:b/>
          <w:bCs/>
          <w:lang w:eastAsia="zh-CN"/>
        </w:rPr>
        <w:t>4.2赎回费率</w:t>
      </w:r>
    </w:p>
    <w:p w:rsidR="00643244" w:rsidRPr="003B3A22" w:rsidRDefault="001E4554">
      <w:pPr>
        <w:spacing w:before="156" w:line="360" w:lineRule="auto"/>
        <w:ind w:firstLine="420"/>
        <w:rPr>
          <w:rFonts w:ascii="宋体" w:eastAsia="宋体" w:hAnsi="宋体"/>
          <w:sz w:val="21"/>
          <w:szCs w:val="21"/>
          <w:lang w:eastAsia="zh-CN"/>
        </w:rPr>
      </w:pPr>
      <w:r w:rsidRPr="003B3A22">
        <w:rPr>
          <w:rFonts w:ascii="宋体" w:eastAsia="宋体" w:hAnsi="宋体" w:cs="宋体"/>
          <w:sz w:val="21"/>
          <w:szCs w:val="21"/>
          <w:lang w:eastAsia="zh-CN"/>
        </w:rPr>
        <w:t>本基金的</w:t>
      </w:r>
      <w:r w:rsidRPr="003B3A22">
        <w:rPr>
          <w:rFonts w:ascii="宋体" w:eastAsia="宋体" w:hAnsi="宋体"/>
          <w:sz w:val="21"/>
          <w:szCs w:val="21"/>
          <w:lang w:eastAsia="zh-CN"/>
        </w:rPr>
        <w:t>A</w:t>
      </w:r>
      <w:r w:rsidRPr="003B3A22">
        <w:rPr>
          <w:rFonts w:ascii="宋体" w:eastAsia="宋体" w:hAnsi="宋体" w:cs="宋体"/>
          <w:sz w:val="21"/>
          <w:szCs w:val="21"/>
          <w:lang w:eastAsia="zh-CN"/>
        </w:rPr>
        <w:t>类和</w:t>
      </w:r>
      <w:r w:rsidRPr="003B3A22">
        <w:rPr>
          <w:rFonts w:ascii="宋体" w:eastAsia="宋体" w:hAnsi="宋体"/>
          <w:sz w:val="21"/>
          <w:szCs w:val="21"/>
          <w:lang w:eastAsia="zh-CN"/>
        </w:rPr>
        <w:t>C</w:t>
      </w:r>
      <w:r w:rsidRPr="003B3A22">
        <w:rPr>
          <w:rFonts w:ascii="宋体" w:eastAsia="宋体" w:hAnsi="宋体" w:cs="宋体"/>
          <w:sz w:val="21"/>
          <w:szCs w:val="21"/>
          <w:lang w:eastAsia="zh-CN"/>
        </w:rPr>
        <w:t>类基金份额赎回费率如下表所示：</w:t>
      </w:r>
    </w:p>
    <w:tbl>
      <w:tblPr>
        <w:tblW w:w="0" w:type="auto"/>
        <w:tblInd w:w="6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162"/>
        <w:gridCol w:w="3040"/>
      </w:tblGrid>
      <w:tr w:rsidR="00643244" w:rsidRPr="003B3A22">
        <w:trPr>
          <w:trHeight w:val="461"/>
        </w:trPr>
        <w:tc>
          <w:tcPr>
            <w:tcW w:w="3162" w:type="dxa"/>
            <w:tcBorders>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持有期限（</w:t>
            </w:r>
            <w:r w:rsidRPr="003B3A22">
              <w:rPr>
                <w:rFonts w:ascii="宋体" w:eastAsia="宋体" w:hAnsi="宋体"/>
                <w:b/>
                <w:bCs/>
                <w:sz w:val="21"/>
                <w:szCs w:val="21"/>
                <w:lang w:eastAsia="zh-CN"/>
              </w:rPr>
              <w:t>T</w:t>
            </w:r>
            <w:r w:rsidRPr="003B3A22">
              <w:rPr>
                <w:rFonts w:ascii="宋体" w:eastAsia="宋体" w:hAnsi="宋体" w:cs="宋体"/>
                <w:b/>
                <w:bCs/>
                <w:sz w:val="21"/>
                <w:szCs w:val="21"/>
                <w:lang w:eastAsia="zh-CN"/>
              </w:rPr>
              <w:t>）</w:t>
            </w:r>
          </w:p>
        </w:tc>
        <w:tc>
          <w:tcPr>
            <w:tcW w:w="3040" w:type="dxa"/>
            <w:tcBorders>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赎回费率</w:t>
            </w:r>
          </w:p>
        </w:tc>
      </w:tr>
      <w:tr w:rsidR="00643244" w:rsidRPr="003B3A22">
        <w:trPr>
          <w:trHeight w:val="461"/>
        </w:trPr>
        <w:tc>
          <w:tcPr>
            <w:tcW w:w="3162"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T</w:t>
            </w:r>
            <w:r w:rsidRPr="003B3A22">
              <w:rPr>
                <w:rFonts w:ascii="宋体" w:eastAsia="宋体" w:hAnsi="宋体" w:cs="宋体"/>
                <w:sz w:val="21"/>
                <w:szCs w:val="21"/>
                <w:lang w:eastAsia="zh-CN"/>
              </w:rPr>
              <w:t>＜</w:t>
            </w:r>
            <w:r w:rsidRPr="003B3A22">
              <w:rPr>
                <w:rFonts w:ascii="宋体" w:eastAsia="宋体" w:hAnsi="宋体"/>
                <w:sz w:val="21"/>
                <w:szCs w:val="21"/>
                <w:lang w:eastAsia="zh-CN"/>
              </w:rPr>
              <w:t>7</w:t>
            </w:r>
            <w:r w:rsidRPr="003B3A22">
              <w:rPr>
                <w:rFonts w:ascii="宋体" w:eastAsia="宋体" w:hAnsi="宋体" w:cs="宋体"/>
                <w:sz w:val="21"/>
                <w:szCs w:val="21"/>
                <w:lang w:eastAsia="zh-CN"/>
              </w:rPr>
              <w:t>天</w:t>
            </w:r>
          </w:p>
        </w:tc>
        <w:tc>
          <w:tcPr>
            <w:tcW w:w="3040"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1.50%</w:t>
            </w:r>
          </w:p>
        </w:tc>
      </w:tr>
      <w:tr w:rsidR="00643244" w:rsidRPr="003B3A22">
        <w:trPr>
          <w:trHeight w:val="461"/>
        </w:trPr>
        <w:tc>
          <w:tcPr>
            <w:tcW w:w="3162"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7</w:t>
            </w:r>
            <w:r w:rsidRPr="003B3A22">
              <w:rPr>
                <w:rFonts w:ascii="宋体" w:eastAsia="宋体" w:hAnsi="宋体" w:cs="宋体"/>
                <w:sz w:val="21"/>
                <w:szCs w:val="21"/>
                <w:lang w:eastAsia="zh-CN"/>
              </w:rPr>
              <w:t>天</w:t>
            </w:r>
            <w:r w:rsidRPr="003B3A22">
              <w:rPr>
                <w:rFonts w:ascii="宋体" w:eastAsia="宋体" w:hAnsi="宋体"/>
                <w:sz w:val="21"/>
                <w:szCs w:val="21"/>
                <w:lang w:eastAsia="zh-CN"/>
              </w:rPr>
              <w:t>≤T&lt;30</w:t>
            </w:r>
            <w:r w:rsidRPr="003B3A22">
              <w:rPr>
                <w:rFonts w:ascii="宋体" w:eastAsia="宋体" w:hAnsi="宋体" w:cs="宋体"/>
                <w:sz w:val="21"/>
                <w:szCs w:val="21"/>
                <w:lang w:eastAsia="zh-CN"/>
              </w:rPr>
              <w:t>天</w:t>
            </w:r>
          </w:p>
        </w:tc>
        <w:tc>
          <w:tcPr>
            <w:tcW w:w="3040"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0.50%</w:t>
            </w:r>
          </w:p>
        </w:tc>
      </w:tr>
      <w:tr w:rsidR="00643244" w:rsidRPr="003B3A22">
        <w:trPr>
          <w:trHeight w:val="461"/>
        </w:trPr>
        <w:tc>
          <w:tcPr>
            <w:tcW w:w="3162" w:type="dxa"/>
            <w:tcBorders>
              <w:top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T≥30</w:t>
            </w:r>
            <w:r w:rsidRPr="003B3A22">
              <w:rPr>
                <w:rFonts w:ascii="宋体" w:eastAsia="宋体" w:hAnsi="宋体" w:cs="宋体"/>
                <w:sz w:val="21"/>
                <w:szCs w:val="21"/>
                <w:lang w:eastAsia="zh-CN"/>
              </w:rPr>
              <w:t>天</w:t>
            </w:r>
          </w:p>
        </w:tc>
        <w:tc>
          <w:tcPr>
            <w:tcW w:w="3040" w:type="dxa"/>
            <w:tcBorders>
              <w:top w:val="single" w:sz="6" w:space="0" w:color="auto"/>
              <w:lef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w:t>
            </w:r>
          </w:p>
        </w:tc>
      </w:tr>
    </w:tbl>
    <w:p w:rsidR="00643244" w:rsidRPr="003B3A22" w:rsidRDefault="001E4554">
      <w:pPr>
        <w:spacing w:line="360" w:lineRule="auto"/>
        <w:ind w:firstLine="420"/>
        <w:rPr>
          <w:rFonts w:ascii="宋体" w:eastAsia="宋体" w:hAnsi="宋体"/>
          <w:sz w:val="21"/>
          <w:szCs w:val="21"/>
          <w:lang w:eastAsia="zh-CN"/>
        </w:rPr>
      </w:pPr>
      <w:r w:rsidRPr="003B3A22">
        <w:rPr>
          <w:rFonts w:ascii="宋体" w:eastAsia="宋体" w:hAnsi="宋体" w:cs="宋体"/>
          <w:sz w:val="21"/>
          <w:szCs w:val="21"/>
          <w:lang w:eastAsia="zh-CN"/>
        </w:rPr>
        <w:t>本基金的</w:t>
      </w:r>
      <w:r w:rsidRPr="003B3A22">
        <w:rPr>
          <w:rFonts w:ascii="宋体" w:eastAsia="宋体" w:hAnsi="宋体"/>
          <w:sz w:val="21"/>
          <w:szCs w:val="21"/>
          <w:lang w:eastAsia="zh-CN"/>
        </w:rPr>
        <w:t>E</w:t>
      </w:r>
      <w:r w:rsidRPr="003B3A22">
        <w:rPr>
          <w:rFonts w:ascii="宋体" w:eastAsia="宋体" w:hAnsi="宋体" w:cs="宋体"/>
          <w:sz w:val="21"/>
          <w:szCs w:val="21"/>
          <w:lang w:eastAsia="zh-CN"/>
        </w:rPr>
        <w:t>类基金份额赎回费率如下表所示：</w:t>
      </w:r>
    </w:p>
    <w:tbl>
      <w:tblPr>
        <w:tblW w:w="0" w:type="auto"/>
        <w:tblInd w:w="63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162"/>
        <w:gridCol w:w="3040"/>
      </w:tblGrid>
      <w:tr w:rsidR="00643244" w:rsidRPr="003B3A22">
        <w:trPr>
          <w:trHeight w:val="461"/>
        </w:trPr>
        <w:tc>
          <w:tcPr>
            <w:tcW w:w="3162" w:type="dxa"/>
            <w:tcBorders>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持有期限（</w:t>
            </w:r>
            <w:r w:rsidRPr="003B3A22">
              <w:rPr>
                <w:rFonts w:ascii="宋体" w:eastAsia="宋体" w:hAnsi="宋体"/>
                <w:b/>
                <w:bCs/>
                <w:sz w:val="21"/>
                <w:szCs w:val="21"/>
                <w:lang w:eastAsia="zh-CN"/>
              </w:rPr>
              <w:t>T</w:t>
            </w:r>
            <w:r w:rsidRPr="003B3A22">
              <w:rPr>
                <w:rFonts w:ascii="宋体" w:eastAsia="宋体" w:hAnsi="宋体" w:cs="宋体"/>
                <w:b/>
                <w:bCs/>
                <w:sz w:val="21"/>
                <w:szCs w:val="21"/>
                <w:lang w:eastAsia="zh-CN"/>
              </w:rPr>
              <w:t>）</w:t>
            </w:r>
          </w:p>
        </w:tc>
        <w:tc>
          <w:tcPr>
            <w:tcW w:w="3040" w:type="dxa"/>
            <w:tcBorders>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cs="宋体"/>
                <w:b/>
                <w:bCs/>
                <w:sz w:val="21"/>
                <w:szCs w:val="21"/>
                <w:lang w:eastAsia="zh-CN"/>
              </w:rPr>
              <w:t>赎回费率</w:t>
            </w:r>
          </w:p>
        </w:tc>
      </w:tr>
      <w:tr w:rsidR="00643244" w:rsidRPr="003B3A22">
        <w:trPr>
          <w:trHeight w:val="461"/>
        </w:trPr>
        <w:tc>
          <w:tcPr>
            <w:tcW w:w="3162" w:type="dxa"/>
            <w:tcBorders>
              <w:top w:val="single" w:sz="6" w:space="0" w:color="auto"/>
              <w:bottom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T</w:t>
            </w:r>
            <w:r w:rsidRPr="003B3A22">
              <w:rPr>
                <w:rFonts w:ascii="宋体" w:eastAsia="宋体" w:hAnsi="宋体" w:cs="宋体"/>
                <w:sz w:val="21"/>
                <w:szCs w:val="21"/>
                <w:lang w:eastAsia="zh-CN"/>
              </w:rPr>
              <w:t>＜</w:t>
            </w:r>
            <w:r w:rsidRPr="003B3A22">
              <w:rPr>
                <w:rFonts w:ascii="宋体" w:eastAsia="宋体" w:hAnsi="宋体"/>
                <w:sz w:val="21"/>
                <w:szCs w:val="21"/>
                <w:lang w:eastAsia="zh-CN"/>
              </w:rPr>
              <w:t>7</w:t>
            </w:r>
            <w:r w:rsidRPr="003B3A22">
              <w:rPr>
                <w:rFonts w:ascii="宋体" w:eastAsia="宋体" w:hAnsi="宋体" w:cs="宋体"/>
                <w:sz w:val="21"/>
                <w:szCs w:val="21"/>
                <w:lang w:eastAsia="zh-CN"/>
              </w:rPr>
              <w:t>天</w:t>
            </w:r>
          </w:p>
        </w:tc>
        <w:tc>
          <w:tcPr>
            <w:tcW w:w="3040" w:type="dxa"/>
            <w:tcBorders>
              <w:top w:val="single" w:sz="6" w:space="0" w:color="auto"/>
              <w:left w:val="single" w:sz="6" w:space="0" w:color="auto"/>
              <w:bottom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1.50%</w:t>
            </w:r>
          </w:p>
        </w:tc>
      </w:tr>
      <w:tr w:rsidR="00643244" w:rsidRPr="003B3A22">
        <w:trPr>
          <w:trHeight w:val="461"/>
        </w:trPr>
        <w:tc>
          <w:tcPr>
            <w:tcW w:w="3162" w:type="dxa"/>
            <w:tcBorders>
              <w:top w:val="single" w:sz="6" w:space="0" w:color="auto"/>
              <w:righ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T≥7</w:t>
            </w:r>
            <w:r w:rsidRPr="003B3A22">
              <w:rPr>
                <w:rFonts w:ascii="宋体" w:eastAsia="宋体" w:hAnsi="宋体" w:cs="宋体"/>
                <w:sz w:val="21"/>
                <w:szCs w:val="21"/>
                <w:lang w:eastAsia="zh-CN"/>
              </w:rPr>
              <w:t>天</w:t>
            </w:r>
          </w:p>
        </w:tc>
        <w:tc>
          <w:tcPr>
            <w:tcW w:w="3040" w:type="dxa"/>
            <w:tcBorders>
              <w:top w:val="single" w:sz="6" w:space="0" w:color="auto"/>
              <w:left w:val="single" w:sz="6" w:space="0" w:color="auto"/>
            </w:tcBorders>
            <w:tcMar>
              <w:top w:w="8" w:type="dxa"/>
              <w:left w:w="102" w:type="dxa"/>
              <w:bottom w:w="8" w:type="dxa"/>
              <w:right w:w="102" w:type="dxa"/>
            </w:tcMar>
            <w:vAlign w:val="center"/>
            <w:hideMark/>
          </w:tcPr>
          <w:p w:rsidR="00643244" w:rsidRPr="003B3A22" w:rsidRDefault="001E4554">
            <w:pPr>
              <w:spacing w:line="360" w:lineRule="auto"/>
              <w:jc w:val="center"/>
              <w:rPr>
                <w:rFonts w:ascii="宋体" w:eastAsia="宋体" w:hAnsi="宋体"/>
                <w:sz w:val="21"/>
                <w:szCs w:val="21"/>
              </w:rPr>
            </w:pPr>
            <w:r w:rsidRPr="003B3A22">
              <w:rPr>
                <w:rFonts w:ascii="宋体" w:eastAsia="宋体" w:hAnsi="宋体"/>
                <w:sz w:val="21"/>
                <w:szCs w:val="21"/>
                <w:lang w:eastAsia="zh-CN"/>
              </w:rPr>
              <w:t>0</w:t>
            </w:r>
          </w:p>
        </w:tc>
      </w:tr>
    </w:tbl>
    <w:p w:rsidR="00643244" w:rsidRPr="003B3A22" w:rsidRDefault="001E4554">
      <w:pPr>
        <w:spacing w:before="156" w:line="360" w:lineRule="auto"/>
        <w:ind w:firstLine="420"/>
        <w:jc w:val="both"/>
        <w:rPr>
          <w:sz w:val="21"/>
          <w:szCs w:val="21"/>
          <w:lang w:eastAsia="zh-CN"/>
        </w:rPr>
      </w:pPr>
      <w:r w:rsidRPr="003B3A22">
        <w:rPr>
          <w:rFonts w:ascii="宋体" w:eastAsia="宋体" w:hAnsi="宋体" w:cs="宋体"/>
          <w:sz w:val="21"/>
          <w:szCs w:val="21"/>
          <w:lang w:eastAsia="zh-CN"/>
        </w:rPr>
        <w:t>赎回费用由赎回基金份额的基金份额持有人承担，在基金份额持有人赎回基金份额时收取。赎回费全额计入基金财产。</w:t>
      </w:r>
    </w:p>
    <w:p w:rsidR="00643244" w:rsidRPr="003B3A22" w:rsidRDefault="001E4554">
      <w:pPr>
        <w:pStyle w:val="2"/>
        <w:keepLines/>
        <w:widowControl w:val="0"/>
        <w:spacing w:before="156" w:after="156"/>
        <w:rPr>
          <w:rFonts w:ascii="Times New Roman" w:hAnsi="Times New Roman" w:cs="Times New Roman"/>
          <w:lang w:eastAsia="zh-CN"/>
        </w:rPr>
      </w:pPr>
      <w:r w:rsidRPr="003B3A22">
        <w:rPr>
          <w:rFonts w:ascii="宋体" w:eastAsia="宋体" w:hAnsi="宋体" w:cs="宋体"/>
          <w:i w:val="0"/>
          <w:iCs w:val="0"/>
          <w:sz w:val="24"/>
          <w:szCs w:val="24"/>
          <w:lang w:eastAsia="zh-CN"/>
        </w:rPr>
        <w:t>5 转换业务</w:t>
      </w:r>
    </w:p>
    <w:p w:rsidR="00643244" w:rsidRPr="003B3A22" w:rsidRDefault="001E4554">
      <w:pPr>
        <w:widowControl w:val="0"/>
        <w:spacing w:before="156" w:after="156"/>
        <w:rPr>
          <w:lang w:eastAsia="zh-CN"/>
        </w:rPr>
      </w:pPr>
      <w:r w:rsidRPr="003B3A22">
        <w:rPr>
          <w:rFonts w:ascii="宋体" w:eastAsia="宋体" w:hAnsi="宋体" w:cs="宋体"/>
          <w:b/>
          <w:bCs/>
          <w:lang w:eastAsia="zh-CN"/>
        </w:rPr>
        <w:t>5.1 转换费率</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643244" w:rsidRPr="003B3A22" w:rsidRDefault="001E4554">
      <w:pPr>
        <w:widowControl w:val="0"/>
        <w:spacing w:line="360" w:lineRule="auto"/>
        <w:ind w:firstLine="420"/>
        <w:rPr>
          <w:sz w:val="21"/>
          <w:szCs w:val="21"/>
        </w:rPr>
      </w:pPr>
      <w:r w:rsidRPr="003B3A22">
        <w:rPr>
          <w:rFonts w:ascii="宋体" w:eastAsia="宋体" w:hAnsi="宋体" w:cs="宋体"/>
          <w:sz w:val="21"/>
          <w:szCs w:val="21"/>
          <w:lang w:eastAsia="zh-CN"/>
        </w:rPr>
        <w:t>1、赎回费用</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2、申购费用补差</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（2）免申购费用的基金转入本基金，转换申购费用补差为本基金的申购费。</w:t>
      </w:r>
    </w:p>
    <w:p w:rsidR="00643244" w:rsidRPr="003B3A22" w:rsidRDefault="001E4554">
      <w:pPr>
        <w:widowControl w:val="0"/>
        <w:spacing w:before="156" w:after="156"/>
        <w:jc w:val="both"/>
        <w:rPr>
          <w:lang w:eastAsia="zh-CN"/>
        </w:rPr>
      </w:pPr>
      <w:r w:rsidRPr="003B3A22">
        <w:rPr>
          <w:rFonts w:ascii="宋体" w:eastAsia="宋体" w:hAnsi="宋体" w:cs="宋体"/>
          <w:b/>
          <w:bCs/>
          <w:lang w:eastAsia="zh-CN"/>
        </w:rPr>
        <w:t>5.2 其他与转换相关的事项</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1、转换业务适用基金范围</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800证券保险指数型证券投资基金（LOF）（I类份额）、鹏华中证信息技术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信灵活配置混合型证券投资基金（A类份额和C类份额和D类份额和E类份额）、鹏华弘实灵活配置混合型证券投资基金（A类份额和C类份额和D类份额和E类份额）、鹏华弘和灵活配置混合型证券投资基金（A类份额和C类份额）、鹏华弘华灵活配置混合型证券投资基金（A类份额和C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沪深300指数增强型证券投资基金（I类份额）、鹏华国证钢铁行业指数型证券投资基金（LOF）（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腾债券型证券投资基金、鹏华丰禄债券型证券投资基金、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盈余宝货币市场基金（A类份额和B类份额）、鹏华丰源债券型证券投资基金、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丰诚债券型证券投资基金（A类份额和B类份额和C类份额和D类份额和E类份额）、鹏华安泽混合型证券投资基金（A类份额和C类份额和D类份额和E类份额）、鹏华稳健回报混合型证券投资基金（A类份额和C类份额）、鹏华鑫享稳健混合型证券投资基金（A类份额和C类份额和E类份额）、鹏华中债3-5年国开行债券指数证券投资基金（A类份额和C类份额和D类份额）、鹏华股息精选混合型证券投资基金、鹏华成长价值混合型证券投资基金（A类份额和C类份额）、鹏华普利债券型证券投资基金（A类份额和C类份额和E类份额）、鹏华优质企业混合型证券投资基金（A类份额和C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中债1-3年农发行债券指数证券投资基金（A类份额和C类份额和D类份额）、鹏华招华一年持有期混合型证券投资基金（A类份额和C类份额）、鹏华年年红一年持有期债券型证券投资基金（A类份额和C类份额）、鹏华中债-0-3年AA+优选信用债指数证券投资基金（A类份额和C类份额和D类份额</w:t>
      </w:r>
      <w:r w:rsidR="005061A6" w:rsidRPr="003B3A22">
        <w:rPr>
          <w:rFonts w:ascii="宋体" w:eastAsia="宋体" w:hAnsi="宋体" w:cs="宋体" w:hint="eastAsia"/>
          <w:sz w:val="21"/>
          <w:szCs w:val="21"/>
          <w:lang w:eastAsia="zh-CN"/>
        </w:rPr>
        <w:t>和I类份额</w:t>
      </w:r>
      <w:r w:rsidRPr="003B3A22">
        <w:rPr>
          <w:rFonts w:ascii="宋体" w:eastAsia="宋体" w:hAnsi="宋体" w:cs="宋体"/>
          <w:sz w:val="21"/>
          <w:szCs w:val="21"/>
          <w:lang w:eastAsia="zh-CN"/>
        </w:rPr>
        <w:t>）、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品质优选混合型证券投资基金（A类份额和C类份额）、鹏华安悦一年持有期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高端装备一年持有期混合型证券投资基金（A类份额和C类份额）、鹏华睿见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国证机器人产业交易型开放式指数证券投资基金发起式联接基金（A类份额和C类份额和I类份额）之间的基金转换。</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注：我司旗下定期开放产品在开放期间开通转换业务的，也适用于与本基金在开放期间的基金转换。</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2、基金转换份额的计算</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基金转换计算公式如下：</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转出基金赎回手续费＝转出份额×转出净值×转出基金赎回手续费率</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转出金额=转出份额×转出基金当日基金份额净值－转出基金赎回手续费</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补差费（外扣）＝转出金额×转入基金的申购费率/（1＋转入基金申购费率）－转出金额×转出基金申购费率/（1＋转出基金申购费率）</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转换费用＝转出基金赎回手续费＋补差费</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转入份额＝（转出金额－补差费）/转入基金当日基金份额净值</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 xml:space="preserve">例如：某基金份额持有人（非养老金客户）持有本基金A类基金份额10,000 份，持有3个月后，在本基金处于开放期间时决定转换为鹏华价值精选股票型证券投资基金，本基金A类基金对应前端申购费率为0.4%，赎回费率为0，假设转换当日转出基金份额净值是1.08元，转入基金的份额净值是1.05元，并且转入基金对应的前端申购费率为1.5%，则可得到的转换份额为： </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转出基金赎回手续费＝0元</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转出金额=10,000×1.080=10,800元</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补差费（外扣）＝10,800×1.5%/(1+1.5%)-10,800×0.4%/(1+0.4%)=116.58元</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转换费用＝0+116.58＝116.58元</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转入份额＝（10,800－116.58）/1.05＝10,174.69</w:t>
      </w:r>
    </w:p>
    <w:p w:rsidR="00643244" w:rsidRPr="003B3A22" w:rsidRDefault="001E4554">
      <w:pPr>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即：某基金份额持有人（非养老金客户）持有10,000 份本基金A类基金份额3个月后，在本基金处于开放期间时转换为鹏华价值精选股票型证券投资基金，假设转换当日转出基金份额净值是1.08元，转入基金的基金份额净值是1.05元，则可得到的转换份额为10,174.69份。</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3、转换业务规则</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（3）基金转换后，转入的基金份额的持有期将自转入的基金份额被确认之日起重新开始计算。</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（4）本基金单笔转换申请的最低份额为2份，基金份额持有人可将其全部或部分基金份额转换。</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643244" w:rsidRPr="003B3A22" w:rsidRDefault="001E4554">
      <w:pPr>
        <w:pStyle w:val="2"/>
        <w:keepLines/>
        <w:widowControl w:val="0"/>
        <w:spacing w:before="156" w:after="156"/>
        <w:rPr>
          <w:rFonts w:ascii="Times New Roman" w:hAnsi="Times New Roman" w:cs="Times New Roman"/>
          <w:lang w:eastAsia="zh-CN"/>
        </w:rPr>
      </w:pPr>
      <w:r w:rsidRPr="003B3A22">
        <w:rPr>
          <w:rFonts w:ascii="宋体" w:eastAsia="宋体" w:hAnsi="宋体" w:cs="宋体"/>
          <w:i w:val="0"/>
          <w:iCs w:val="0"/>
          <w:sz w:val="24"/>
          <w:szCs w:val="24"/>
          <w:lang w:eastAsia="zh-CN"/>
        </w:rPr>
        <w:t>6 基金销售机构</w:t>
      </w:r>
    </w:p>
    <w:p w:rsidR="00643244" w:rsidRPr="003B3A22" w:rsidRDefault="001E4554">
      <w:pPr>
        <w:widowControl w:val="0"/>
        <w:spacing w:before="156" w:after="156"/>
        <w:jc w:val="both"/>
        <w:rPr>
          <w:lang w:eastAsia="zh-CN"/>
        </w:rPr>
      </w:pPr>
      <w:r w:rsidRPr="003B3A22">
        <w:rPr>
          <w:rFonts w:ascii="宋体" w:eastAsia="宋体" w:hAnsi="宋体" w:cs="宋体"/>
          <w:b/>
          <w:bCs/>
          <w:lang w:eastAsia="zh-CN"/>
        </w:rPr>
        <w:t>6.1 直销机构</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鹏华基金管理有限公司</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办公地址：深圳市福田区福华三路168号深圳国际商会中心43层</w:t>
      </w:r>
    </w:p>
    <w:p w:rsidR="00643244" w:rsidRPr="003B3A22" w:rsidRDefault="001E4554">
      <w:pPr>
        <w:widowControl w:val="0"/>
        <w:spacing w:line="360" w:lineRule="auto"/>
        <w:ind w:firstLine="420"/>
        <w:rPr>
          <w:sz w:val="21"/>
          <w:szCs w:val="21"/>
        </w:rPr>
      </w:pPr>
      <w:r w:rsidRPr="003B3A22">
        <w:rPr>
          <w:rFonts w:ascii="宋体" w:eastAsia="宋体" w:hAnsi="宋体" w:cs="宋体"/>
          <w:sz w:val="21"/>
          <w:szCs w:val="21"/>
          <w:lang w:eastAsia="zh-CN"/>
        </w:rPr>
        <w:t>网址：www.phfund.com.cn</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全国统一客户服务电话：400-6788-533</w:t>
      </w:r>
    </w:p>
    <w:p w:rsidR="00643244" w:rsidRPr="003B3A22" w:rsidRDefault="001E4554">
      <w:pPr>
        <w:widowControl w:val="0"/>
        <w:spacing w:before="156" w:after="156"/>
        <w:jc w:val="both"/>
        <w:rPr>
          <w:lang w:eastAsia="zh-CN"/>
        </w:rPr>
      </w:pPr>
      <w:r w:rsidRPr="003B3A22">
        <w:rPr>
          <w:rFonts w:ascii="宋体" w:eastAsia="宋体" w:hAnsi="宋体" w:cs="宋体"/>
          <w:b/>
          <w:bCs/>
          <w:lang w:eastAsia="zh-CN"/>
        </w:rPr>
        <w:t>6.2 其他销售机构</w:t>
      </w:r>
    </w:p>
    <w:p w:rsidR="00643244" w:rsidRPr="003B3A22" w:rsidRDefault="001E4554">
      <w:pPr>
        <w:spacing w:line="360" w:lineRule="auto"/>
        <w:ind w:firstLine="315"/>
        <w:rPr>
          <w:rFonts w:ascii="宋体" w:eastAsia="宋体" w:hAnsi="宋体" w:cs="宋体"/>
          <w:sz w:val="21"/>
          <w:szCs w:val="21"/>
          <w:lang w:eastAsia="zh-CN"/>
        </w:rPr>
      </w:pPr>
      <w:r w:rsidRPr="003B3A22">
        <w:rPr>
          <w:rFonts w:ascii="宋体" w:eastAsia="宋体" w:hAnsi="宋体" w:cs="宋体"/>
          <w:sz w:val="21"/>
          <w:szCs w:val="21"/>
          <w:lang w:eastAsia="zh-CN"/>
        </w:rPr>
        <w:t>1、银行销售机构：江苏银行、江南农村商业、贵州银行、交通银行、张家港农商行、徽商银行、中信银行、邮政储蓄银行、中国银行、民生银行、建设银行、工商银行、招商银行、兴业银行、上海银行、浦发银行、平安银行、华润银行、广发银行、东莞农商行、福建海峡银行、青岛银行、晋城银行、西安银行、宁波银行、微众银行、绍兴瑞丰农商行、杭州联合银行、重庆农商行。</w:t>
      </w:r>
    </w:p>
    <w:p w:rsidR="00643244" w:rsidRPr="003B3A22" w:rsidRDefault="001E4554">
      <w:pPr>
        <w:spacing w:line="360" w:lineRule="auto"/>
        <w:ind w:firstLine="315"/>
        <w:rPr>
          <w:rFonts w:ascii="宋体" w:eastAsia="宋体" w:hAnsi="宋体" w:cs="宋体"/>
          <w:sz w:val="21"/>
          <w:szCs w:val="21"/>
          <w:lang w:eastAsia="zh-CN"/>
        </w:rPr>
      </w:pPr>
      <w:r w:rsidRPr="003B3A22">
        <w:rPr>
          <w:rFonts w:ascii="宋体" w:eastAsia="宋体" w:hAnsi="宋体" w:cs="宋体"/>
          <w:sz w:val="21"/>
          <w:szCs w:val="21"/>
          <w:lang w:eastAsia="zh-CN"/>
        </w:rPr>
        <w:t>2、证券（期货）销售机构：渤海证券、万联证券、中信证券（华南）、国联民生证券、世纪证券、东方财富证券、粤开证券、国投证券、国金证券、民生证券、财达证券、西南证券、东方证券、华鑫证券、申万宏源西部、开源证券、中信建投期货、第一创业证券、江海证券、银河证券、中信证券、兴业证券、华泰证券、招商证券、东吴证券、国元证券、申万宏源、长城证券、中泰证券、东北证券、上海证券、光大证券、中信期货、广发证券、东海证券、国都证券、国盛证券、英大证券、浙商证券、中金财富、国泰海通证券、华林证券、华龙证券、西部证券、中信证券（山东）、长江证券、国新证券、大同证券、中原证券、国海证券、诚通证券、山西证券、金元证券、中邮证券、爱建证券、南京证券、信达证券、平安证券、国信证券、华安证券、华宝证券、华西证券、首创证券、天风证券、中信建投。</w:t>
      </w:r>
    </w:p>
    <w:p w:rsidR="00643244" w:rsidRPr="003B3A22" w:rsidRDefault="001E4554">
      <w:pPr>
        <w:spacing w:line="360" w:lineRule="auto"/>
        <w:ind w:firstLine="315"/>
        <w:rPr>
          <w:rFonts w:ascii="宋体" w:eastAsia="宋体" w:hAnsi="宋体" w:cs="宋体"/>
          <w:sz w:val="21"/>
          <w:szCs w:val="21"/>
          <w:lang w:eastAsia="zh-CN"/>
        </w:rPr>
      </w:pPr>
      <w:r w:rsidRPr="003B3A22">
        <w:rPr>
          <w:rFonts w:ascii="宋体" w:eastAsia="宋体" w:hAnsi="宋体" w:cs="宋体"/>
          <w:sz w:val="21"/>
          <w:szCs w:val="21"/>
          <w:lang w:eastAsia="zh-CN"/>
        </w:rPr>
        <w:t>3、第三方销售机构：浦领基金、汇成基金、雪球基金、苏宁基金、新浪基金、京东肯特瑞基金、华源证券（鑫理财）、博时财富、中国人寿、泰信财富、中正达广、诺亚正行、上海好买、陆基金、上海天天、新兰德、深圳众禄、宜信普泽、浙江同花顺、盈米基金、北京虹点、基煜基金、挖财基金、万得基金、蚂蚁基金、上海利得、腾安基金、奕丰基金、汇林保大、和耕传承、大智慧基金、大连网金、联泰基金、度小满、中证金牛、意才基金、上海长量、海银基金、泛华普益、阳光人寿、贵文基金、创金启富。</w:t>
      </w:r>
    </w:p>
    <w:p w:rsidR="00643244" w:rsidRPr="003B3A22" w:rsidRDefault="001E4554">
      <w:pPr>
        <w:pStyle w:val="2"/>
        <w:keepLines/>
        <w:widowControl w:val="0"/>
        <w:spacing w:before="156" w:after="156"/>
        <w:jc w:val="both"/>
        <w:rPr>
          <w:rFonts w:ascii="Times New Roman" w:hAnsi="Times New Roman" w:cs="Times New Roman"/>
          <w:lang w:eastAsia="zh-CN"/>
        </w:rPr>
      </w:pPr>
      <w:r w:rsidRPr="003B3A22">
        <w:rPr>
          <w:rFonts w:ascii="宋体" w:eastAsia="宋体" w:hAnsi="宋体" w:cs="宋体"/>
          <w:i w:val="0"/>
          <w:iCs w:val="0"/>
          <w:sz w:val="24"/>
          <w:szCs w:val="24"/>
          <w:lang w:eastAsia="zh-CN"/>
        </w:rPr>
        <w:t>7 基金份额净值公告/基金收益公告的披露安排</w:t>
      </w:r>
    </w:p>
    <w:p w:rsidR="00643244" w:rsidRPr="003B3A22" w:rsidRDefault="001E4554">
      <w:pPr>
        <w:widowControl w:val="0"/>
        <w:spacing w:line="360" w:lineRule="auto"/>
        <w:ind w:firstLine="420"/>
        <w:rPr>
          <w:sz w:val="21"/>
          <w:szCs w:val="21"/>
          <w:lang w:eastAsia="zh-CN"/>
        </w:rPr>
      </w:pPr>
      <w:r w:rsidRPr="003B3A22">
        <w:rPr>
          <w:rFonts w:ascii="宋体" w:eastAsia="宋体" w:hAnsi="宋体" w:cs="宋体"/>
          <w:sz w:val="21"/>
          <w:szCs w:val="21"/>
          <w:lang w:eastAsia="zh-CN"/>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643244" w:rsidRPr="003B3A22" w:rsidRDefault="001E4554">
      <w:pPr>
        <w:pStyle w:val="2"/>
        <w:keepLines/>
        <w:widowControl w:val="0"/>
        <w:spacing w:before="156" w:after="156"/>
        <w:rPr>
          <w:rFonts w:ascii="Times New Roman" w:hAnsi="Times New Roman" w:cs="Times New Roman"/>
          <w:lang w:eastAsia="zh-CN"/>
        </w:rPr>
      </w:pPr>
      <w:r w:rsidRPr="003B3A22">
        <w:rPr>
          <w:rFonts w:ascii="宋体" w:eastAsia="宋体" w:hAnsi="宋体" w:cs="宋体"/>
          <w:i w:val="0"/>
          <w:iCs w:val="0"/>
          <w:sz w:val="24"/>
          <w:szCs w:val="24"/>
          <w:lang w:eastAsia="zh-CN"/>
        </w:rPr>
        <w:t>8 其他需要提示的事项</w:t>
      </w:r>
    </w:p>
    <w:p w:rsidR="00643244" w:rsidRPr="003B3A22" w:rsidRDefault="001E4554">
      <w:pPr>
        <w:widowControl w:val="0"/>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1、本基金的封闭期为自基金合同生效之日（含）起或自每一开放期结束之日次日（含）起至3个月后的对应日的前一日止。本基金的第一个封闭期为自合同生效之日（含）起至3个月后的对应日的前一日止。下一个封闭期为首个开放期结束之日次日（含）起至3个月后的对应日的前一日止，以此类推。如该对应日不存在对应日期或为非工作日，则顺延至下一工作日。本基金封闭期内不办理申购与赎回业务，也不上市交易。</w:t>
      </w:r>
    </w:p>
    <w:p w:rsidR="00643244" w:rsidRPr="003B3A22" w:rsidRDefault="001E4554">
      <w:pPr>
        <w:widowControl w:val="0"/>
        <w:spacing w:line="360" w:lineRule="auto"/>
        <w:ind w:firstLine="420"/>
        <w:jc w:val="both"/>
        <w:rPr>
          <w:rFonts w:ascii="宋体" w:eastAsia="宋体" w:hAnsi="宋体" w:cs="宋体"/>
          <w:sz w:val="21"/>
          <w:szCs w:val="21"/>
          <w:lang w:eastAsia="zh-CN"/>
        </w:rPr>
      </w:pPr>
      <w:r w:rsidRPr="003B3A22">
        <w:rPr>
          <w:rFonts w:ascii="宋体" w:eastAsia="宋体" w:hAnsi="宋体" w:cs="宋体"/>
          <w:sz w:val="21"/>
          <w:szCs w:val="21"/>
          <w:lang w:eastAsia="zh-CN"/>
        </w:rPr>
        <w:t>2、一般情况下，本基金的开放期为自封闭期结束之日后第一个工作日（含）起原则上不少于一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3、如发生不可抗力或其他情形致使基金无法按时开放或需依据基金合同暂停申购与赎回业务的，基金管理人有权合理调整申购或赎回业务的办理期间并予以公告。</w:t>
      </w:r>
    </w:p>
    <w:p w:rsidR="00643244" w:rsidRPr="003B3A22" w:rsidRDefault="001E4554">
      <w:pPr>
        <w:widowControl w:val="0"/>
        <w:spacing w:line="360" w:lineRule="auto"/>
        <w:ind w:firstLine="420"/>
        <w:jc w:val="both"/>
        <w:rPr>
          <w:sz w:val="21"/>
          <w:szCs w:val="21"/>
          <w:lang w:eastAsia="zh-CN"/>
        </w:rPr>
      </w:pPr>
      <w:r w:rsidRPr="003B3A22">
        <w:rPr>
          <w:rFonts w:ascii="宋体" w:eastAsia="宋体" w:hAnsi="宋体" w:cs="宋体"/>
          <w:sz w:val="21"/>
          <w:szCs w:val="21"/>
          <w:lang w:eastAsia="zh-CN"/>
        </w:rPr>
        <w:t>4、本公告仅对本基金开放申购、赎回和转换业务的有关事项予以说明。投资人欲了解本基金相关业务规则的详细情况，请阅读刊登在中国证监会规定信息披露媒介上的《鹏华中短债3个月定期开放债券型证券投资基金招募说明书》及其更新。</w:t>
      </w:r>
    </w:p>
    <w:p w:rsidR="00643244" w:rsidRPr="003B3A22" w:rsidRDefault="00643244">
      <w:pPr>
        <w:widowControl w:val="0"/>
        <w:spacing w:line="360" w:lineRule="auto"/>
        <w:ind w:firstLine="420"/>
        <w:rPr>
          <w:sz w:val="21"/>
          <w:szCs w:val="21"/>
          <w:lang w:eastAsia="zh-CN"/>
        </w:rPr>
      </w:pPr>
    </w:p>
    <w:p w:rsidR="00643244" w:rsidRPr="003B3A22" w:rsidRDefault="001E4554">
      <w:pPr>
        <w:widowControl w:val="0"/>
        <w:spacing w:line="360" w:lineRule="auto"/>
        <w:ind w:firstLine="420"/>
        <w:jc w:val="both"/>
        <w:rPr>
          <w:rFonts w:ascii="宋体" w:eastAsia="宋体" w:hAnsi="宋体"/>
          <w:sz w:val="21"/>
          <w:szCs w:val="21"/>
          <w:lang w:eastAsia="zh-CN"/>
        </w:rPr>
      </w:pPr>
      <w:r w:rsidRPr="003B3A22">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643244" w:rsidRPr="003B3A22" w:rsidRDefault="00643244">
      <w:pPr>
        <w:widowControl w:val="0"/>
        <w:spacing w:line="360" w:lineRule="auto"/>
        <w:rPr>
          <w:rFonts w:ascii="宋体" w:eastAsia="宋体" w:hAnsi="宋体"/>
          <w:sz w:val="21"/>
          <w:szCs w:val="21"/>
          <w:lang w:eastAsia="zh-CN"/>
        </w:rPr>
      </w:pPr>
    </w:p>
    <w:p w:rsidR="00643244" w:rsidRPr="003B3A22" w:rsidRDefault="001E4554">
      <w:pPr>
        <w:widowControl w:val="0"/>
        <w:spacing w:line="360" w:lineRule="auto"/>
        <w:ind w:firstLine="420"/>
        <w:jc w:val="right"/>
        <w:rPr>
          <w:rFonts w:ascii="宋体" w:eastAsia="宋体" w:hAnsi="宋体"/>
          <w:sz w:val="21"/>
          <w:szCs w:val="21"/>
          <w:lang w:eastAsia="zh-CN"/>
        </w:rPr>
      </w:pPr>
      <w:r w:rsidRPr="003B3A22">
        <w:rPr>
          <w:rFonts w:ascii="宋体" w:eastAsia="宋体" w:hAnsi="宋体" w:cs="宋体"/>
          <w:sz w:val="21"/>
          <w:szCs w:val="21"/>
          <w:lang w:eastAsia="zh-CN"/>
        </w:rPr>
        <w:t>鹏华基金管理有限公司</w:t>
      </w:r>
    </w:p>
    <w:p w:rsidR="00643244" w:rsidRPr="00937D79" w:rsidRDefault="001E4554">
      <w:pPr>
        <w:widowControl w:val="0"/>
        <w:spacing w:line="360" w:lineRule="auto"/>
        <w:ind w:firstLine="420"/>
        <w:jc w:val="right"/>
        <w:rPr>
          <w:rFonts w:ascii="宋体" w:eastAsia="宋体" w:hAnsi="宋体"/>
          <w:sz w:val="21"/>
          <w:szCs w:val="21"/>
        </w:rPr>
      </w:pPr>
      <w:r w:rsidRPr="003B3A22">
        <w:rPr>
          <w:rFonts w:ascii="宋体" w:eastAsia="宋体" w:hAnsi="宋体"/>
          <w:sz w:val="21"/>
          <w:szCs w:val="21"/>
          <w:lang w:eastAsia="zh-CN"/>
        </w:rPr>
        <w:t>2025</w:t>
      </w:r>
      <w:r w:rsidRPr="003B3A22">
        <w:rPr>
          <w:rFonts w:ascii="宋体" w:eastAsia="宋体" w:hAnsi="宋体" w:cs="宋体"/>
          <w:sz w:val="21"/>
          <w:szCs w:val="21"/>
          <w:lang w:eastAsia="zh-CN"/>
        </w:rPr>
        <w:t>年</w:t>
      </w:r>
      <w:r w:rsidRPr="003B3A22">
        <w:rPr>
          <w:rFonts w:ascii="宋体" w:eastAsia="宋体" w:hAnsi="宋体"/>
          <w:sz w:val="21"/>
          <w:szCs w:val="21"/>
          <w:lang w:eastAsia="zh-CN"/>
        </w:rPr>
        <w:t>11</w:t>
      </w:r>
      <w:r w:rsidRPr="003B3A22">
        <w:rPr>
          <w:rFonts w:ascii="宋体" w:eastAsia="宋体" w:hAnsi="宋体" w:cs="宋体"/>
          <w:sz w:val="21"/>
          <w:szCs w:val="21"/>
          <w:lang w:eastAsia="zh-CN"/>
        </w:rPr>
        <w:t>月</w:t>
      </w:r>
      <w:r w:rsidRPr="003B3A22">
        <w:rPr>
          <w:rFonts w:ascii="宋体" w:eastAsia="宋体" w:hAnsi="宋体"/>
          <w:sz w:val="21"/>
          <w:szCs w:val="21"/>
          <w:lang w:eastAsia="zh-CN"/>
        </w:rPr>
        <w:t>12</w:t>
      </w:r>
      <w:r w:rsidRPr="003B3A22">
        <w:rPr>
          <w:rFonts w:ascii="宋体" w:eastAsia="宋体" w:hAnsi="宋体" w:cs="宋体"/>
          <w:sz w:val="21"/>
          <w:szCs w:val="21"/>
          <w:lang w:eastAsia="zh-CN"/>
        </w:rPr>
        <w:t>日</w:t>
      </w:r>
    </w:p>
    <w:p w:rsidR="00A77B3E" w:rsidRDefault="00A77B3E"/>
    <w:sectPr w:rsidR="00A77B3E" w:rsidSect="00B03E5D">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574" w:rsidRDefault="00283574">
      <w:r>
        <w:separator/>
      </w:r>
    </w:p>
  </w:endnote>
  <w:endnote w:type="continuationSeparator" w:id="0">
    <w:p w:rsidR="00283574" w:rsidRDefault="0028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44" w:rsidRDefault="00B03E5D">
    <w:pPr>
      <w:jc w:val="center"/>
    </w:pPr>
    <w:r>
      <w:rPr>
        <w:rFonts w:ascii="宋体" w:eastAsia="宋体" w:hAnsi="宋体" w:cs="宋体"/>
        <w:sz w:val="18"/>
      </w:rPr>
      <w:fldChar w:fldCharType="begin"/>
    </w:r>
    <w:r w:rsidR="001E4554">
      <w:rPr>
        <w:rFonts w:ascii="宋体" w:eastAsia="宋体" w:hAnsi="宋体" w:cs="宋体"/>
        <w:sz w:val="18"/>
        <w:lang w:eastAsia="zh-CN"/>
      </w:rPr>
      <w:instrText xml:space="preserve"> PAGE </w:instrText>
    </w:r>
    <w:r>
      <w:rPr>
        <w:rFonts w:ascii="宋体" w:eastAsia="宋体" w:hAnsi="宋体" w:cs="宋体"/>
        <w:sz w:val="18"/>
      </w:rPr>
      <w:fldChar w:fldCharType="separate"/>
    </w:r>
    <w:r w:rsidR="0088180A">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574" w:rsidRDefault="00283574">
      <w:r>
        <w:separator/>
      </w:r>
    </w:p>
  </w:footnote>
  <w:footnote w:type="continuationSeparator" w:id="0">
    <w:p w:rsidR="00283574" w:rsidRDefault="002835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E4554"/>
    <w:rsid w:val="00283574"/>
    <w:rsid w:val="003B3A22"/>
    <w:rsid w:val="003E4597"/>
    <w:rsid w:val="005061A6"/>
    <w:rsid w:val="005D0E0B"/>
    <w:rsid w:val="00643244"/>
    <w:rsid w:val="00751661"/>
    <w:rsid w:val="007E3AB9"/>
    <w:rsid w:val="0088180A"/>
    <w:rsid w:val="00937D79"/>
    <w:rsid w:val="00A77B3E"/>
    <w:rsid w:val="00B03E5D"/>
    <w:rsid w:val="00CA2A55"/>
    <w:rsid w:val="00F21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E5D"/>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character" w:styleId="a3">
    <w:name w:val="annotation reference"/>
    <w:basedOn w:val="a0"/>
    <w:semiHidden/>
    <w:unhideWhenUsed/>
    <w:rsid w:val="003E4597"/>
    <w:rPr>
      <w:sz w:val="21"/>
      <w:szCs w:val="21"/>
    </w:rPr>
  </w:style>
  <w:style w:type="paragraph" w:styleId="a4">
    <w:name w:val="annotation text"/>
    <w:basedOn w:val="a"/>
    <w:link w:val="Char"/>
    <w:semiHidden/>
    <w:unhideWhenUsed/>
    <w:rsid w:val="003E4597"/>
  </w:style>
  <w:style w:type="character" w:customStyle="1" w:styleId="Char">
    <w:name w:val="批注文字 Char"/>
    <w:basedOn w:val="a0"/>
    <w:link w:val="a4"/>
    <w:semiHidden/>
    <w:rsid w:val="003E4597"/>
    <w:rPr>
      <w:sz w:val="24"/>
      <w:szCs w:val="24"/>
    </w:rPr>
  </w:style>
  <w:style w:type="paragraph" w:styleId="a5">
    <w:name w:val="annotation subject"/>
    <w:basedOn w:val="a4"/>
    <w:next w:val="a4"/>
    <w:link w:val="Char0"/>
    <w:semiHidden/>
    <w:unhideWhenUsed/>
    <w:rsid w:val="003E4597"/>
    <w:rPr>
      <w:b/>
      <w:bCs/>
    </w:rPr>
  </w:style>
  <w:style w:type="character" w:customStyle="1" w:styleId="Char0">
    <w:name w:val="批注主题 Char"/>
    <w:basedOn w:val="Char"/>
    <w:link w:val="a5"/>
    <w:semiHidden/>
    <w:rsid w:val="003E4597"/>
    <w:rPr>
      <w:b/>
      <w:bCs/>
      <w:sz w:val="24"/>
      <w:szCs w:val="24"/>
    </w:rPr>
  </w:style>
  <w:style w:type="paragraph" w:styleId="a6">
    <w:name w:val="Balloon Text"/>
    <w:basedOn w:val="a"/>
    <w:link w:val="Char1"/>
    <w:rsid w:val="003E4597"/>
    <w:rPr>
      <w:sz w:val="18"/>
      <w:szCs w:val="18"/>
    </w:rPr>
  </w:style>
  <w:style w:type="character" w:customStyle="1" w:styleId="Char1">
    <w:name w:val="批注框文本 Char"/>
    <w:basedOn w:val="a0"/>
    <w:link w:val="a6"/>
    <w:rsid w:val="003E4597"/>
    <w:rPr>
      <w:sz w:val="18"/>
      <w:szCs w:val="18"/>
    </w:rPr>
  </w:style>
  <w:style w:type="paragraph" w:styleId="a7">
    <w:name w:val="header"/>
    <w:basedOn w:val="a"/>
    <w:link w:val="Char2"/>
    <w:unhideWhenUsed/>
    <w:rsid w:val="005061A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5061A6"/>
    <w:rPr>
      <w:sz w:val="18"/>
      <w:szCs w:val="18"/>
    </w:rPr>
  </w:style>
  <w:style w:type="paragraph" w:styleId="a8">
    <w:name w:val="footer"/>
    <w:basedOn w:val="a"/>
    <w:link w:val="Char3"/>
    <w:unhideWhenUsed/>
    <w:rsid w:val="005061A6"/>
    <w:pPr>
      <w:tabs>
        <w:tab w:val="center" w:pos="4153"/>
        <w:tab w:val="right" w:pos="8306"/>
      </w:tabs>
      <w:snapToGrid w:val="0"/>
    </w:pPr>
    <w:rPr>
      <w:sz w:val="18"/>
      <w:szCs w:val="18"/>
    </w:rPr>
  </w:style>
  <w:style w:type="character" w:customStyle="1" w:styleId="Char3">
    <w:name w:val="页脚 Char"/>
    <w:basedOn w:val="a0"/>
    <w:link w:val="a8"/>
    <w:rsid w:val="005061A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1897</Words>
  <Characters>10819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2025-11-11T02:25:00Z</cp:lastPrinted>
  <dcterms:created xsi:type="dcterms:W3CDTF">2025-11-11T16:03:00Z</dcterms:created>
  <dcterms:modified xsi:type="dcterms:W3CDTF">2025-11-11T16:03:00Z</dcterms:modified>
</cp:coreProperties>
</file>