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02" w:rsidRDefault="0094125E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color w:val="000000"/>
          <w:sz w:val="24"/>
        </w:rPr>
        <w:t>华夏</w:t>
      </w:r>
      <w:r>
        <w:rPr>
          <w:b/>
          <w:bCs/>
          <w:color w:val="000000"/>
          <w:sz w:val="24"/>
        </w:rPr>
        <w:t>基金管理有限公司关于旗下基金</w:t>
      </w:r>
      <w:r>
        <w:rPr>
          <w:rFonts w:hint="eastAsia"/>
          <w:b/>
          <w:bCs/>
          <w:color w:val="000000"/>
          <w:sz w:val="24"/>
        </w:rPr>
        <w:t>投资</w:t>
      </w:r>
      <w:r>
        <w:rPr>
          <w:rFonts w:hAnsi="宋体" w:hint="eastAsia"/>
          <w:b/>
          <w:bCs/>
          <w:sz w:val="24"/>
        </w:rPr>
        <w:t>关联方承销证券</w:t>
      </w:r>
      <w:r>
        <w:rPr>
          <w:b/>
          <w:bCs/>
          <w:color w:val="000000"/>
          <w:sz w:val="24"/>
        </w:rPr>
        <w:t>的公告</w:t>
      </w:r>
    </w:p>
    <w:p w:rsidR="00D407B9" w:rsidRDefault="00D407B9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</w:p>
    <w:p w:rsidR="00740651" w:rsidRPr="009F0F5D" w:rsidRDefault="00D407B9" w:rsidP="009F0F5D">
      <w:pPr>
        <w:tabs>
          <w:tab w:val="left" w:pos="10440"/>
        </w:tabs>
        <w:spacing w:line="360" w:lineRule="auto"/>
        <w:ind w:firstLineChars="200" w:firstLine="480"/>
        <w:jc w:val="left"/>
        <w:rPr>
          <w:rFonts w:eastAsiaTheme="minorEastAsia" w:hAnsiTheme="minorEastAsia"/>
          <w:color w:val="000000" w:themeColor="text1"/>
          <w:sz w:val="24"/>
        </w:rPr>
      </w:pPr>
      <w:r w:rsidRPr="00D407B9">
        <w:rPr>
          <w:rFonts w:eastAsiaTheme="minorEastAsia" w:hAnsiTheme="minorEastAsia"/>
          <w:color w:val="000000" w:themeColor="text1"/>
          <w:sz w:val="24"/>
        </w:rPr>
        <w:t>根据《公开募集证券投资基金运作管理办法》《公开募集证券投资基金信息披露管理办法》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及相关法律法规、各基金</w:t>
      </w:r>
      <w:r w:rsidRPr="00D407B9">
        <w:rPr>
          <w:rFonts w:eastAsiaTheme="minorEastAsia" w:hAnsiTheme="minorEastAsia"/>
          <w:color w:val="000000" w:themeColor="text1"/>
          <w:sz w:val="24"/>
        </w:rPr>
        <w:t>基金合同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及招募说明书</w:t>
      </w:r>
      <w:r w:rsidRPr="00D407B9">
        <w:rPr>
          <w:rFonts w:eastAsiaTheme="minorEastAsia" w:hAnsiTheme="minorEastAsia"/>
          <w:color w:val="000000" w:themeColor="text1"/>
          <w:sz w:val="24"/>
        </w:rPr>
        <w:t>等规定，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在履行规定审批程序并经基金托管人同意后，</w:t>
      </w:r>
      <w:r w:rsidRPr="00D407B9">
        <w:rPr>
          <w:rFonts w:eastAsiaTheme="minorEastAsia" w:hAnsiTheme="minorEastAsia"/>
          <w:color w:val="000000" w:themeColor="text1"/>
          <w:sz w:val="24"/>
        </w:rPr>
        <w:t>华夏基金管理有限公司（以下简称“本公司”）旗下部分公募基金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参与了</w:t>
      </w:r>
      <w:r w:rsidR="004C5F3E">
        <w:rPr>
          <w:rFonts w:eastAsiaTheme="minorEastAsia" w:hAnsiTheme="minorEastAsia" w:hint="eastAsia"/>
          <w:color w:val="000000" w:themeColor="text1"/>
          <w:sz w:val="24"/>
        </w:rPr>
        <w:t>乐舒适</w:t>
      </w:r>
      <w:r w:rsidR="004C5F3E" w:rsidRPr="004C5F3E">
        <w:rPr>
          <w:rFonts w:eastAsiaTheme="minorEastAsia" w:hAnsiTheme="minorEastAsia" w:hint="eastAsia"/>
          <w:color w:val="000000" w:themeColor="text1"/>
          <w:sz w:val="24"/>
        </w:rPr>
        <w:t>有限公司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（以下简称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“</w:t>
      </w:r>
      <w:bookmarkStart w:id="1" w:name="OLE_LINK6"/>
      <w:r w:rsidR="004C5F3E">
        <w:rPr>
          <w:rFonts w:eastAsiaTheme="minorEastAsia" w:hAnsiTheme="minorEastAsia" w:hint="eastAsia"/>
          <w:color w:val="000000" w:themeColor="text1"/>
          <w:sz w:val="24"/>
        </w:rPr>
        <w:t>乐舒适</w:t>
      </w:r>
      <w:bookmarkEnd w:id="1"/>
      <w:r w:rsidR="00740651" w:rsidRPr="009F0F5D">
        <w:rPr>
          <w:rFonts w:eastAsiaTheme="minorEastAsia" w:hAnsiTheme="minorEastAsia"/>
          <w:color w:val="000000" w:themeColor="text1"/>
          <w:sz w:val="24"/>
        </w:rPr>
        <w:t>”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）的全球发售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。</w:t>
      </w:r>
      <w:r w:rsidR="004C5F3E">
        <w:rPr>
          <w:rFonts w:eastAsiaTheme="minorEastAsia" w:hAnsiTheme="minorEastAsia" w:hint="eastAsia"/>
          <w:color w:val="000000" w:themeColor="text1"/>
          <w:sz w:val="24"/>
        </w:rPr>
        <w:t>乐舒适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本次全球发售的</w:t>
      </w:r>
      <w:r w:rsidR="004C5F3E">
        <w:rPr>
          <w:rFonts w:eastAsiaTheme="minorEastAsia" w:hAnsiTheme="minorEastAsia" w:hint="eastAsia"/>
          <w:color w:val="000000" w:themeColor="text1"/>
          <w:sz w:val="24"/>
        </w:rPr>
        <w:t>联席</w:t>
      </w:r>
      <w:r w:rsidR="000D45A0">
        <w:rPr>
          <w:rFonts w:eastAsiaTheme="minorEastAsia" w:hAnsiTheme="minorEastAsia" w:hint="eastAsia"/>
          <w:color w:val="000000" w:themeColor="text1"/>
          <w:sz w:val="24"/>
        </w:rPr>
        <w:t>保荐人</w:t>
      </w:r>
      <w:bookmarkStart w:id="2" w:name="OLE_LINK3"/>
      <w:r w:rsidR="000D45A0" w:rsidRPr="000D45A0">
        <w:rPr>
          <w:rFonts w:eastAsiaTheme="minorEastAsia" w:hAnsiTheme="minorEastAsia" w:hint="eastAsia"/>
          <w:color w:val="000000" w:themeColor="text1"/>
          <w:sz w:val="24"/>
        </w:rPr>
        <w:t>中信</w:t>
      </w:r>
      <w:r w:rsidR="000D45A0">
        <w:rPr>
          <w:rFonts w:eastAsiaTheme="minorEastAsia" w:hAnsiTheme="minorEastAsia" w:hint="eastAsia"/>
          <w:color w:val="000000" w:themeColor="text1"/>
          <w:sz w:val="24"/>
        </w:rPr>
        <w:t>证券</w:t>
      </w:r>
      <w:r w:rsidR="000D45A0" w:rsidRPr="000D45A0">
        <w:rPr>
          <w:rFonts w:eastAsiaTheme="minorEastAsia" w:hAnsiTheme="minorEastAsia" w:hint="eastAsia"/>
          <w:color w:val="000000" w:themeColor="text1"/>
          <w:sz w:val="24"/>
        </w:rPr>
        <w:t>（香港）有限公司</w:t>
      </w:r>
      <w:bookmarkEnd w:id="2"/>
      <w:r w:rsidR="000D45A0">
        <w:rPr>
          <w:rFonts w:eastAsiaTheme="minorEastAsia" w:hAnsiTheme="minorEastAsia" w:hint="eastAsia"/>
          <w:color w:val="000000" w:themeColor="text1"/>
          <w:sz w:val="24"/>
        </w:rPr>
        <w:t>，以及本次全球发售的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保荐人兼整体协调人、联席全球协调人、联席账簿管理人</w:t>
      </w:r>
      <w:r w:rsidR="004C5F3E">
        <w:rPr>
          <w:rFonts w:eastAsiaTheme="minorEastAsia" w:hAnsiTheme="minorEastAsia" w:hint="eastAsia"/>
          <w:color w:val="000000" w:themeColor="text1"/>
          <w:sz w:val="24"/>
        </w:rPr>
        <w:t>及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联席牵头经办人</w:t>
      </w:r>
      <w:r w:rsidR="000D45A0" w:rsidRPr="009F0F5D">
        <w:rPr>
          <w:rFonts w:eastAsiaTheme="minorEastAsia" w:hAnsiTheme="minorEastAsia" w:hint="eastAsia"/>
          <w:color w:val="000000" w:themeColor="text1"/>
          <w:sz w:val="24"/>
        </w:rPr>
        <w:t>中信里昂证券有限公司</w:t>
      </w:r>
      <w:r w:rsidR="000D45A0">
        <w:rPr>
          <w:rFonts w:eastAsiaTheme="minorEastAsia" w:hAnsiTheme="minorEastAsia" w:hint="eastAsia"/>
          <w:color w:val="000000" w:themeColor="text1"/>
          <w:sz w:val="24"/>
        </w:rPr>
        <w:t>为</w:t>
      </w:r>
      <w:r w:rsidR="000D45A0" w:rsidRPr="009F0F5D">
        <w:rPr>
          <w:rFonts w:eastAsiaTheme="minorEastAsia" w:hAnsiTheme="minorEastAsia" w:hint="eastAsia"/>
          <w:color w:val="000000" w:themeColor="text1"/>
          <w:sz w:val="24"/>
        </w:rPr>
        <w:t>本公司控股股东中信证券股份有限公司的</w:t>
      </w:r>
      <w:r w:rsidR="006864BF">
        <w:rPr>
          <w:rFonts w:eastAsiaTheme="minorEastAsia" w:hAnsiTheme="minorEastAsia" w:hint="eastAsia"/>
          <w:color w:val="000000" w:themeColor="text1"/>
          <w:sz w:val="24"/>
        </w:rPr>
        <w:t>子公司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。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本次全球发售的</w:t>
      </w:r>
      <w:r w:rsidR="00F82691" w:rsidRPr="009F0F5D">
        <w:rPr>
          <w:rFonts w:eastAsiaTheme="minorEastAsia" w:hAnsiTheme="minorEastAsia"/>
          <w:color w:val="000000" w:themeColor="text1"/>
          <w:sz w:val="24"/>
        </w:rPr>
        <w:t>每股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发售价为</w:t>
      </w:r>
      <w:r w:rsidR="004C5F3E">
        <w:rPr>
          <w:rFonts w:eastAsiaTheme="minorEastAsia" w:hAnsiTheme="minorEastAsia" w:hint="eastAsia"/>
          <w:color w:val="000000" w:themeColor="text1"/>
          <w:sz w:val="24"/>
        </w:rPr>
        <w:t>2</w:t>
      </w:r>
      <w:r w:rsidR="004C5F3E" w:rsidRPr="004C5F3E">
        <w:rPr>
          <w:rFonts w:eastAsiaTheme="minorEastAsia" w:hAnsiTheme="minorEastAsia" w:hint="eastAsia"/>
          <w:color w:val="000000" w:themeColor="text1"/>
          <w:sz w:val="24"/>
        </w:rPr>
        <w:t>6.20</w:t>
      </w:r>
      <w:r w:rsidR="004C5F3E" w:rsidRPr="004C5F3E">
        <w:rPr>
          <w:rFonts w:eastAsiaTheme="minorEastAsia" w:hAnsiTheme="minorEastAsia" w:hint="eastAsia"/>
          <w:color w:val="000000" w:themeColor="text1"/>
          <w:sz w:val="24"/>
        </w:rPr>
        <w:t>港</w:t>
      </w:r>
      <w:r w:rsidR="00F82691" w:rsidRPr="009F0F5D">
        <w:rPr>
          <w:rFonts w:eastAsiaTheme="minorEastAsia" w:hAnsiTheme="minorEastAsia"/>
          <w:color w:val="000000" w:themeColor="text1"/>
          <w:sz w:val="24"/>
        </w:rPr>
        <w:t>元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，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由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整体协调人</w:t>
      </w:r>
      <w:r w:rsidR="0013174D">
        <w:rPr>
          <w:rFonts w:eastAsiaTheme="minorEastAsia" w:hAnsiTheme="minorEastAsia" w:hint="eastAsia"/>
          <w:color w:val="000000" w:themeColor="text1"/>
          <w:sz w:val="24"/>
        </w:rPr>
        <w:t>（代表</w:t>
      </w:r>
      <w:r w:rsidR="004C5F3E">
        <w:rPr>
          <w:rFonts w:eastAsiaTheme="minorEastAsia" w:hAnsiTheme="minorEastAsia" w:hint="eastAsia"/>
          <w:color w:val="000000" w:themeColor="text1"/>
          <w:sz w:val="24"/>
        </w:rPr>
        <w:t>包</w:t>
      </w:r>
      <w:r w:rsidR="0013174D">
        <w:rPr>
          <w:rFonts w:eastAsiaTheme="minorEastAsia" w:hAnsiTheme="minorEastAsia" w:hint="eastAsia"/>
          <w:color w:val="000000" w:themeColor="text1"/>
          <w:sz w:val="24"/>
        </w:rPr>
        <w:t>销商）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与</w:t>
      </w:r>
      <w:r w:rsidR="004C5F3E">
        <w:rPr>
          <w:rFonts w:eastAsiaTheme="minorEastAsia" w:hAnsiTheme="minorEastAsia" w:hint="eastAsia"/>
          <w:color w:val="000000" w:themeColor="text1"/>
          <w:sz w:val="24"/>
        </w:rPr>
        <w:t>乐舒适</w:t>
      </w:r>
      <w:r w:rsidR="0013174D">
        <w:rPr>
          <w:rFonts w:eastAsiaTheme="minorEastAsia" w:hAnsiTheme="minorEastAsia" w:hint="eastAsia"/>
          <w:color w:val="000000" w:themeColor="text1"/>
          <w:sz w:val="24"/>
        </w:rPr>
        <w:t>于定价日以协议方式厘定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。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现将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本公司旗下公募基金参与</w:t>
      </w:r>
      <w:r w:rsidR="00E97FE0">
        <w:rPr>
          <w:rFonts w:eastAsiaTheme="minorEastAsia" w:hAnsiTheme="minorEastAsia" w:hint="eastAsia"/>
          <w:color w:val="000000" w:themeColor="text1"/>
          <w:sz w:val="24"/>
        </w:rPr>
        <w:t>乐舒适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本次全球发售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的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相关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信息公告如下：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1398"/>
        <w:gridCol w:w="1590"/>
        <w:gridCol w:w="1740"/>
      </w:tblGrid>
      <w:tr w:rsidR="0013174D" w:rsidRPr="00A62B32" w:rsidTr="0013174D">
        <w:trPr>
          <w:jc w:val="center"/>
        </w:trPr>
        <w:tc>
          <w:tcPr>
            <w:tcW w:w="2226" w:type="pct"/>
            <w:vAlign w:val="center"/>
          </w:tcPr>
          <w:p w:rsidR="0013174D" w:rsidRPr="00A62B32" w:rsidRDefault="0013174D" w:rsidP="00325600">
            <w:pPr>
              <w:tabs>
                <w:tab w:val="left" w:pos="10440"/>
              </w:tabs>
              <w:jc w:val="center"/>
              <w:rPr>
                <w:color w:val="000000"/>
                <w:szCs w:val="21"/>
              </w:rPr>
            </w:pPr>
            <w:r w:rsidRPr="00A62B32">
              <w:rPr>
                <w:rFonts w:hAnsi="宋体"/>
                <w:color w:val="000000"/>
                <w:szCs w:val="21"/>
              </w:rPr>
              <w:t>基金名称</w:t>
            </w:r>
          </w:p>
        </w:tc>
        <w:tc>
          <w:tcPr>
            <w:tcW w:w="820" w:type="pct"/>
            <w:vAlign w:val="center"/>
          </w:tcPr>
          <w:p w:rsidR="0013174D" w:rsidRPr="00A62B32" w:rsidRDefault="0013174D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 w:hint="eastAsia"/>
                <w:color w:val="000000"/>
                <w:szCs w:val="21"/>
              </w:rPr>
              <w:t>获配证券</w:t>
            </w:r>
          </w:p>
          <w:p w:rsidR="0013174D" w:rsidRPr="00A62B32" w:rsidRDefault="0013174D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 w:hint="eastAsia"/>
                <w:color w:val="000000"/>
                <w:szCs w:val="21"/>
              </w:rPr>
              <w:t>名称</w:t>
            </w:r>
          </w:p>
        </w:tc>
        <w:tc>
          <w:tcPr>
            <w:tcW w:w="933" w:type="pct"/>
            <w:vAlign w:val="center"/>
          </w:tcPr>
          <w:p w:rsidR="0013174D" w:rsidRPr="00A62B32" w:rsidRDefault="0013174D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 w:hint="eastAsia"/>
                <w:color w:val="000000"/>
                <w:szCs w:val="21"/>
              </w:rPr>
              <w:t>获配</w:t>
            </w:r>
            <w:r w:rsidRPr="00A62B32">
              <w:rPr>
                <w:rFonts w:hAnsi="宋体"/>
                <w:color w:val="000000"/>
                <w:szCs w:val="21"/>
              </w:rPr>
              <w:t>数量</w:t>
            </w:r>
          </w:p>
          <w:p w:rsidR="0013174D" w:rsidRPr="00A62B32" w:rsidRDefault="0013174D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 w:hint="eastAsia"/>
                <w:color w:val="000000"/>
                <w:szCs w:val="21"/>
              </w:rPr>
              <w:t>（股</w:t>
            </w:r>
            <w:r w:rsidRPr="00A62B32">
              <w:rPr>
                <w:rFonts w:hAnsi="宋体"/>
                <w:color w:val="000000"/>
                <w:szCs w:val="21"/>
              </w:rPr>
              <w:t>）</w:t>
            </w:r>
          </w:p>
        </w:tc>
        <w:tc>
          <w:tcPr>
            <w:tcW w:w="1021" w:type="pct"/>
            <w:vAlign w:val="center"/>
          </w:tcPr>
          <w:p w:rsidR="0013174D" w:rsidRPr="00A62B32" w:rsidRDefault="0013174D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 w:hint="eastAsia"/>
                <w:color w:val="000000"/>
                <w:szCs w:val="21"/>
              </w:rPr>
              <w:t>获配</w:t>
            </w:r>
            <w:r w:rsidRPr="00A62B32">
              <w:rPr>
                <w:rFonts w:hAnsi="宋体"/>
                <w:color w:val="000000"/>
                <w:szCs w:val="21"/>
              </w:rPr>
              <w:t>金额</w:t>
            </w:r>
          </w:p>
          <w:p w:rsidR="0013174D" w:rsidRPr="00A62B32" w:rsidRDefault="0013174D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/>
                <w:color w:val="000000"/>
                <w:szCs w:val="21"/>
              </w:rPr>
              <w:t>（</w:t>
            </w:r>
            <w:r w:rsidRPr="00A62B32">
              <w:rPr>
                <w:rFonts w:hAnsi="宋体" w:hint="eastAsia"/>
                <w:color w:val="000000"/>
                <w:szCs w:val="21"/>
              </w:rPr>
              <w:t>港元</w:t>
            </w:r>
            <w:r w:rsidRPr="00A62B32">
              <w:rPr>
                <w:rFonts w:hAnsi="宋体"/>
                <w:color w:val="000000"/>
                <w:szCs w:val="21"/>
              </w:rPr>
              <w:t>）</w:t>
            </w:r>
          </w:p>
        </w:tc>
      </w:tr>
      <w:tr w:rsidR="004C5F3E" w:rsidRPr="00A62B32" w:rsidTr="0013174D">
        <w:trPr>
          <w:jc w:val="center"/>
        </w:trPr>
        <w:tc>
          <w:tcPr>
            <w:tcW w:w="2226" w:type="pct"/>
            <w:vAlign w:val="center"/>
          </w:tcPr>
          <w:p w:rsidR="004C5F3E" w:rsidRPr="00A62B32" w:rsidRDefault="004C5F3E" w:rsidP="004C5F3E">
            <w:pPr>
              <w:autoSpaceDE w:val="0"/>
              <w:autoSpaceDN w:val="0"/>
              <w:adjustRightInd w:val="0"/>
              <w:spacing w:before="29"/>
              <w:ind w:left="15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华夏全球精选股票型证券投资基金</w:t>
            </w:r>
          </w:p>
        </w:tc>
        <w:tc>
          <w:tcPr>
            <w:tcW w:w="820" w:type="pct"/>
            <w:vAlign w:val="center"/>
          </w:tcPr>
          <w:p w:rsidR="004C5F3E" w:rsidRPr="00A62B32" w:rsidRDefault="004C5F3E" w:rsidP="004C5F3E">
            <w:pPr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eastAsiaTheme="minorEastAsia"/>
                <w:color w:val="000000"/>
                <w:szCs w:val="21"/>
              </w:rPr>
            </w:pPr>
            <w:r w:rsidRPr="004C5F3E">
              <w:rPr>
                <w:rFonts w:eastAsiaTheme="minorEastAsia" w:hint="eastAsia"/>
                <w:color w:val="000000"/>
                <w:szCs w:val="21"/>
              </w:rPr>
              <w:t>乐舒适</w:t>
            </w:r>
          </w:p>
        </w:tc>
        <w:tc>
          <w:tcPr>
            <w:tcW w:w="933" w:type="pct"/>
          </w:tcPr>
          <w:p w:rsidR="004C5F3E" w:rsidRPr="00A62B32" w:rsidRDefault="004C5F3E" w:rsidP="004C5F3E">
            <w:pPr>
              <w:jc w:val="right"/>
              <w:rPr>
                <w:color w:val="000000"/>
                <w:szCs w:val="21"/>
              </w:rPr>
            </w:pPr>
            <w:r w:rsidRPr="001A7773">
              <w:t>211,600</w:t>
            </w:r>
          </w:p>
        </w:tc>
        <w:tc>
          <w:tcPr>
            <w:tcW w:w="1021" w:type="pct"/>
          </w:tcPr>
          <w:p w:rsidR="004C5F3E" w:rsidRPr="00A62B32" w:rsidRDefault="004C5F3E" w:rsidP="004C5F3E">
            <w:pPr>
              <w:jc w:val="right"/>
              <w:rPr>
                <w:color w:val="000000"/>
                <w:szCs w:val="21"/>
              </w:rPr>
            </w:pPr>
            <w:r w:rsidRPr="001A7773">
              <w:t>5,543,920.00</w:t>
            </w:r>
          </w:p>
        </w:tc>
      </w:tr>
    </w:tbl>
    <w:p w:rsidR="001C0A02" w:rsidRDefault="0094125E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特此公告</w:t>
      </w:r>
    </w:p>
    <w:p w:rsidR="001C0A02" w:rsidRDefault="001C0A0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1C0A02" w:rsidRDefault="001C0A0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1C0A02" w:rsidRDefault="0094125E">
      <w:pPr>
        <w:pStyle w:val="a5"/>
        <w:wordWrap w:val="0"/>
        <w:spacing w:line="360" w:lineRule="auto"/>
        <w:ind w:leftChars="0" w:left="0"/>
        <w:jc w:val="right"/>
        <w:rPr>
          <w:rStyle w:val="ab"/>
          <w:rFonts w:ascii="Times New Roman" w:hAnsi="Times New Roman"/>
          <w:bCs/>
        </w:rPr>
      </w:pPr>
      <w:r>
        <w:rPr>
          <w:rStyle w:val="ab"/>
          <w:rFonts w:ascii="Times New Roman" w:hAnsi="Times New Roman"/>
          <w:bCs/>
        </w:rPr>
        <w:t>华夏基金管理有限公司</w:t>
      </w:r>
    </w:p>
    <w:p w:rsidR="001C0A02" w:rsidRDefault="0094125E">
      <w:pPr>
        <w:spacing w:line="540" w:lineRule="exact"/>
        <w:ind w:firstLineChars="200" w:firstLine="480"/>
        <w:jc w:val="right"/>
        <w:rPr>
          <w:color w:val="000000"/>
          <w:sz w:val="24"/>
        </w:rPr>
      </w:pPr>
      <w:r>
        <w:rPr>
          <w:color w:val="000000"/>
          <w:sz w:val="24"/>
        </w:rPr>
        <w:t>二〇二五年</w:t>
      </w:r>
      <w:r w:rsidR="004C5F3E">
        <w:rPr>
          <w:rFonts w:hint="eastAsia"/>
          <w:color w:val="000000"/>
          <w:sz w:val="24"/>
        </w:rPr>
        <w:t>十一</w:t>
      </w:r>
      <w:r>
        <w:rPr>
          <w:color w:val="000000"/>
          <w:sz w:val="24"/>
        </w:rPr>
        <w:t>月</w:t>
      </w:r>
      <w:r w:rsidR="009F72E6">
        <w:rPr>
          <w:rFonts w:hint="eastAsia"/>
          <w:color w:val="000000"/>
          <w:sz w:val="24"/>
        </w:rPr>
        <w:t>十一</w:t>
      </w:r>
      <w:r>
        <w:rPr>
          <w:color w:val="000000"/>
          <w:sz w:val="24"/>
        </w:rPr>
        <w:t>日</w:t>
      </w:r>
    </w:p>
    <w:sectPr w:rsidR="001C0A02" w:rsidSect="00F2233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F8F" w:rsidRDefault="00E31F8F">
      <w:r>
        <w:separator/>
      </w:r>
    </w:p>
  </w:endnote>
  <w:endnote w:type="continuationSeparator" w:id="0">
    <w:p w:rsidR="00E31F8F" w:rsidRDefault="00E31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F223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4125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0A02" w:rsidRDefault="001C0A0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F22333">
    <w:pPr>
      <w:pStyle w:val="a7"/>
      <w:jc w:val="center"/>
    </w:pPr>
    <w:r w:rsidRPr="00F22333">
      <w:fldChar w:fldCharType="begin"/>
    </w:r>
    <w:r w:rsidR="0094125E">
      <w:instrText xml:space="preserve"> PAGE   \* MERGEFORMAT </w:instrText>
    </w:r>
    <w:r w:rsidRPr="00F22333">
      <w:fldChar w:fldCharType="separate"/>
    </w:r>
    <w:r w:rsidR="00C35ABA" w:rsidRPr="00C35ABA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F8F" w:rsidRDefault="00E31F8F">
      <w:r>
        <w:separator/>
      </w:r>
    </w:p>
  </w:footnote>
  <w:footnote w:type="continuationSeparator" w:id="0">
    <w:p w:rsidR="00E31F8F" w:rsidRDefault="00E31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1A4"/>
    <w:rsid w:val="00002706"/>
    <w:rsid w:val="00004238"/>
    <w:rsid w:val="00006D0F"/>
    <w:rsid w:val="00013749"/>
    <w:rsid w:val="0001628D"/>
    <w:rsid w:val="000201D1"/>
    <w:rsid w:val="000206EF"/>
    <w:rsid w:val="0002199B"/>
    <w:rsid w:val="000220B8"/>
    <w:rsid w:val="00025E53"/>
    <w:rsid w:val="000267B3"/>
    <w:rsid w:val="00031833"/>
    <w:rsid w:val="00033ADD"/>
    <w:rsid w:val="00035369"/>
    <w:rsid w:val="000367FC"/>
    <w:rsid w:val="000376C5"/>
    <w:rsid w:val="00040722"/>
    <w:rsid w:val="00040D7F"/>
    <w:rsid w:val="00044E88"/>
    <w:rsid w:val="00047F69"/>
    <w:rsid w:val="0005269D"/>
    <w:rsid w:val="00054D55"/>
    <w:rsid w:val="0005750C"/>
    <w:rsid w:val="00057B85"/>
    <w:rsid w:val="0006088A"/>
    <w:rsid w:val="000617AD"/>
    <w:rsid w:val="00064DBA"/>
    <w:rsid w:val="00067841"/>
    <w:rsid w:val="000709CA"/>
    <w:rsid w:val="000713A5"/>
    <w:rsid w:val="00071A19"/>
    <w:rsid w:val="00074502"/>
    <w:rsid w:val="00074A02"/>
    <w:rsid w:val="00075225"/>
    <w:rsid w:val="000776E5"/>
    <w:rsid w:val="0007792B"/>
    <w:rsid w:val="00082E16"/>
    <w:rsid w:val="00084083"/>
    <w:rsid w:val="00085226"/>
    <w:rsid w:val="00086108"/>
    <w:rsid w:val="00092164"/>
    <w:rsid w:val="0009262A"/>
    <w:rsid w:val="00093145"/>
    <w:rsid w:val="000933A1"/>
    <w:rsid w:val="000954D7"/>
    <w:rsid w:val="000A6DAC"/>
    <w:rsid w:val="000C06C9"/>
    <w:rsid w:val="000C4534"/>
    <w:rsid w:val="000C5FEC"/>
    <w:rsid w:val="000C691A"/>
    <w:rsid w:val="000D2119"/>
    <w:rsid w:val="000D277D"/>
    <w:rsid w:val="000D32CE"/>
    <w:rsid w:val="000D34E3"/>
    <w:rsid w:val="000D45A0"/>
    <w:rsid w:val="000D5071"/>
    <w:rsid w:val="000E5968"/>
    <w:rsid w:val="000E68E9"/>
    <w:rsid w:val="000F3D56"/>
    <w:rsid w:val="000F4BB1"/>
    <w:rsid w:val="000F5486"/>
    <w:rsid w:val="000F69B2"/>
    <w:rsid w:val="0010282D"/>
    <w:rsid w:val="001102F1"/>
    <w:rsid w:val="001104A1"/>
    <w:rsid w:val="00110A7D"/>
    <w:rsid w:val="00111FA6"/>
    <w:rsid w:val="001134F8"/>
    <w:rsid w:val="00113981"/>
    <w:rsid w:val="00114AA1"/>
    <w:rsid w:val="00114EFE"/>
    <w:rsid w:val="00115D76"/>
    <w:rsid w:val="00117041"/>
    <w:rsid w:val="001175B1"/>
    <w:rsid w:val="0012411C"/>
    <w:rsid w:val="001260E1"/>
    <w:rsid w:val="0013174D"/>
    <w:rsid w:val="001364E6"/>
    <w:rsid w:val="00140129"/>
    <w:rsid w:val="0014097F"/>
    <w:rsid w:val="00140F4F"/>
    <w:rsid w:val="00143FE8"/>
    <w:rsid w:val="00145871"/>
    <w:rsid w:val="00147787"/>
    <w:rsid w:val="001506DC"/>
    <w:rsid w:val="001508ED"/>
    <w:rsid w:val="0015246E"/>
    <w:rsid w:val="00154F00"/>
    <w:rsid w:val="00156566"/>
    <w:rsid w:val="00161B74"/>
    <w:rsid w:val="001646E0"/>
    <w:rsid w:val="00164BD3"/>
    <w:rsid w:val="001669D1"/>
    <w:rsid w:val="00172204"/>
    <w:rsid w:val="00174B79"/>
    <w:rsid w:val="001841F6"/>
    <w:rsid w:val="00185D40"/>
    <w:rsid w:val="001863D0"/>
    <w:rsid w:val="00191B6E"/>
    <w:rsid w:val="00194CED"/>
    <w:rsid w:val="00195885"/>
    <w:rsid w:val="00197BD8"/>
    <w:rsid w:val="00197CD9"/>
    <w:rsid w:val="001A0F4A"/>
    <w:rsid w:val="001A2404"/>
    <w:rsid w:val="001A33A1"/>
    <w:rsid w:val="001B29F8"/>
    <w:rsid w:val="001B33EC"/>
    <w:rsid w:val="001B37A5"/>
    <w:rsid w:val="001B559F"/>
    <w:rsid w:val="001C0A02"/>
    <w:rsid w:val="001C0BA4"/>
    <w:rsid w:val="001C6599"/>
    <w:rsid w:val="001C6889"/>
    <w:rsid w:val="001D149A"/>
    <w:rsid w:val="001D2E06"/>
    <w:rsid w:val="001D4CDE"/>
    <w:rsid w:val="001D5B75"/>
    <w:rsid w:val="001E35F9"/>
    <w:rsid w:val="001F0B96"/>
    <w:rsid w:val="001F7306"/>
    <w:rsid w:val="002001F0"/>
    <w:rsid w:val="00200615"/>
    <w:rsid w:val="00201B09"/>
    <w:rsid w:val="00203F2A"/>
    <w:rsid w:val="00207552"/>
    <w:rsid w:val="00215194"/>
    <w:rsid w:val="00216F3D"/>
    <w:rsid w:val="002171F8"/>
    <w:rsid w:val="00217452"/>
    <w:rsid w:val="0022391E"/>
    <w:rsid w:val="00223F21"/>
    <w:rsid w:val="00224F6A"/>
    <w:rsid w:val="002268B6"/>
    <w:rsid w:val="00226B6F"/>
    <w:rsid w:val="00226D5F"/>
    <w:rsid w:val="00226E0E"/>
    <w:rsid w:val="00227A73"/>
    <w:rsid w:val="00234948"/>
    <w:rsid w:val="00234EA8"/>
    <w:rsid w:val="00235108"/>
    <w:rsid w:val="00236BBD"/>
    <w:rsid w:val="002405E9"/>
    <w:rsid w:val="00244DA0"/>
    <w:rsid w:val="0024537A"/>
    <w:rsid w:val="002460C4"/>
    <w:rsid w:val="00247703"/>
    <w:rsid w:val="00251D83"/>
    <w:rsid w:val="00253517"/>
    <w:rsid w:val="0025396E"/>
    <w:rsid w:val="002625E8"/>
    <w:rsid w:val="0026682F"/>
    <w:rsid w:val="00266B90"/>
    <w:rsid w:val="00267914"/>
    <w:rsid w:val="002718CD"/>
    <w:rsid w:val="00272E01"/>
    <w:rsid w:val="00273BE7"/>
    <w:rsid w:val="00276A04"/>
    <w:rsid w:val="00276C5F"/>
    <w:rsid w:val="00277CD2"/>
    <w:rsid w:val="0028743D"/>
    <w:rsid w:val="002874BE"/>
    <w:rsid w:val="00290A8B"/>
    <w:rsid w:val="002924BC"/>
    <w:rsid w:val="002928F5"/>
    <w:rsid w:val="00293C68"/>
    <w:rsid w:val="002A0D7B"/>
    <w:rsid w:val="002A144A"/>
    <w:rsid w:val="002A2618"/>
    <w:rsid w:val="002A263F"/>
    <w:rsid w:val="002A3B6A"/>
    <w:rsid w:val="002A448C"/>
    <w:rsid w:val="002A73B1"/>
    <w:rsid w:val="002C2308"/>
    <w:rsid w:val="002C27F2"/>
    <w:rsid w:val="002C27FF"/>
    <w:rsid w:val="002C3792"/>
    <w:rsid w:val="002C4521"/>
    <w:rsid w:val="002C583C"/>
    <w:rsid w:val="002C5A21"/>
    <w:rsid w:val="002C6831"/>
    <w:rsid w:val="002D0270"/>
    <w:rsid w:val="002D0584"/>
    <w:rsid w:val="002D116C"/>
    <w:rsid w:val="002D26F8"/>
    <w:rsid w:val="002D7033"/>
    <w:rsid w:val="002E0184"/>
    <w:rsid w:val="002E130C"/>
    <w:rsid w:val="002E232A"/>
    <w:rsid w:val="002E3EF0"/>
    <w:rsid w:val="002E67F8"/>
    <w:rsid w:val="002F13F3"/>
    <w:rsid w:val="002F2994"/>
    <w:rsid w:val="002F4329"/>
    <w:rsid w:val="002F662D"/>
    <w:rsid w:val="002F7333"/>
    <w:rsid w:val="003019F7"/>
    <w:rsid w:val="00303075"/>
    <w:rsid w:val="00304363"/>
    <w:rsid w:val="00307573"/>
    <w:rsid w:val="00307D7A"/>
    <w:rsid w:val="00311094"/>
    <w:rsid w:val="00313B88"/>
    <w:rsid w:val="00314115"/>
    <w:rsid w:val="003152F0"/>
    <w:rsid w:val="00317E75"/>
    <w:rsid w:val="00327944"/>
    <w:rsid w:val="003329E5"/>
    <w:rsid w:val="0034347E"/>
    <w:rsid w:val="003436F0"/>
    <w:rsid w:val="00346166"/>
    <w:rsid w:val="00351CCB"/>
    <w:rsid w:val="00352654"/>
    <w:rsid w:val="00352B5D"/>
    <w:rsid w:val="0035417D"/>
    <w:rsid w:val="00355496"/>
    <w:rsid w:val="00357347"/>
    <w:rsid w:val="003606B0"/>
    <w:rsid w:val="003607BD"/>
    <w:rsid w:val="00360CE1"/>
    <w:rsid w:val="00362652"/>
    <w:rsid w:val="00362858"/>
    <w:rsid w:val="00364F3E"/>
    <w:rsid w:val="003670E6"/>
    <w:rsid w:val="003701AD"/>
    <w:rsid w:val="003703F2"/>
    <w:rsid w:val="00371013"/>
    <w:rsid w:val="0037460D"/>
    <w:rsid w:val="003765C0"/>
    <w:rsid w:val="003778F6"/>
    <w:rsid w:val="00381B26"/>
    <w:rsid w:val="00381B67"/>
    <w:rsid w:val="0039160D"/>
    <w:rsid w:val="003956B0"/>
    <w:rsid w:val="003A0AC8"/>
    <w:rsid w:val="003A1CA7"/>
    <w:rsid w:val="003A44B8"/>
    <w:rsid w:val="003A5DC1"/>
    <w:rsid w:val="003A7326"/>
    <w:rsid w:val="003A7596"/>
    <w:rsid w:val="003B0005"/>
    <w:rsid w:val="003B1C62"/>
    <w:rsid w:val="003B4B70"/>
    <w:rsid w:val="003B52FA"/>
    <w:rsid w:val="003B5E35"/>
    <w:rsid w:val="003B647D"/>
    <w:rsid w:val="003C126E"/>
    <w:rsid w:val="003C39B4"/>
    <w:rsid w:val="003C3D0B"/>
    <w:rsid w:val="003C463A"/>
    <w:rsid w:val="003C483A"/>
    <w:rsid w:val="003C582E"/>
    <w:rsid w:val="003C60EB"/>
    <w:rsid w:val="003C63FB"/>
    <w:rsid w:val="003C7091"/>
    <w:rsid w:val="003D0D91"/>
    <w:rsid w:val="003D4E89"/>
    <w:rsid w:val="003D6616"/>
    <w:rsid w:val="003E0585"/>
    <w:rsid w:val="003E271A"/>
    <w:rsid w:val="003E3A67"/>
    <w:rsid w:val="003E48D4"/>
    <w:rsid w:val="003E4BBA"/>
    <w:rsid w:val="003E5CB0"/>
    <w:rsid w:val="003E7484"/>
    <w:rsid w:val="003E7CDD"/>
    <w:rsid w:val="003F1AE0"/>
    <w:rsid w:val="003F4BEA"/>
    <w:rsid w:val="003F69F4"/>
    <w:rsid w:val="00403E50"/>
    <w:rsid w:val="0040455D"/>
    <w:rsid w:val="00404A7C"/>
    <w:rsid w:val="004054A7"/>
    <w:rsid w:val="00411EAA"/>
    <w:rsid w:val="0041241D"/>
    <w:rsid w:val="00414407"/>
    <w:rsid w:val="00414A28"/>
    <w:rsid w:val="00414BEF"/>
    <w:rsid w:val="004155AF"/>
    <w:rsid w:val="00416224"/>
    <w:rsid w:val="00425B0B"/>
    <w:rsid w:val="00425D09"/>
    <w:rsid w:val="00426433"/>
    <w:rsid w:val="00434502"/>
    <w:rsid w:val="00435DC8"/>
    <w:rsid w:val="00436147"/>
    <w:rsid w:val="00436B70"/>
    <w:rsid w:val="00436CF1"/>
    <w:rsid w:val="00437B49"/>
    <w:rsid w:val="00437B5E"/>
    <w:rsid w:val="00437F51"/>
    <w:rsid w:val="00446203"/>
    <w:rsid w:val="00446546"/>
    <w:rsid w:val="00451D17"/>
    <w:rsid w:val="00452FC9"/>
    <w:rsid w:val="00453882"/>
    <w:rsid w:val="00456582"/>
    <w:rsid w:val="004566C5"/>
    <w:rsid w:val="00462151"/>
    <w:rsid w:val="00462843"/>
    <w:rsid w:val="00463127"/>
    <w:rsid w:val="00464DD3"/>
    <w:rsid w:val="0046502F"/>
    <w:rsid w:val="0046509D"/>
    <w:rsid w:val="00467E1B"/>
    <w:rsid w:val="00471DAF"/>
    <w:rsid w:val="004722F3"/>
    <w:rsid w:val="00472B6E"/>
    <w:rsid w:val="00476B59"/>
    <w:rsid w:val="00480E4B"/>
    <w:rsid w:val="004816ED"/>
    <w:rsid w:val="004831EE"/>
    <w:rsid w:val="00484932"/>
    <w:rsid w:val="0048617A"/>
    <w:rsid w:val="0048660A"/>
    <w:rsid w:val="004871D8"/>
    <w:rsid w:val="00487DA3"/>
    <w:rsid w:val="00491BB0"/>
    <w:rsid w:val="00491FD9"/>
    <w:rsid w:val="004955DC"/>
    <w:rsid w:val="00495FA4"/>
    <w:rsid w:val="004A0400"/>
    <w:rsid w:val="004A17EF"/>
    <w:rsid w:val="004A31D4"/>
    <w:rsid w:val="004A37E4"/>
    <w:rsid w:val="004A5E3C"/>
    <w:rsid w:val="004B109F"/>
    <w:rsid w:val="004B20FE"/>
    <w:rsid w:val="004B36B7"/>
    <w:rsid w:val="004B3D50"/>
    <w:rsid w:val="004B67FC"/>
    <w:rsid w:val="004C5F3E"/>
    <w:rsid w:val="004C62F8"/>
    <w:rsid w:val="004D29FF"/>
    <w:rsid w:val="004D4D07"/>
    <w:rsid w:val="004D55F1"/>
    <w:rsid w:val="004D7714"/>
    <w:rsid w:val="004E13F2"/>
    <w:rsid w:val="004E2498"/>
    <w:rsid w:val="004E34F5"/>
    <w:rsid w:val="004E4E21"/>
    <w:rsid w:val="004F0077"/>
    <w:rsid w:val="004F217A"/>
    <w:rsid w:val="004F33DC"/>
    <w:rsid w:val="004F50E8"/>
    <w:rsid w:val="004F6EA5"/>
    <w:rsid w:val="004F7597"/>
    <w:rsid w:val="00500892"/>
    <w:rsid w:val="00502115"/>
    <w:rsid w:val="00502C4A"/>
    <w:rsid w:val="00503077"/>
    <w:rsid w:val="00504847"/>
    <w:rsid w:val="00505951"/>
    <w:rsid w:val="00505AD1"/>
    <w:rsid w:val="005071DA"/>
    <w:rsid w:val="00510645"/>
    <w:rsid w:val="00510BF2"/>
    <w:rsid w:val="005117F6"/>
    <w:rsid w:val="00520B19"/>
    <w:rsid w:val="00522F1E"/>
    <w:rsid w:val="0052566D"/>
    <w:rsid w:val="00526D6F"/>
    <w:rsid w:val="00532EED"/>
    <w:rsid w:val="0053655C"/>
    <w:rsid w:val="00537925"/>
    <w:rsid w:val="005437C6"/>
    <w:rsid w:val="005440EE"/>
    <w:rsid w:val="00544E7F"/>
    <w:rsid w:val="005458A8"/>
    <w:rsid w:val="00545E18"/>
    <w:rsid w:val="005463AF"/>
    <w:rsid w:val="00546A68"/>
    <w:rsid w:val="005515BC"/>
    <w:rsid w:val="00554EA5"/>
    <w:rsid w:val="005563B4"/>
    <w:rsid w:val="0056236F"/>
    <w:rsid w:val="00564803"/>
    <w:rsid w:val="00570B9A"/>
    <w:rsid w:val="005734C5"/>
    <w:rsid w:val="00573F67"/>
    <w:rsid w:val="00575AF9"/>
    <w:rsid w:val="005765F8"/>
    <w:rsid w:val="00580245"/>
    <w:rsid w:val="005832F0"/>
    <w:rsid w:val="0058390B"/>
    <w:rsid w:val="0058565F"/>
    <w:rsid w:val="00590E64"/>
    <w:rsid w:val="00591759"/>
    <w:rsid w:val="0059776C"/>
    <w:rsid w:val="005A105A"/>
    <w:rsid w:val="005A4092"/>
    <w:rsid w:val="005A5D9A"/>
    <w:rsid w:val="005A70C4"/>
    <w:rsid w:val="005B2EC3"/>
    <w:rsid w:val="005B461D"/>
    <w:rsid w:val="005B6551"/>
    <w:rsid w:val="005B6CA2"/>
    <w:rsid w:val="005B7718"/>
    <w:rsid w:val="005C73A0"/>
    <w:rsid w:val="005D0E4A"/>
    <w:rsid w:val="005D26FA"/>
    <w:rsid w:val="005D6173"/>
    <w:rsid w:val="005E2B89"/>
    <w:rsid w:val="005E5C7B"/>
    <w:rsid w:val="005F0C13"/>
    <w:rsid w:val="005F0D14"/>
    <w:rsid w:val="005F1977"/>
    <w:rsid w:val="005F22F5"/>
    <w:rsid w:val="005F5E6A"/>
    <w:rsid w:val="005F7148"/>
    <w:rsid w:val="005F7629"/>
    <w:rsid w:val="005F7D29"/>
    <w:rsid w:val="0060123F"/>
    <w:rsid w:val="006014AA"/>
    <w:rsid w:val="00605D21"/>
    <w:rsid w:val="00607B6A"/>
    <w:rsid w:val="00610B15"/>
    <w:rsid w:val="0061244B"/>
    <w:rsid w:val="006132A0"/>
    <w:rsid w:val="00613C5B"/>
    <w:rsid w:val="0062352F"/>
    <w:rsid w:val="00624130"/>
    <w:rsid w:val="00625621"/>
    <w:rsid w:val="00625DEC"/>
    <w:rsid w:val="00626961"/>
    <w:rsid w:val="00635805"/>
    <w:rsid w:val="00637106"/>
    <w:rsid w:val="00641AD4"/>
    <w:rsid w:val="00652F19"/>
    <w:rsid w:val="00660983"/>
    <w:rsid w:val="0067122B"/>
    <w:rsid w:val="00671689"/>
    <w:rsid w:val="0067349A"/>
    <w:rsid w:val="00675043"/>
    <w:rsid w:val="006775DA"/>
    <w:rsid w:val="00681582"/>
    <w:rsid w:val="00682181"/>
    <w:rsid w:val="00682F29"/>
    <w:rsid w:val="0068423B"/>
    <w:rsid w:val="006864BF"/>
    <w:rsid w:val="00687DE7"/>
    <w:rsid w:val="0069170A"/>
    <w:rsid w:val="00695904"/>
    <w:rsid w:val="006962CA"/>
    <w:rsid w:val="006970A7"/>
    <w:rsid w:val="006A13B3"/>
    <w:rsid w:val="006A1C63"/>
    <w:rsid w:val="006A1CD8"/>
    <w:rsid w:val="006A3FE2"/>
    <w:rsid w:val="006A544E"/>
    <w:rsid w:val="006A58F0"/>
    <w:rsid w:val="006B0562"/>
    <w:rsid w:val="006C01AF"/>
    <w:rsid w:val="006C06C9"/>
    <w:rsid w:val="006C3586"/>
    <w:rsid w:val="006C3895"/>
    <w:rsid w:val="006C4B05"/>
    <w:rsid w:val="006C4FA5"/>
    <w:rsid w:val="006C5FF3"/>
    <w:rsid w:val="006D05C4"/>
    <w:rsid w:val="006D3591"/>
    <w:rsid w:val="006D5A4B"/>
    <w:rsid w:val="006D5A70"/>
    <w:rsid w:val="006D6552"/>
    <w:rsid w:val="006D7AEB"/>
    <w:rsid w:val="006E0997"/>
    <w:rsid w:val="006E1A9A"/>
    <w:rsid w:val="006E20B4"/>
    <w:rsid w:val="006E229E"/>
    <w:rsid w:val="006E4C77"/>
    <w:rsid w:val="006E5563"/>
    <w:rsid w:val="006F0329"/>
    <w:rsid w:val="006F1F59"/>
    <w:rsid w:val="007009E2"/>
    <w:rsid w:val="00700C82"/>
    <w:rsid w:val="00700E45"/>
    <w:rsid w:val="00700F8A"/>
    <w:rsid w:val="0070390B"/>
    <w:rsid w:val="00706B30"/>
    <w:rsid w:val="007111A4"/>
    <w:rsid w:val="0071245A"/>
    <w:rsid w:val="0071286E"/>
    <w:rsid w:val="00712C4A"/>
    <w:rsid w:val="00713A72"/>
    <w:rsid w:val="00714070"/>
    <w:rsid w:val="007140CF"/>
    <w:rsid w:val="007146CE"/>
    <w:rsid w:val="00714B78"/>
    <w:rsid w:val="00722D55"/>
    <w:rsid w:val="00724964"/>
    <w:rsid w:val="00727B8D"/>
    <w:rsid w:val="00730C14"/>
    <w:rsid w:val="00731207"/>
    <w:rsid w:val="007333A7"/>
    <w:rsid w:val="007342EF"/>
    <w:rsid w:val="007371D8"/>
    <w:rsid w:val="00740651"/>
    <w:rsid w:val="00740EC6"/>
    <w:rsid w:val="00746DE3"/>
    <w:rsid w:val="00747B24"/>
    <w:rsid w:val="007539A4"/>
    <w:rsid w:val="00766085"/>
    <w:rsid w:val="00772775"/>
    <w:rsid w:val="007779FC"/>
    <w:rsid w:val="007817D2"/>
    <w:rsid w:val="00781B63"/>
    <w:rsid w:val="0078300A"/>
    <w:rsid w:val="0078717C"/>
    <w:rsid w:val="00787AAB"/>
    <w:rsid w:val="00793C57"/>
    <w:rsid w:val="007947B5"/>
    <w:rsid w:val="00794C9F"/>
    <w:rsid w:val="00797CF1"/>
    <w:rsid w:val="007A0080"/>
    <w:rsid w:val="007A2305"/>
    <w:rsid w:val="007A3A52"/>
    <w:rsid w:val="007A4C5A"/>
    <w:rsid w:val="007A4D61"/>
    <w:rsid w:val="007A4FA3"/>
    <w:rsid w:val="007A5217"/>
    <w:rsid w:val="007B0D8B"/>
    <w:rsid w:val="007B1090"/>
    <w:rsid w:val="007B1D38"/>
    <w:rsid w:val="007B41B5"/>
    <w:rsid w:val="007C034A"/>
    <w:rsid w:val="007C202D"/>
    <w:rsid w:val="007C2CE5"/>
    <w:rsid w:val="007C420F"/>
    <w:rsid w:val="007D3A0C"/>
    <w:rsid w:val="007D6F01"/>
    <w:rsid w:val="007E1A08"/>
    <w:rsid w:val="007E2598"/>
    <w:rsid w:val="007E2618"/>
    <w:rsid w:val="007E2811"/>
    <w:rsid w:val="007E52A8"/>
    <w:rsid w:val="007E781F"/>
    <w:rsid w:val="007F19DB"/>
    <w:rsid w:val="007F4920"/>
    <w:rsid w:val="007F7958"/>
    <w:rsid w:val="00810587"/>
    <w:rsid w:val="008140DA"/>
    <w:rsid w:val="00814B2B"/>
    <w:rsid w:val="00817B5F"/>
    <w:rsid w:val="00817CF2"/>
    <w:rsid w:val="00820664"/>
    <w:rsid w:val="00822CF8"/>
    <w:rsid w:val="00827363"/>
    <w:rsid w:val="008302D9"/>
    <w:rsid w:val="00833C35"/>
    <w:rsid w:val="00833D73"/>
    <w:rsid w:val="0083451B"/>
    <w:rsid w:val="00834E03"/>
    <w:rsid w:val="00834FED"/>
    <w:rsid w:val="0083582F"/>
    <w:rsid w:val="00836F09"/>
    <w:rsid w:val="00837BE1"/>
    <w:rsid w:val="008407BB"/>
    <w:rsid w:val="00840C41"/>
    <w:rsid w:val="008414E7"/>
    <w:rsid w:val="00841697"/>
    <w:rsid w:val="00843039"/>
    <w:rsid w:val="008442A5"/>
    <w:rsid w:val="00846B1B"/>
    <w:rsid w:val="008544FC"/>
    <w:rsid w:val="00860F53"/>
    <w:rsid w:val="00863183"/>
    <w:rsid w:val="00866D55"/>
    <w:rsid w:val="00867D3E"/>
    <w:rsid w:val="00871FDB"/>
    <w:rsid w:val="00880788"/>
    <w:rsid w:val="00882495"/>
    <w:rsid w:val="00887E28"/>
    <w:rsid w:val="00890462"/>
    <w:rsid w:val="0089106C"/>
    <w:rsid w:val="008A0D9F"/>
    <w:rsid w:val="008A3CED"/>
    <w:rsid w:val="008A4E6F"/>
    <w:rsid w:val="008B0C7D"/>
    <w:rsid w:val="008B0E43"/>
    <w:rsid w:val="008B1A36"/>
    <w:rsid w:val="008B2027"/>
    <w:rsid w:val="008B3AC3"/>
    <w:rsid w:val="008B406B"/>
    <w:rsid w:val="008B500B"/>
    <w:rsid w:val="008B51AF"/>
    <w:rsid w:val="008B5CA3"/>
    <w:rsid w:val="008C43AE"/>
    <w:rsid w:val="008C5CD2"/>
    <w:rsid w:val="008D4261"/>
    <w:rsid w:val="008D51F9"/>
    <w:rsid w:val="008D5276"/>
    <w:rsid w:val="008D6023"/>
    <w:rsid w:val="008D7323"/>
    <w:rsid w:val="008E0599"/>
    <w:rsid w:val="008F01CF"/>
    <w:rsid w:val="008F2F79"/>
    <w:rsid w:val="008F58D5"/>
    <w:rsid w:val="008F6601"/>
    <w:rsid w:val="008F6648"/>
    <w:rsid w:val="008F6D42"/>
    <w:rsid w:val="009002BF"/>
    <w:rsid w:val="00900BEA"/>
    <w:rsid w:val="00900F9C"/>
    <w:rsid w:val="00904B00"/>
    <w:rsid w:val="00906895"/>
    <w:rsid w:val="00912881"/>
    <w:rsid w:val="00913A0D"/>
    <w:rsid w:val="0091596C"/>
    <w:rsid w:val="00915B8F"/>
    <w:rsid w:val="009166A6"/>
    <w:rsid w:val="00920652"/>
    <w:rsid w:val="00920C1C"/>
    <w:rsid w:val="0092337E"/>
    <w:rsid w:val="0092506A"/>
    <w:rsid w:val="00927F1A"/>
    <w:rsid w:val="00931C80"/>
    <w:rsid w:val="00932B68"/>
    <w:rsid w:val="00932BB8"/>
    <w:rsid w:val="00933D4D"/>
    <w:rsid w:val="00934EDE"/>
    <w:rsid w:val="00936400"/>
    <w:rsid w:val="009374AA"/>
    <w:rsid w:val="009403B3"/>
    <w:rsid w:val="009408B4"/>
    <w:rsid w:val="0094125E"/>
    <w:rsid w:val="009433D3"/>
    <w:rsid w:val="009439F4"/>
    <w:rsid w:val="00950B93"/>
    <w:rsid w:val="00951D64"/>
    <w:rsid w:val="009549DA"/>
    <w:rsid w:val="00954E63"/>
    <w:rsid w:val="0095508A"/>
    <w:rsid w:val="009570F5"/>
    <w:rsid w:val="009615B2"/>
    <w:rsid w:val="00961B15"/>
    <w:rsid w:val="00961D11"/>
    <w:rsid w:val="009628F3"/>
    <w:rsid w:val="009647D5"/>
    <w:rsid w:val="00966156"/>
    <w:rsid w:val="0096749A"/>
    <w:rsid w:val="00967776"/>
    <w:rsid w:val="00970C47"/>
    <w:rsid w:val="0097151C"/>
    <w:rsid w:val="00971DC4"/>
    <w:rsid w:val="009736A1"/>
    <w:rsid w:val="00974960"/>
    <w:rsid w:val="00975EFF"/>
    <w:rsid w:val="00977B49"/>
    <w:rsid w:val="00981E24"/>
    <w:rsid w:val="00983B17"/>
    <w:rsid w:val="009900CA"/>
    <w:rsid w:val="00991F25"/>
    <w:rsid w:val="00993915"/>
    <w:rsid w:val="009978B5"/>
    <w:rsid w:val="009A2F55"/>
    <w:rsid w:val="009A366E"/>
    <w:rsid w:val="009A4E08"/>
    <w:rsid w:val="009A5E41"/>
    <w:rsid w:val="009A6B3A"/>
    <w:rsid w:val="009B026F"/>
    <w:rsid w:val="009B1173"/>
    <w:rsid w:val="009B1995"/>
    <w:rsid w:val="009B296B"/>
    <w:rsid w:val="009B5E35"/>
    <w:rsid w:val="009C1E6C"/>
    <w:rsid w:val="009C327F"/>
    <w:rsid w:val="009C4990"/>
    <w:rsid w:val="009C4B29"/>
    <w:rsid w:val="009C5751"/>
    <w:rsid w:val="009C6E82"/>
    <w:rsid w:val="009D0385"/>
    <w:rsid w:val="009D1F42"/>
    <w:rsid w:val="009D3453"/>
    <w:rsid w:val="009D3EDA"/>
    <w:rsid w:val="009D4596"/>
    <w:rsid w:val="009D56DE"/>
    <w:rsid w:val="009D7D4F"/>
    <w:rsid w:val="009D7F07"/>
    <w:rsid w:val="009E34BD"/>
    <w:rsid w:val="009F08F6"/>
    <w:rsid w:val="009F0F5D"/>
    <w:rsid w:val="009F210B"/>
    <w:rsid w:val="009F2653"/>
    <w:rsid w:val="009F4981"/>
    <w:rsid w:val="009F72E6"/>
    <w:rsid w:val="009F764E"/>
    <w:rsid w:val="009F7F33"/>
    <w:rsid w:val="00A013E6"/>
    <w:rsid w:val="00A03031"/>
    <w:rsid w:val="00A0460D"/>
    <w:rsid w:val="00A04ED6"/>
    <w:rsid w:val="00A05E52"/>
    <w:rsid w:val="00A11B7D"/>
    <w:rsid w:val="00A139FE"/>
    <w:rsid w:val="00A144FE"/>
    <w:rsid w:val="00A14C52"/>
    <w:rsid w:val="00A15EB8"/>
    <w:rsid w:val="00A239A8"/>
    <w:rsid w:val="00A24E41"/>
    <w:rsid w:val="00A27CA6"/>
    <w:rsid w:val="00A37E80"/>
    <w:rsid w:val="00A424E3"/>
    <w:rsid w:val="00A43916"/>
    <w:rsid w:val="00A44DAD"/>
    <w:rsid w:val="00A45123"/>
    <w:rsid w:val="00A47DD9"/>
    <w:rsid w:val="00A54FC6"/>
    <w:rsid w:val="00A554A3"/>
    <w:rsid w:val="00A55675"/>
    <w:rsid w:val="00A56DF7"/>
    <w:rsid w:val="00A57BF3"/>
    <w:rsid w:val="00A62B32"/>
    <w:rsid w:val="00A65825"/>
    <w:rsid w:val="00A665CA"/>
    <w:rsid w:val="00A677C6"/>
    <w:rsid w:val="00A714F2"/>
    <w:rsid w:val="00A72139"/>
    <w:rsid w:val="00A770A3"/>
    <w:rsid w:val="00A86FAE"/>
    <w:rsid w:val="00A92CB1"/>
    <w:rsid w:val="00A977DD"/>
    <w:rsid w:val="00AA079F"/>
    <w:rsid w:val="00AA0D80"/>
    <w:rsid w:val="00AA15FE"/>
    <w:rsid w:val="00AA18DA"/>
    <w:rsid w:val="00AA2638"/>
    <w:rsid w:val="00AA36EA"/>
    <w:rsid w:val="00AA441B"/>
    <w:rsid w:val="00AA4BB9"/>
    <w:rsid w:val="00AA6783"/>
    <w:rsid w:val="00AB0B51"/>
    <w:rsid w:val="00AB61BB"/>
    <w:rsid w:val="00AB737F"/>
    <w:rsid w:val="00AC0744"/>
    <w:rsid w:val="00AC09EB"/>
    <w:rsid w:val="00AC0F6A"/>
    <w:rsid w:val="00AC503F"/>
    <w:rsid w:val="00AC6AD7"/>
    <w:rsid w:val="00AC7E21"/>
    <w:rsid w:val="00AD1B44"/>
    <w:rsid w:val="00AD52E1"/>
    <w:rsid w:val="00AE01C6"/>
    <w:rsid w:val="00AE0CF0"/>
    <w:rsid w:val="00AE149B"/>
    <w:rsid w:val="00AE1F30"/>
    <w:rsid w:val="00AE3313"/>
    <w:rsid w:val="00AE4820"/>
    <w:rsid w:val="00AE7BDA"/>
    <w:rsid w:val="00AE7EA8"/>
    <w:rsid w:val="00AF16C4"/>
    <w:rsid w:val="00AF1C2F"/>
    <w:rsid w:val="00AF3E00"/>
    <w:rsid w:val="00B03341"/>
    <w:rsid w:val="00B043F7"/>
    <w:rsid w:val="00B051C3"/>
    <w:rsid w:val="00B0722E"/>
    <w:rsid w:val="00B073FE"/>
    <w:rsid w:val="00B07B92"/>
    <w:rsid w:val="00B07F71"/>
    <w:rsid w:val="00B110E7"/>
    <w:rsid w:val="00B11111"/>
    <w:rsid w:val="00B1403E"/>
    <w:rsid w:val="00B16A23"/>
    <w:rsid w:val="00B23F58"/>
    <w:rsid w:val="00B249BE"/>
    <w:rsid w:val="00B24F8F"/>
    <w:rsid w:val="00B32BE2"/>
    <w:rsid w:val="00B3728D"/>
    <w:rsid w:val="00B434E0"/>
    <w:rsid w:val="00B50842"/>
    <w:rsid w:val="00B514EF"/>
    <w:rsid w:val="00B52961"/>
    <w:rsid w:val="00B52BD6"/>
    <w:rsid w:val="00B5314F"/>
    <w:rsid w:val="00B53331"/>
    <w:rsid w:val="00B56BDF"/>
    <w:rsid w:val="00B62719"/>
    <w:rsid w:val="00B632BF"/>
    <w:rsid w:val="00B67897"/>
    <w:rsid w:val="00B67A2F"/>
    <w:rsid w:val="00B7553F"/>
    <w:rsid w:val="00B76EC1"/>
    <w:rsid w:val="00B8003C"/>
    <w:rsid w:val="00B815A9"/>
    <w:rsid w:val="00B84834"/>
    <w:rsid w:val="00B84E4C"/>
    <w:rsid w:val="00B85E4B"/>
    <w:rsid w:val="00B9418F"/>
    <w:rsid w:val="00B94BF5"/>
    <w:rsid w:val="00B9590C"/>
    <w:rsid w:val="00B959B7"/>
    <w:rsid w:val="00B978E8"/>
    <w:rsid w:val="00BA2133"/>
    <w:rsid w:val="00BA2B6C"/>
    <w:rsid w:val="00BB19C3"/>
    <w:rsid w:val="00BB1BDD"/>
    <w:rsid w:val="00BB49EF"/>
    <w:rsid w:val="00BB59B7"/>
    <w:rsid w:val="00BC0954"/>
    <w:rsid w:val="00BC0AE5"/>
    <w:rsid w:val="00BC23FB"/>
    <w:rsid w:val="00BC5CD7"/>
    <w:rsid w:val="00BC7CDA"/>
    <w:rsid w:val="00BD0E3A"/>
    <w:rsid w:val="00BD158A"/>
    <w:rsid w:val="00BD5F47"/>
    <w:rsid w:val="00BE0198"/>
    <w:rsid w:val="00BE05FB"/>
    <w:rsid w:val="00BE18ED"/>
    <w:rsid w:val="00BE5263"/>
    <w:rsid w:val="00BE67EE"/>
    <w:rsid w:val="00BE7D11"/>
    <w:rsid w:val="00BE7EFF"/>
    <w:rsid w:val="00BF1179"/>
    <w:rsid w:val="00BF28A1"/>
    <w:rsid w:val="00BF4F50"/>
    <w:rsid w:val="00BF5BD2"/>
    <w:rsid w:val="00C0010D"/>
    <w:rsid w:val="00C01A98"/>
    <w:rsid w:val="00C01F73"/>
    <w:rsid w:val="00C03CD0"/>
    <w:rsid w:val="00C10562"/>
    <w:rsid w:val="00C11005"/>
    <w:rsid w:val="00C11FEA"/>
    <w:rsid w:val="00C13B94"/>
    <w:rsid w:val="00C1549A"/>
    <w:rsid w:val="00C167D7"/>
    <w:rsid w:val="00C21230"/>
    <w:rsid w:val="00C2387D"/>
    <w:rsid w:val="00C25377"/>
    <w:rsid w:val="00C25492"/>
    <w:rsid w:val="00C26BA6"/>
    <w:rsid w:val="00C339C4"/>
    <w:rsid w:val="00C33C48"/>
    <w:rsid w:val="00C35ABA"/>
    <w:rsid w:val="00C4491A"/>
    <w:rsid w:val="00C45A19"/>
    <w:rsid w:val="00C51B8E"/>
    <w:rsid w:val="00C55195"/>
    <w:rsid w:val="00C6217C"/>
    <w:rsid w:val="00C63E13"/>
    <w:rsid w:val="00C656B8"/>
    <w:rsid w:val="00C660AC"/>
    <w:rsid w:val="00C66A88"/>
    <w:rsid w:val="00C66E9B"/>
    <w:rsid w:val="00C71BA9"/>
    <w:rsid w:val="00C72375"/>
    <w:rsid w:val="00C774E6"/>
    <w:rsid w:val="00C803B0"/>
    <w:rsid w:val="00C81AC3"/>
    <w:rsid w:val="00C87230"/>
    <w:rsid w:val="00C87B12"/>
    <w:rsid w:val="00C90635"/>
    <w:rsid w:val="00C90B56"/>
    <w:rsid w:val="00C9243F"/>
    <w:rsid w:val="00C925B4"/>
    <w:rsid w:val="00C95D3C"/>
    <w:rsid w:val="00C96A06"/>
    <w:rsid w:val="00CA0106"/>
    <w:rsid w:val="00CA0F9D"/>
    <w:rsid w:val="00CA3531"/>
    <w:rsid w:val="00CB07D6"/>
    <w:rsid w:val="00CB1221"/>
    <w:rsid w:val="00CB1A09"/>
    <w:rsid w:val="00CB1D1A"/>
    <w:rsid w:val="00CB30E6"/>
    <w:rsid w:val="00CB35C3"/>
    <w:rsid w:val="00CB3729"/>
    <w:rsid w:val="00CB3D67"/>
    <w:rsid w:val="00CB6D2E"/>
    <w:rsid w:val="00CC2E93"/>
    <w:rsid w:val="00CC2FA0"/>
    <w:rsid w:val="00CC788D"/>
    <w:rsid w:val="00CD0FBE"/>
    <w:rsid w:val="00CD1132"/>
    <w:rsid w:val="00CD3BED"/>
    <w:rsid w:val="00CE641F"/>
    <w:rsid w:val="00CE64EB"/>
    <w:rsid w:val="00CF2E8E"/>
    <w:rsid w:val="00CF46CF"/>
    <w:rsid w:val="00CF4734"/>
    <w:rsid w:val="00CF56F0"/>
    <w:rsid w:val="00CF6B3E"/>
    <w:rsid w:val="00D01C4A"/>
    <w:rsid w:val="00D03E23"/>
    <w:rsid w:val="00D0422E"/>
    <w:rsid w:val="00D06010"/>
    <w:rsid w:val="00D101B6"/>
    <w:rsid w:val="00D103CE"/>
    <w:rsid w:val="00D10D61"/>
    <w:rsid w:val="00D16F88"/>
    <w:rsid w:val="00D17575"/>
    <w:rsid w:val="00D17649"/>
    <w:rsid w:val="00D220DF"/>
    <w:rsid w:val="00D23AF9"/>
    <w:rsid w:val="00D26751"/>
    <w:rsid w:val="00D329B3"/>
    <w:rsid w:val="00D32FCA"/>
    <w:rsid w:val="00D35197"/>
    <w:rsid w:val="00D4046B"/>
    <w:rsid w:val="00D407B9"/>
    <w:rsid w:val="00D40E4E"/>
    <w:rsid w:val="00D423F2"/>
    <w:rsid w:val="00D451A0"/>
    <w:rsid w:val="00D451ED"/>
    <w:rsid w:val="00D457F8"/>
    <w:rsid w:val="00D52269"/>
    <w:rsid w:val="00D54A37"/>
    <w:rsid w:val="00D5673F"/>
    <w:rsid w:val="00D577C5"/>
    <w:rsid w:val="00D60B6B"/>
    <w:rsid w:val="00D6238C"/>
    <w:rsid w:val="00D63FE9"/>
    <w:rsid w:val="00D672CD"/>
    <w:rsid w:val="00D74304"/>
    <w:rsid w:val="00D75C51"/>
    <w:rsid w:val="00D77394"/>
    <w:rsid w:val="00D91080"/>
    <w:rsid w:val="00D945F8"/>
    <w:rsid w:val="00D94D4B"/>
    <w:rsid w:val="00D97765"/>
    <w:rsid w:val="00DA59E1"/>
    <w:rsid w:val="00DA5C28"/>
    <w:rsid w:val="00DA6CA8"/>
    <w:rsid w:val="00DA7C11"/>
    <w:rsid w:val="00DB0CAA"/>
    <w:rsid w:val="00DB3E5A"/>
    <w:rsid w:val="00DB7940"/>
    <w:rsid w:val="00DC0D4D"/>
    <w:rsid w:val="00DC0E69"/>
    <w:rsid w:val="00DC1652"/>
    <w:rsid w:val="00DC6AFA"/>
    <w:rsid w:val="00DD045E"/>
    <w:rsid w:val="00DD36B9"/>
    <w:rsid w:val="00DD65B4"/>
    <w:rsid w:val="00DD747A"/>
    <w:rsid w:val="00DD768D"/>
    <w:rsid w:val="00DE18A7"/>
    <w:rsid w:val="00DE408D"/>
    <w:rsid w:val="00DE43E7"/>
    <w:rsid w:val="00DE5800"/>
    <w:rsid w:val="00DF0232"/>
    <w:rsid w:val="00DF14B1"/>
    <w:rsid w:val="00DF2298"/>
    <w:rsid w:val="00DF6143"/>
    <w:rsid w:val="00DF6A52"/>
    <w:rsid w:val="00E01CE4"/>
    <w:rsid w:val="00E01E14"/>
    <w:rsid w:val="00E01E19"/>
    <w:rsid w:val="00E02A27"/>
    <w:rsid w:val="00E033AC"/>
    <w:rsid w:val="00E06864"/>
    <w:rsid w:val="00E140F6"/>
    <w:rsid w:val="00E17556"/>
    <w:rsid w:val="00E17EEA"/>
    <w:rsid w:val="00E25F1A"/>
    <w:rsid w:val="00E26E98"/>
    <w:rsid w:val="00E308D1"/>
    <w:rsid w:val="00E31F8F"/>
    <w:rsid w:val="00E32E15"/>
    <w:rsid w:val="00E35F90"/>
    <w:rsid w:val="00E41079"/>
    <w:rsid w:val="00E42557"/>
    <w:rsid w:val="00E432E9"/>
    <w:rsid w:val="00E4457B"/>
    <w:rsid w:val="00E5133E"/>
    <w:rsid w:val="00E601C0"/>
    <w:rsid w:val="00E6050E"/>
    <w:rsid w:val="00E611C5"/>
    <w:rsid w:val="00E61F24"/>
    <w:rsid w:val="00E62749"/>
    <w:rsid w:val="00E6699C"/>
    <w:rsid w:val="00E66E82"/>
    <w:rsid w:val="00E671D0"/>
    <w:rsid w:val="00E703F2"/>
    <w:rsid w:val="00E71492"/>
    <w:rsid w:val="00E72564"/>
    <w:rsid w:val="00E81360"/>
    <w:rsid w:val="00E8181B"/>
    <w:rsid w:val="00E81D0D"/>
    <w:rsid w:val="00E83E89"/>
    <w:rsid w:val="00E85428"/>
    <w:rsid w:val="00E8794C"/>
    <w:rsid w:val="00E87C7B"/>
    <w:rsid w:val="00E913F1"/>
    <w:rsid w:val="00E91C14"/>
    <w:rsid w:val="00E955E5"/>
    <w:rsid w:val="00E95B62"/>
    <w:rsid w:val="00E963A6"/>
    <w:rsid w:val="00E97FE0"/>
    <w:rsid w:val="00EB5AAD"/>
    <w:rsid w:val="00EB77D4"/>
    <w:rsid w:val="00EC232D"/>
    <w:rsid w:val="00ED1A2E"/>
    <w:rsid w:val="00ED1C28"/>
    <w:rsid w:val="00ED2832"/>
    <w:rsid w:val="00ED559B"/>
    <w:rsid w:val="00ED697D"/>
    <w:rsid w:val="00EE04A5"/>
    <w:rsid w:val="00EE365F"/>
    <w:rsid w:val="00EE3AA5"/>
    <w:rsid w:val="00EE5593"/>
    <w:rsid w:val="00EE6B53"/>
    <w:rsid w:val="00EF1F00"/>
    <w:rsid w:val="00EF404F"/>
    <w:rsid w:val="00F01021"/>
    <w:rsid w:val="00F03E8C"/>
    <w:rsid w:val="00F03EEE"/>
    <w:rsid w:val="00F10964"/>
    <w:rsid w:val="00F117C9"/>
    <w:rsid w:val="00F12542"/>
    <w:rsid w:val="00F12666"/>
    <w:rsid w:val="00F138FC"/>
    <w:rsid w:val="00F15BFB"/>
    <w:rsid w:val="00F15D23"/>
    <w:rsid w:val="00F16FCF"/>
    <w:rsid w:val="00F1726D"/>
    <w:rsid w:val="00F17794"/>
    <w:rsid w:val="00F20120"/>
    <w:rsid w:val="00F22333"/>
    <w:rsid w:val="00F22340"/>
    <w:rsid w:val="00F2483B"/>
    <w:rsid w:val="00F2520C"/>
    <w:rsid w:val="00F25EFA"/>
    <w:rsid w:val="00F3097A"/>
    <w:rsid w:val="00F313B9"/>
    <w:rsid w:val="00F3257C"/>
    <w:rsid w:val="00F35CB9"/>
    <w:rsid w:val="00F41AC3"/>
    <w:rsid w:val="00F423C2"/>
    <w:rsid w:val="00F429A2"/>
    <w:rsid w:val="00F4322C"/>
    <w:rsid w:val="00F45485"/>
    <w:rsid w:val="00F45512"/>
    <w:rsid w:val="00F45646"/>
    <w:rsid w:val="00F45851"/>
    <w:rsid w:val="00F45D1F"/>
    <w:rsid w:val="00F47179"/>
    <w:rsid w:val="00F471E3"/>
    <w:rsid w:val="00F53778"/>
    <w:rsid w:val="00F5461D"/>
    <w:rsid w:val="00F55102"/>
    <w:rsid w:val="00F562CF"/>
    <w:rsid w:val="00F5676C"/>
    <w:rsid w:val="00F569AB"/>
    <w:rsid w:val="00F67C56"/>
    <w:rsid w:val="00F67F6F"/>
    <w:rsid w:val="00F76463"/>
    <w:rsid w:val="00F80BC9"/>
    <w:rsid w:val="00F813EF"/>
    <w:rsid w:val="00F81A97"/>
    <w:rsid w:val="00F82691"/>
    <w:rsid w:val="00F84CA3"/>
    <w:rsid w:val="00F90A47"/>
    <w:rsid w:val="00F911B9"/>
    <w:rsid w:val="00F91A6D"/>
    <w:rsid w:val="00F92CA1"/>
    <w:rsid w:val="00F9647C"/>
    <w:rsid w:val="00F97001"/>
    <w:rsid w:val="00FA059B"/>
    <w:rsid w:val="00FA17C3"/>
    <w:rsid w:val="00FA2009"/>
    <w:rsid w:val="00FA4B88"/>
    <w:rsid w:val="00FB1579"/>
    <w:rsid w:val="00FB27D3"/>
    <w:rsid w:val="00FB7268"/>
    <w:rsid w:val="00FB7A38"/>
    <w:rsid w:val="00FC06FA"/>
    <w:rsid w:val="00FC25C6"/>
    <w:rsid w:val="00FC4DE4"/>
    <w:rsid w:val="00FC5F23"/>
    <w:rsid w:val="00FC6189"/>
    <w:rsid w:val="00FC7FD9"/>
    <w:rsid w:val="00FD5B6A"/>
    <w:rsid w:val="00FD6E2E"/>
    <w:rsid w:val="00FD765B"/>
    <w:rsid w:val="00FE0963"/>
    <w:rsid w:val="00FE1812"/>
    <w:rsid w:val="00FE444F"/>
    <w:rsid w:val="00FE5EAF"/>
    <w:rsid w:val="00FE63A1"/>
    <w:rsid w:val="00FE6967"/>
    <w:rsid w:val="00FF0034"/>
    <w:rsid w:val="00FF4C0E"/>
    <w:rsid w:val="00FF623E"/>
    <w:rsid w:val="37534078"/>
    <w:rsid w:val="767A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rsid w:val="00F22333"/>
    <w:rPr>
      <w:rFonts w:ascii="宋体"/>
      <w:sz w:val="18"/>
      <w:szCs w:val="18"/>
    </w:rPr>
  </w:style>
  <w:style w:type="paragraph" w:styleId="a4">
    <w:name w:val="annotation text"/>
    <w:basedOn w:val="a"/>
    <w:semiHidden/>
    <w:qFormat/>
    <w:rsid w:val="00F22333"/>
    <w:pPr>
      <w:jc w:val="left"/>
    </w:pPr>
  </w:style>
  <w:style w:type="paragraph" w:styleId="a5">
    <w:name w:val="Date"/>
    <w:basedOn w:val="a"/>
    <w:next w:val="a"/>
    <w:link w:val="Char0"/>
    <w:qFormat/>
    <w:rsid w:val="00F22333"/>
    <w:pPr>
      <w:ind w:leftChars="2500" w:left="100"/>
    </w:pPr>
    <w:rPr>
      <w:rFonts w:ascii="宋体" w:hAnsi="宋体"/>
      <w:b/>
      <w:bCs/>
      <w:sz w:val="24"/>
    </w:rPr>
  </w:style>
  <w:style w:type="paragraph" w:styleId="a6">
    <w:name w:val="Balloon Text"/>
    <w:basedOn w:val="a"/>
    <w:semiHidden/>
    <w:qFormat/>
    <w:rsid w:val="00F22333"/>
    <w:rPr>
      <w:sz w:val="18"/>
      <w:szCs w:val="18"/>
    </w:rPr>
  </w:style>
  <w:style w:type="paragraph" w:styleId="a7">
    <w:name w:val="footer"/>
    <w:basedOn w:val="a"/>
    <w:qFormat/>
    <w:rsid w:val="00F22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F22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semiHidden/>
    <w:qFormat/>
    <w:rsid w:val="00F22333"/>
    <w:rPr>
      <w:b/>
      <w:bCs/>
    </w:rPr>
  </w:style>
  <w:style w:type="table" w:styleId="aa">
    <w:name w:val="Table Grid"/>
    <w:basedOn w:val="a1"/>
    <w:qFormat/>
    <w:rsid w:val="00F22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F22333"/>
    <w:rPr>
      <w:b/>
      <w:bCs/>
    </w:rPr>
  </w:style>
  <w:style w:type="character" w:styleId="ac">
    <w:name w:val="page number"/>
    <w:basedOn w:val="a0"/>
    <w:qFormat/>
    <w:rsid w:val="00F22333"/>
  </w:style>
  <w:style w:type="character" w:styleId="ad">
    <w:name w:val="annotation reference"/>
    <w:basedOn w:val="a0"/>
    <w:semiHidden/>
    <w:qFormat/>
    <w:rsid w:val="00F22333"/>
    <w:rPr>
      <w:sz w:val="21"/>
      <w:szCs w:val="21"/>
    </w:rPr>
  </w:style>
  <w:style w:type="character" w:customStyle="1" w:styleId="apple-style-span">
    <w:name w:val="apple-style-span"/>
    <w:basedOn w:val="a0"/>
    <w:qFormat/>
    <w:rsid w:val="00F22333"/>
  </w:style>
  <w:style w:type="paragraph" w:customStyle="1" w:styleId="cs2654ae3a">
    <w:name w:val="cs2654ae3a"/>
    <w:basedOn w:val="a"/>
    <w:qFormat/>
    <w:rsid w:val="00F22333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s25e5e7c71">
    <w:name w:val="cs25e5e7c71"/>
    <w:basedOn w:val="a0"/>
    <w:qFormat/>
    <w:rsid w:val="00F22333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cs429262331">
    <w:name w:val="cs429262331"/>
    <w:basedOn w:val="a0"/>
    <w:qFormat/>
    <w:rsid w:val="00F22333"/>
    <w:rPr>
      <w:rFonts w:ascii="Microsoft Sans Serif" w:hAnsi="Microsoft Sans Serif" w:cs="Microsoft Sans Serif" w:hint="default"/>
      <w:b/>
      <w:bCs/>
      <w:color w:val="000000"/>
      <w:sz w:val="24"/>
      <w:szCs w:val="24"/>
    </w:rPr>
  </w:style>
  <w:style w:type="character" w:customStyle="1" w:styleId="cs2ee006611">
    <w:name w:val="cs2ee006611"/>
    <w:basedOn w:val="a0"/>
    <w:qFormat/>
    <w:rsid w:val="00F22333"/>
    <w:rPr>
      <w:rFonts w:ascii="Arial Unicode MS" w:eastAsia="Arial Unicode MS" w:hAnsi="Arial Unicode MS" w:cs="Arial Unicode MS" w:hint="eastAsia"/>
      <w:b/>
      <w:bCs/>
      <w:color w:val="000000"/>
      <w:sz w:val="24"/>
      <w:szCs w:val="24"/>
    </w:rPr>
  </w:style>
  <w:style w:type="paragraph" w:customStyle="1" w:styleId="Default">
    <w:name w:val="Default"/>
    <w:qFormat/>
    <w:rsid w:val="00F22333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sid w:val="00F22333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No Spacing"/>
    <w:uiPriority w:val="1"/>
    <w:qFormat/>
    <w:rsid w:val="00F223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文档结构图 Char"/>
    <w:basedOn w:val="a0"/>
    <w:link w:val="a3"/>
    <w:semiHidden/>
    <w:qFormat/>
    <w:rsid w:val="00F22333"/>
    <w:rPr>
      <w:rFonts w:ascii="宋体"/>
      <w:kern w:val="2"/>
      <w:sz w:val="18"/>
      <w:szCs w:val="18"/>
    </w:rPr>
  </w:style>
  <w:style w:type="character" w:customStyle="1" w:styleId="Char0">
    <w:name w:val="日期 Char"/>
    <w:basedOn w:val="a0"/>
    <w:link w:val="a5"/>
    <w:qFormat/>
    <w:rsid w:val="00F22333"/>
    <w:rPr>
      <w:rFonts w:ascii="宋体" w:hAnsi="宋体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F138F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377A55-2E12-4928-80C6-9CA3D536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4</DocSecurity>
  <Lines>3</Lines>
  <Paragraphs>1</Paragraphs>
  <ScaleCrop>false</ScaleCrop>
  <Company>CHINAAMC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2014-09-22T08:14:00Z</cp:lastPrinted>
  <dcterms:created xsi:type="dcterms:W3CDTF">2025-11-10T16:01:00Z</dcterms:created>
  <dcterms:modified xsi:type="dcterms:W3CDTF">2025-11-10T16:01:00Z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