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jc w:val="center"/>
        <w:rPr>
          <w:rFonts w:ascii="宋体" w:hAnsi="宋体"/>
          <w:sz w:val="30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关于恢复工银瑞信北证50成份指数证券投资基金大额申购、转换转入及定期定额投资业务的公告</w:t>
      </w:r>
    </w:p>
    <w:p w:rsidR="00391D67" w:rsidRDefault="00391D67">
      <w:pPr>
        <w:jc w:val="center"/>
        <w:rPr>
          <w:rFonts w:ascii="宋体" w:hAnsi="宋体"/>
          <w:sz w:val="30"/>
        </w:rPr>
      </w:pPr>
    </w:p>
    <w:p w:rsidR="00391D67" w:rsidRDefault="00391D67">
      <w:pPr>
        <w:jc w:val="center"/>
        <w:rPr>
          <w:rFonts w:ascii="宋体" w:hAnsi="宋体"/>
          <w:sz w:val="30"/>
        </w:rPr>
      </w:pPr>
    </w:p>
    <w:p w:rsidR="00391D67" w:rsidRDefault="00391D67">
      <w:pPr>
        <w:jc w:val="center"/>
        <w:rPr>
          <w:rFonts w:ascii="宋体" w:hAnsi="宋体"/>
          <w:sz w:val="30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>
        <w:rPr>
          <w:rFonts w:ascii="宋体" w:hAnsi="宋体" w:hint="eastAsia"/>
          <w:b/>
          <w:sz w:val="28"/>
          <w:szCs w:val="28"/>
        </w:rPr>
        <w:t>2025年11月11日</w:t>
      </w: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spacing w:line="480" w:lineRule="auto"/>
        <w:rPr>
          <w:sz w:val="24"/>
        </w:rPr>
      </w:pPr>
    </w:p>
    <w:p w:rsidR="00391D67" w:rsidRDefault="00391D67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8"/>
          <w:szCs w:val="28"/>
        </w:rPr>
        <w:t xml:space="preserve"> 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415"/>
        <w:gridCol w:w="2268"/>
        <w:gridCol w:w="2268"/>
      </w:tblGrid>
      <w:tr w:rsidR="00391D67">
        <w:tc>
          <w:tcPr>
            <w:tcW w:w="4395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4536" w:type="dxa"/>
            <w:gridSpan w:val="2"/>
          </w:tcPr>
          <w:p w:rsidR="00391D67" w:rsidRDefault="00391D67">
            <w:pPr>
              <w:rPr>
                <w:rFonts w:ascii="宋体" w:hAnsi="宋体" w:hint="eastAsia"/>
                <w:sz w:val="24"/>
                <w:szCs w:val="24"/>
              </w:rPr>
            </w:pPr>
            <w:bookmarkStart w:id="4" w:name="t_3_1_1_0009_a1_fm1"/>
            <w:bookmarkEnd w:id="4"/>
            <w:r>
              <w:rPr>
                <w:rFonts w:ascii="宋体" w:hAnsi="宋体" w:hint="eastAsia"/>
                <w:sz w:val="24"/>
                <w:szCs w:val="24"/>
              </w:rPr>
              <w:t>工银瑞信北证50成份指数证券投资基金</w:t>
            </w:r>
          </w:p>
        </w:tc>
      </w:tr>
      <w:tr w:rsidR="00391D67">
        <w:tc>
          <w:tcPr>
            <w:tcW w:w="4395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4536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bookmarkStart w:id="5" w:name="t_3_1_1_0011_a1_fm1"/>
            <w:bookmarkEnd w:id="5"/>
            <w:r>
              <w:rPr>
                <w:rFonts w:ascii="宋体" w:hAnsi="宋体" w:hint="eastAsia"/>
                <w:sz w:val="24"/>
                <w:szCs w:val="24"/>
              </w:rPr>
              <w:t>工银北证50成份指数</w:t>
            </w:r>
          </w:p>
        </w:tc>
      </w:tr>
      <w:tr w:rsidR="00391D67">
        <w:tc>
          <w:tcPr>
            <w:tcW w:w="4395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4536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bookmarkStart w:id="6" w:name="t_1_1_0012_a1_fm1"/>
            <w:bookmarkEnd w:id="6"/>
            <w:r>
              <w:rPr>
                <w:rFonts w:ascii="宋体" w:hAnsi="宋体"/>
                <w:sz w:val="24"/>
                <w:szCs w:val="24"/>
              </w:rPr>
              <w:t>018112</w:t>
            </w:r>
          </w:p>
        </w:tc>
      </w:tr>
      <w:tr w:rsidR="00391D67">
        <w:tc>
          <w:tcPr>
            <w:tcW w:w="4395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4536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bookmarkStart w:id="7" w:name="t_3_1_1_0186_a1_fm1"/>
            <w:bookmarkEnd w:id="7"/>
            <w:r>
              <w:rPr>
                <w:rFonts w:ascii="宋体" w:hAnsi="宋体" w:hint="eastAsia"/>
                <w:sz w:val="24"/>
                <w:szCs w:val="24"/>
              </w:rPr>
              <w:t>工银瑞信基金管理有限公司</w:t>
            </w:r>
          </w:p>
        </w:tc>
      </w:tr>
      <w:tr w:rsidR="00391D67">
        <w:tc>
          <w:tcPr>
            <w:tcW w:w="4395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4536" w:type="dxa"/>
            <w:gridSpan w:val="2"/>
          </w:tcPr>
          <w:p w:rsidR="00391D67" w:rsidRDefault="00391D67">
            <w:pPr>
              <w:rPr>
                <w:rFonts w:ascii="宋体" w:hAnsi="宋体" w:hint="eastAsia"/>
                <w:sz w:val="24"/>
                <w:szCs w:val="24"/>
              </w:rPr>
            </w:pPr>
            <w:bookmarkStart w:id="8" w:name="t_3_1_1_2631_a1_fm1"/>
            <w:bookmarkEnd w:id="8"/>
            <w:r>
              <w:rPr>
                <w:rFonts w:ascii="宋体" w:hAnsi="宋体" w:hint="eastAsia"/>
                <w:sz w:val="24"/>
                <w:szCs w:val="24"/>
              </w:rPr>
              <w:t>根据《中华人民共和国证券投资基金法》、《公开募集证券投资基金运作管理办法》、《公开募集证券投资基金信息披露管理办法》及其他有关法律法规以及本基金相关法律文件等。</w:t>
            </w:r>
          </w:p>
        </w:tc>
      </w:tr>
      <w:tr w:rsidR="00391D67">
        <w:tc>
          <w:tcPr>
            <w:tcW w:w="1980" w:type="dxa"/>
            <w:vMerge w:val="restart"/>
            <w:vAlign w:val="center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415" w:type="dxa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4536" w:type="dxa"/>
            <w:gridSpan w:val="2"/>
          </w:tcPr>
          <w:p w:rsidR="00391D67" w:rsidRDefault="00391D67">
            <w:pPr>
              <w:rPr>
                <w:rFonts w:ascii="宋体" w:hAnsi="宋体" w:hint="eastAsia"/>
                <w:sz w:val="24"/>
                <w:szCs w:val="24"/>
              </w:rPr>
            </w:pPr>
            <w:bookmarkStart w:id="9" w:name="t_3_1_1_2797_a1_fm1"/>
            <w:bookmarkEnd w:id="9"/>
            <w:r>
              <w:rPr>
                <w:rFonts w:ascii="宋体" w:hAnsi="宋体" w:hint="eastAsia"/>
                <w:sz w:val="24"/>
                <w:szCs w:val="24"/>
              </w:rPr>
              <w:t>2025年11月12日</w:t>
            </w:r>
          </w:p>
        </w:tc>
      </w:tr>
      <w:tr w:rsidR="00391D67">
        <w:tc>
          <w:tcPr>
            <w:tcW w:w="1980" w:type="dxa"/>
            <w:vMerge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5" w:type="dxa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536" w:type="dxa"/>
            <w:gridSpan w:val="2"/>
          </w:tcPr>
          <w:p w:rsidR="00391D67" w:rsidRDefault="00391D67">
            <w:pPr>
              <w:rPr>
                <w:rFonts w:ascii="宋体" w:hAnsi="宋体" w:hint="eastAsia"/>
                <w:sz w:val="24"/>
                <w:szCs w:val="24"/>
              </w:rPr>
            </w:pPr>
            <w:bookmarkStart w:id="10" w:name="t_3_1_1_2798_a1_fm1"/>
            <w:bookmarkEnd w:id="10"/>
            <w:r>
              <w:rPr>
                <w:rFonts w:ascii="宋体" w:hAnsi="宋体" w:hint="eastAsia"/>
                <w:sz w:val="24"/>
                <w:szCs w:val="24"/>
              </w:rPr>
              <w:t>2025年11月12日</w:t>
            </w:r>
          </w:p>
        </w:tc>
      </w:tr>
      <w:tr w:rsidR="00391D67">
        <w:tc>
          <w:tcPr>
            <w:tcW w:w="1980" w:type="dxa"/>
            <w:vMerge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5" w:type="dxa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bookmarkStart w:id="11" w:name="t_3_1_3_fj_table"/>
            <w:bookmarkEnd w:id="11"/>
            <w:r>
              <w:rPr>
                <w:rFonts w:ascii="宋体" w:hAnsi="宋体" w:hint="eastAsia"/>
                <w:sz w:val="24"/>
                <w:szCs w:val="24"/>
              </w:rPr>
              <w:t>恢复大额申购、大额转换转入、大额定期定额投资业务的原因说明</w:t>
            </w:r>
          </w:p>
        </w:tc>
        <w:tc>
          <w:tcPr>
            <w:tcW w:w="4536" w:type="dxa"/>
            <w:gridSpan w:val="2"/>
          </w:tcPr>
          <w:p w:rsidR="00391D67" w:rsidRDefault="00391D67">
            <w:pPr>
              <w:pStyle w:val="Default"/>
              <w:jc w:val="both"/>
            </w:pPr>
            <w:bookmarkStart w:id="12" w:name="t_3_1_3_fj_2805_a1_fm1"/>
            <w:bookmarkEnd w:id="12"/>
            <w:r>
              <w:rPr>
                <w:rFonts w:hint="eastAsia"/>
              </w:rPr>
              <w:t>为满足投资者需求，自2025年11月12日起本基金恢复大额申购、转换转入、定期定额投资业务。</w:t>
            </w:r>
          </w:p>
        </w:tc>
      </w:tr>
      <w:tr w:rsidR="00391D67">
        <w:tc>
          <w:tcPr>
            <w:tcW w:w="4395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</w:tcPr>
          <w:p w:rsidR="00391D67" w:rsidRDefault="00391D67">
            <w:pP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bookmarkStart w:id="13" w:name="t_3_1_3_fj_0011A_a1_fm1"/>
            <w:bookmarkEnd w:id="13"/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工银北证50成份指数A</w:t>
            </w:r>
          </w:p>
        </w:tc>
        <w:tc>
          <w:tcPr>
            <w:tcW w:w="2268" w:type="dxa"/>
          </w:tcPr>
          <w:p w:rsidR="00391D67" w:rsidRDefault="00391D67">
            <w:pP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bookmarkStart w:id="14" w:name="t_3_1_3_fj_0011B_a1_fm1"/>
            <w:bookmarkEnd w:id="14"/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工银北证50成份指数C</w:t>
            </w:r>
          </w:p>
        </w:tc>
      </w:tr>
      <w:tr w:rsidR="00391D67">
        <w:tc>
          <w:tcPr>
            <w:tcW w:w="4395" w:type="dxa"/>
            <w:gridSpan w:val="2"/>
          </w:tcPr>
          <w:p w:rsidR="00391D67" w:rsidRDefault="00391D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</w:tcPr>
          <w:p w:rsidR="00391D67" w:rsidRDefault="00391D67">
            <w:pP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bookmarkStart w:id="15" w:name="t_3_1_3_fj_0012A_a1_fm1"/>
            <w:bookmarkEnd w:id="15"/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018112</w:t>
            </w:r>
          </w:p>
        </w:tc>
        <w:tc>
          <w:tcPr>
            <w:tcW w:w="2268" w:type="dxa"/>
          </w:tcPr>
          <w:p w:rsidR="00391D67" w:rsidRDefault="00391D67">
            <w:pP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bookmarkStart w:id="16" w:name="t_3_1_3_fj_0012B_a1_fm1"/>
            <w:bookmarkStart w:id="17" w:name="t_3_1_3_fj_0012C_a1_fm1"/>
            <w:bookmarkEnd w:id="16"/>
            <w:bookmarkEnd w:id="17"/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018113</w:t>
            </w:r>
          </w:p>
        </w:tc>
      </w:tr>
      <w:tr w:rsidR="00391D67">
        <w:tc>
          <w:tcPr>
            <w:tcW w:w="4395" w:type="dxa"/>
            <w:gridSpan w:val="2"/>
          </w:tcPr>
          <w:p w:rsidR="00391D67" w:rsidRDefault="00391D6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该分级基金是否恢复相关业务</w:t>
            </w:r>
          </w:p>
        </w:tc>
        <w:tc>
          <w:tcPr>
            <w:tcW w:w="2268" w:type="dxa"/>
          </w:tcPr>
          <w:p w:rsidR="00391D67" w:rsidRDefault="00391D6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2268" w:type="dxa"/>
          </w:tcPr>
          <w:p w:rsidR="00391D67" w:rsidRDefault="00391D6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是</w:t>
            </w:r>
          </w:p>
        </w:tc>
      </w:tr>
    </w:tbl>
    <w:p w:rsidR="00391D67" w:rsidRDefault="00391D67">
      <w:pPr>
        <w:pStyle w:val="Default"/>
        <w:rPr>
          <w:rFonts w:hint="eastAsia"/>
          <w:color w:val="auto"/>
          <w:sz w:val="21"/>
          <w:szCs w:val="21"/>
        </w:rPr>
      </w:pPr>
      <w:bookmarkStart w:id="18" w:name="t_3_1_4_fj_table"/>
      <w:bookmarkStart w:id="19" w:name="t_3_1_4_fj_2803_a1_fm1"/>
      <w:bookmarkEnd w:id="18"/>
      <w:bookmarkEnd w:id="19"/>
    </w:p>
    <w:p w:rsidR="00391D67" w:rsidRDefault="00391D67">
      <w:pPr>
        <w:pStyle w:val="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 </w:t>
      </w:r>
      <w:bookmarkStart w:id="20" w:name="t_3_2_table"/>
      <w:bookmarkEnd w:id="20"/>
      <w:r>
        <w:rPr>
          <w:rFonts w:ascii="宋体" w:eastAsia="宋体" w:hAnsi="宋体" w:hint="eastAsia"/>
          <w:sz w:val="28"/>
          <w:szCs w:val="28"/>
        </w:rPr>
        <w:t>其他需要提示的事项</w:t>
      </w:r>
    </w:p>
    <w:p w:rsidR="00391D67" w:rsidRDefault="00391D67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bookmarkStart w:id="21" w:name="t_3_2_2646_a1_fm1"/>
      <w:bookmarkEnd w:id="21"/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、本基金现阶段总份额上限为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亿份，详见工银瑞信基金管理有限公司于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日披露的《关于工银瑞信北证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成份指数证券投资基金规模控制的公告》。</w:t>
      </w:r>
    </w:p>
    <w:p w:rsidR="00391D67" w:rsidRDefault="00391D67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、投资者若希望了解本基金其他业务办理的详细情况，请参阅本基金基金合同、招募说明书及本基金管理人发布的相关公告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或者通过以下任一途径咨询：</w:t>
      </w:r>
    </w:p>
    <w:p w:rsidR="00391D67" w:rsidRDefault="00391D67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）工银瑞信基金客服电话：</w:t>
      </w:r>
      <w:r>
        <w:rPr>
          <w:rFonts w:hint="eastAsia"/>
          <w:sz w:val="24"/>
          <w:szCs w:val="24"/>
        </w:rPr>
        <w:t>400-811-9999</w:t>
      </w:r>
    </w:p>
    <w:p w:rsidR="00391D67" w:rsidRDefault="00391D67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）工银瑞信基金网站：</w:t>
      </w:r>
      <w:r>
        <w:rPr>
          <w:rFonts w:hint="eastAsia"/>
          <w:sz w:val="24"/>
          <w:szCs w:val="24"/>
        </w:rPr>
        <w:t>www.icbc</w:t>
      </w:r>
      <w:r w:rsidR="00762C7B">
        <w:rPr>
          <w:rFonts w:hint="eastAsia"/>
          <w:sz w:val="24"/>
          <w:szCs w:val="24"/>
        </w:rPr>
        <w:t>ubs</w:t>
      </w:r>
      <w:r>
        <w:rPr>
          <w:rFonts w:hint="eastAsia"/>
          <w:sz w:val="24"/>
          <w:szCs w:val="24"/>
        </w:rPr>
        <w:t xml:space="preserve">.com.cn </w:t>
      </w:r>
    </w:p>
    <w:p w:rsidR="00391D67" w:rsidRDefault="00391D67">
      <w:pPr>
        <w:spacing w:line="360" w:lineRule="auto"/>
        <w:ind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、风险提示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本公司承诺以诚实信用、勤勉尽责的原则管理和运用基金资产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但不保证基金一定盈利，也不保证最低收益。敬请投资人注意投资风险。投资者投资基金前应认真阅读基金的基金产品资料概要、基金合同、更新的招募说明书等法律文件，并选择适合自身风险承受能力的投资品种进行投资。</w:t>
      </w:r>
    </w:p>
    <w:p w:rsidR="00391D67" w:rsidRDefault="00391D6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91D67" w:rsidRDefault="00391D67">
      <w:pPr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工银瑞信基金管理有限公司</w:t>
      </w:r>
    </w:p>
    <w:p w:rsidR="00391D67" w:rsidRDefault="00391D67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2025年11月11日</w:t>
      </w:r>
    </w:p>
    <w:sectPr w:rsidR="00391D67">
      <w:headerReference w:type="default" r:id="rId6"/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06" w:rsidRDefault="009B7D06">
      <w:r>
        <w:separator/>
      </w:r>
    </w:p>
  </w:endnote>
  <w:endnote w:type="continuationSeparator" w:id="0">
    <w:p w:rsidR="009B7D06" w:rsidRDefault="009B7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D67" w:rsidRDefault="00391D67">
    <w:pPr>
      <w:pStyle w:val="a9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3C038D" w:rsidRPr="003C038D">
        <w:rPr>
          <w:noProof/>
          <w:lang w:val="en-US" w:eastAsia="zh-CN"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3C038D" w:rsidRPr="003C038D">
        <w:rPr>
          <w:noProof/>
          <w:lang w:val="en-US" w:eastAsia="zh-CN"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06" w:rsidRDefault="009B7D06">
      <w:r>
        <w:separator/>
      </w:r>
    </w:p>
  </w:footnote>
  <w:footnote w:type="continuationSeparator" w:id="0">
    <w:p w:rsidR="009B7D06" w:rsidRDefault="009B7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D67" w:rsidRDefault="00391D67">
    <w:pPr>
      <w:pStyle w:val="aa"/>
      <w:jc w:val="center"/>
    </w:pPr>
    <w:r>
      <w:rPr>
        <w:rFonts w:ascii="宋体" w:hAnsi="宋体" w:hint="eastAsia"/>
        <w:szCs w:val="18"/>
      </w:rPr>
      <w:t>关于恢复工银瑞信北证50成份指数证券投资基金大额申购、转换转入及定期定额投资业务的公告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5ED4"/>
    <w:rsid w:val="00025B1C"/>
    <w:rsid w:val="00047FC5"/>
    <w:rsid w:val="000540B4"/>
    <w:rsid w:val="00054256"/>
    <w:rsid w:val="00060560"/>
    <w:rsid w:val="0006521D"/>
    <w:rsid w:val="000A4BF1"/>
    <w:rsid w:val="000B5003"/>
    <w:rsid w:val="000C01EC"/>
    <w:rsid w:val="000C7C7C"/>
    <w:rsid w:val="000E79C2"/>
    <w:rsid w:val="000F2D41"/>
    <w:rsid w:val="000F7CA2"/>
    <w:rsid w:val="001205E8"/>
    <w:rsid w:val="00132594"/>
    <w:rsid w:val="00162D98"/>
    <w:rsid w:val="001707AF"/>
    <w:rsid w:val="00172A27"/>
    <w:rsid w:val="001A1F8E"/>
    <w:rsid w:val="00206A5A"/>
    <w:rsid w:val="00211E70"/>
    <w:rsid w:val="00216E56"/>
    <w:rsid w:val="00241CB6"/>
    <w:rsid w:val="00277AEA"/>
    <w:rsid w:val="002817E0"/>
    <w:rsid w:val="002B5FF6"/>
    <w:rsid w:val="002D383D"/>
    <w:rsid w:val="002D79CC"/>
    <w:rsid w:val="002E0AA2"/>
    <w:rsid w:val="0032344B"/>
    <w:rsid w:val="00346342"/>
    <w:rsid w:val="003711E6"/>
    <w:rsid w:val="00386B5E"/>
    <w:rsid w:val="00391D67"/>
    <w:rsid w:val="003B3FFC"/>
    <w:rsid w:val="003C038D"/>
    <w:rsid w:val="003F4905"/>
    <w:rsid w:val="003F735E"/>
    <w:rsid w:val="004019A4"/>
    <w:rsid w:val="004147CB"/>
    <w:rsid w:val="00427033"/>
    <w:rsid w:val="00437C71"/>
    <w:rsid w:val="004417BC"/>
    <w:rsid w:val="00450BEF"/>
    <w:rsid w:val="00487A46"/>
    <w:rsid w:val="004A5E64"/>
    <w:rsid w:val="004D6203"/>
    <w:rsid w:val="004F7E79"/>
    <w:rsid w:val="00514F7F"/>
    <w:rsid w:val="00544FD5"/>
    <w:rsid w:val="0057291D"/>
    <w:rsid w:val="0058315A"/>
    <w:rsid w:val="0058665E"/>
    <w:rsid w:val="005A051C"/>
    <w:rsid w:val="005B6A56"/>
    <w:rsid w:val="005B765A"/>
    <w:rsid w:val="005C1B87"/>
    <w:rsid w:val="005D0974"/>
    <w:rsid w:val="005F5F24"/>
    <w:rsid w:val="006212EF"/>
    <w:rsid w:val="0064356A"/>
    <w:rsid w:val="0066431D"/>
    <w:rsid w:val="00673140"/>
    <w:rsid w:val="00680B48"/>
    <w:rsid w:val="00695AEC"/>
    <w:rsid w:val="006B7B6D"/>
    <w:rsid w:val="006B7C3E"/>
    <w:rsid w:val="006C3112"/>
    <w:rsid w:val="0071474A"/>
    <w:rsid w:val="00732559"/>
    <w:rsid w:val="00736FF5"/>
    <w:rsid w:val="00740507"/>
    <w:rsid w:val="00756139"/>
    <w:rsid w:val="00762C7B"/>
    <w:rsid w:val="00774464"/>
    <w:rsid w:val="007852D4"/>
    <w:rsid w:val="007977DA"/>
    <w:rsid w:val="007A4004"/>
    <w:rsid w:val="007A48B2"/>
    <w:rsid w:val="007B4468"/>
    <w:rsid w:val="007C5ED7"/>
    <w:rsid w:val="007D0BA5"/>
    <w:rsid w:val="007E2E46"/>
    <w:rsid w:val="00816932"/>
    <w:rsid w:val="008216BB"/>
    <w:rsid w:val="00827120"/>
    <w:rsid w:val="008724CD"/>
    <w:rsid w:val="00874DAF"/>
    <w:rsid w:val="00874F01"/>
    <w:rsid w:val="00876C07"/>
    <w:rsid w:val="008868BB"/>
    <w:rsid w:val="008A27A3"/>
    <w:rsid w:val="008D6CC1"/>
    <w:rsid w:val="009028A5"/>
    <w:rsid w:val="00904EA3"/>
    <w:rsid w:val="00910625"/>
    <w:rsid w:val="00927CCD"/>
    <w:rsid w:val="00935415"/>
    <w:rsid w:val="009466C1"/>
    <w:rsid w:val="009802D7"/>
    <w:rsid w:val="0099663B"/>
    <w:rsid w:val="009B2F61"/>
    <w:rsid w:val="009B7D06"/>
    <w:rsid w:val="009C35DF"/>
    <w:rsid w:val="009D4A71"/>
    <w:rsid w:val="009E1C2A"/>
    <w:rsid w:val="009F480A"/>
    <w:rsid w:val="009F55ED"/>
    <w:rsid w:val="00A14A13"/>
    <w:rsid w:val="00A27BFA"/>
    <w:rsid w:val="00A30BCE"/>
    <w:rsid w:val="00A46DFB"/>
    <w:rsid w:val="00A501FA"/>
    <w:rsid w:val="00A57156"/>
    <w:rsid w:val="00A734F9"/>
    <w:rsid w:val="00A751E9"/>
    <w:rsid w:val="00A966D1"/>
    <w:rsid w:val="00AA7C54"/>
    <w:rsid w:val="00AB52E0"/>
    <w:rsid w:val="00AB78E2"/>
    <w:rsid w:val="00AC4156"/>
    <w:rsid w:val="00AE75AE"/>
    <w:rsid w:val="00B05B2D"/>
    <w:rsid w:val="00B16DF6"/>
    <w:rsid w:val="00B37131"/>
    <w:rsid w:val="00B60899"/>
    <w:rsid w:val="00B632CE"/>
    <w:rsid w:val="00B87B5B"/>
    <w:rsid w:val="00BB148A"/>
    <w:rsid w:val="00BB4A53"/>
    <w:rsid w:val="00BE7F99"/>
    <w:rsid w:val="00C10614"/>
    <w:rsid w:val="00C13E2F"/>
    <w:rsid w:val="00C15A20"/>
    <w:rsid w:val="00C276CA"/>
    <w:rsid w:val="00C61809"/>
    <w:rsid w:val="00C834DA"/>
    <w:rsid w:val="00CB2EFE"/>
    <w:rsid w:val="00CC4B6E"/>
    <w:rsid w:val="00CE5324"/>
    <w:rsid w:val="00CE677B"/>
    <w:rsid w:val="00CF648B"/>
    <w:rsid w:val="00D12C34"/>
    <w:rsid w:val="00D43DB6"/>
    <w:rsid w:val="00D546ED"/>
    <w:rsid w:val="00D5799C"/>
    <w:rsid w:val="00D61024"/>
    <w:rsid w:val="00D632B6"/>
    <w:rsid w:val="00D9532D"/>
    <w:rsid w:val="00DA773D"/>
    <w:rsid w:val="00DD1E7F"/>
    <w:rsid w:val="00DF3392"/>
    <w:rsid w:val="00E001C9"/>
    <w:rsid w:val="00E11AF7"/>
    <w:rsid w:val="00E130B5"/>
    <w:rsid w:val="00E25B7C"/>
    <w:rsid w:val="00E34423"/>
    <w:rsid w:val="00E464E2"/>
    <w:rsid w:val="00E60A62"/>
    <w:rsid w:val="00E74D0F"/>
    <w:rsid w:val="00E76BA1"/>
    <w:rsid w:val="00EC325D"/>
    <w:rsid w:val="00ED2F18"/>
    <w:rsid w:val="00ED36BB"/>
    <w:rsid w:val="00EF6759"/>
    <w:rsid w:val="00F034ED"/>
    <w:rsid w:val="00F20E11"/>
    <w:rsid w:val="00F26279"/>
    <w:rsid w:val="00F2634A"/>
    <w:rsid w:val="00F276D3"/>
    <w:rsid w:val="00F50697"/>
    <w:rsid w:val="00F76975"/>
    <w:rsid w:val="00F849A4"/>
    <w:rsid w:val="00F9757A"/>
    <w:rsid w:val="00FB118E"/>
    <w:rsid w:val="00FC1D09"/>
    <w:rsid w:val="00FC22B5"/>
    <w:rsid w:val="00FC505B"/>
    <w:rsid w:val="00FD0CFB"/>
    <w:rsid w:val="00FD4DB8"/>
    <w:rsid w:val="14617C33"/>
    <w:rsid w:val="21796B39"/>
    <w:rsid w:val="378460B4"/>
    <w:rsid w:val="512E5680"/>
    <w:rsid w:val="525E4FB3"/>
    <w:rsid w:val="66C2507E"/>
    <w:rsid w:val="68032B43"/>
    <w:rsid w:val="772A28F7"/>
    <w:rsid w:val="79E3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  <w:lang w:val="en-US" w:eastAsia="zh-CN" w:bidi="ar-SA"/>
    </w:rPr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character" w:customStyle="1" w:styleId="a6">
    <w:name w:val="批注文字 字符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kern w:val="2"/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annotation subject"/>
    <w:basedOn w:val="a5"/>
    <w:next w:val="a5"/>
    <w:link w:val="ac"/>
    <w:uiPriority w:val="99"/>
    <w:unhideWhenUsed/>
    <w:rPr>
      <w:b/>
      <w:bCs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</w:rPr>
  </w:style>
  <w:style w:type="character" w:styleId="ad">
    <w:name w:val="annotation reference"/>
    <w:uiPriority w:val="99"/>
    <w:unhideWhenUsed/>
    <w:rPr>
      <w:sz w:val="21"/>
      <w:szCs w:val="21"/>
    </w:rPr>
  </w:style>
  <w:style w:type="paragraph" w:styleId="ae">
    <w:name w:val="Revision"/>
    <w:uiPriority w:val="99"/>
    <w:semiHidden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729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朱峰</dc:creator>
  <cp:keywords/>
  <cp:lastModifiedBy>ZHONGM</cp:lastModifiedBy>
  <cp:revision>2</cp:revision>
  <cp:lastPrinted>2025-11-10T05:58:00Z</cp:lastPrinted>
  <dcterms:created xsi:type="dcterms:W3CDTF">2025-11-10T16:01:00Z</dcterms:created>
  <dcterms:modified xsi:type="dcterms:W3CDTF">2025-11-10T16:01:00Z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45E07322C94F474A8033C67BCEB9FAF5</vt:lpwstr>
  </property>
</Properties>
</file>