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8436C4" w:rsidP="000E78A0">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融通通恒</w:t>
      </w:r>
      <w:r>
        <w:rPr>
          <w:rFonts w:cs="宋体" w:hint="eastAsia"/>
          <w:b/>
          <w:bCs/>
          <w:color w:val="1A1A1A"/>
          <w:kern w:val="36"/>
          <w:sz w:val="28"/>
          <w:szCs w:val="28"/>
        </w:rPr>
        <w:t>63</w:t>
      </w:r>
      <w:r>
        <w:rPr>
          <w:rFonts w:cs="宋体" w:hint="eastAsia"/>
          <w:b/>
          <w:bCs/>
          <w:color w:val="1A1A1A"/>
          <w:kern w:val="36"/>
          <w:sz w:val="28"/>
          <w:szCs w:val="28"/>
        </w:rPr>
        <w:t>个月定期开放债券型证券投资基金</w:t>
      </w:r>
      <w:r w:rsidR="000E78A0" w:rsidRPr="000E78A0">
        <w:rPr>
          <w:rFonts w:cs="宋体" w:hint="eastAsia"/>
          <w:b/>
          <w:bCs/>
          <w:color w:val="1A1A1A"/>
          <w:kern w:val="36"/>
          <w:sz w:val="28"/>
          <w:szCs w:val="28"/>
        </w:rPr>
        <w:t>新增</w:t>
      </w:r>
      <w:r w:rsidR="000E78A0" w:rsidRPr="000E78A0">
        <w:rPr>
          <w:rFonts w:cs="宋体"/>
          <w:b/>
          <w:bCs/>
          <w:color w:val="1A1A1A"/>
          <w:kern w:val="36"/>
          <w:sz w:val="28"/>
          <w:szCs w:val="28"/>
        </w:rPr>
        <w:br/>
      </w:r>
      <w:r w:rsidR="00DE2532">
        <w:rPr>
          <w:rFonts w:cs="宋体" w:hint="eastAsia"/>
          <w:b/>
          <w:bCs/>
          <w:color w:val="1A1A1A"/>
          <w:kern w:val="36"/>
          <w:sz w:val="28"/>
          <w:szCs w:val="28"/>
        </w:rPr>
        <w:t>兴业银行股份有限公司</w:t>
      </w:r>
      <w:r w:rsidR="000E78A0" w:rsidRPr="000E78A0">
        <w:rPr>
          <w:rFonts w:cs="宋体" w:hint="eastAsia"/>
          <w:b/>
          <w:bCs/>
          <w:color w:val="1A1A1A"/>
          <w:kern w:val="36"/>
          <w:sz w:val="28"/>
          <w:szCs w:val="28"/>
        </w:rPr>
        <w:t>为销售机构的公告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DE2532">
        <w:rPr>
          <w:rFonts w:cs="宋体" w:hint="eastAsia"/>
          <w:color w:val="1A1A1A"/>
          <w:kern w:val="36"/>
          <w:sz w:val="24"/>
        </w:rPr>
        <w:t>兴业银行股份有限公司</w:t>
      </w:r>
      <w:r w:rsidR="00CF4737" w:rsidRPr="000E78A0">
        <w:rPr>
          <w:rFonts w:cs="宋体" w:hint="eastAsia"/>
          <w:color w:val="1A1A1A"/>
          <w:kern w:val="36"/>
          <w:sz w:val="24"/>
        </w:rPr>
        <w:t>（以下简称“</w:t>
      </w:r>
      <w:r w:rsidR="00DE2532">
        <w:rPr>
          <w:rFonts w:cs="宋体" w:hint="eastAsia"/>
          <w:color w:val="1A1A1A"/>
          <w:kern w:val="36"/>
          <w:sz w:val="24"/>
        </w:rPr>
        <w:t>兴业银行</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DE2532">
        <w:rPr>
          <w:rFonts w:cs="宋体"/>
          <w:color w:val="1A1A1A"/>
          <w:kern w:val="36"/>
          <w:sz w:val="24"/>
        </w:rPr>
        <w:t>2025</w:t>
      </w:r>
      <w:r w:rsidR="00DE2532">
        <w:rPr>
          <w:rFonts w:cs="宋体"/>
          <w:color w:val="1A1A1A"/>
          <w:kern w:val="36"/>
          <w:sz w:val="24"/>
        </w:rPr>
        <w:t>年</w:t>
      </w:r>
      <w:r w:rsidR="00DE2532">
        <w:rPr>
          <w:rFonts w:cs="宋体"/>
          <w:color w:val="1A1A1A"/>
          <w:kern w:val="36"/>
          <w:sz w:val="24"/>
        </w:rPr>
        <w:t>11</w:t>
      </w:r>
      <w:r w:rsidR="00DE2532">
        <w:rPr>
          <w:rFonts w:cs="宋体"/>
          <w:color w:val="1A1A1A"/>
          <w:kern w:val="36"/>
          <w:sz w:val="24"/>
        </w:rPr>
        <w:t>月</w:t>
      </w:r>
      <w:r w:rsidR="00DE2532">
        <w:rPr>
          <w:rFonts w:cs="宋体"/>
          <w:color w:val="1A1A1A"/>
          <w:kern w:val="36"/>
          <w:sz w:val="24"/>
        </w:rPr>
        <w:t>11</w:t>
      </w:r>
      <w:r w:rsidR="00DE2532">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w:t>
      </w:r>
      <w:r w:rsidR="008436C4">
        <w:rPr>
          <w:rFonts w:cs="宋体" w:hint="eastAsia"/>
          <w:color w:val="1A1A1A"/>
          <w:kern w:val="36"/>
          <w:sz w:val="24"/>
        </w:rPr>
        <w:t>融通通恒</w:t>
      </w:r>
      <w:r w:rsidR="008436C4">
        <w:rPr>
          <w:rFonts w:cs="宋体" w:hint="eastAsia"/>
          <w:color w:val="1A1A1A"/>
          <w:kern w:val="36"/>
          <w:sz w:val="24"/>
        </w:rPr>
        <w:t>63</w:t>
      </w:r>
      <w:r w:rsidR="008436C4">
        <w:rPr>
          <w:rFonts w:cs="宋体" w:hint="eastAsia"/>
          <w:color w:val="1A1A1A"/>
          <w:kern w:val="36"/>
          <w:sz w:val="24"/>
        </w:rPr>
        <w:t>个月定期开放债券型证券投资基金</w:t>
      </w:r>
      <w:r w:rsidR="003C4B44" w:rsidRPr="000E78A0">
        <w:rPr>
          <w:rFonts w:cs="宋体" w:hint="eastAsia"/>
          <w:color w:val="1A1A1A"/>
          <w:kern w:val="36"/>
          <w:sz w:val="24"/>
        </w:rPr>
        <w:t>新增</w:t>
      </w:r>
      <w:r w:rsidR="00DE2532">
        <w:rPr>
          <w:rFonts w:ascii="宋体" w:hAnsi="宋体" w:cs="宋体" w:hint="eastAsia"/>
          <w:color w:val="1A1A1A"/>
          <w:kern w:val="36"/>
          <w:sz w:val="24"/>
        </w:rPr>
        <w:t>兴业银行</w:t>
      </w:r>
      <w:r w:rsidR="008436C4">
        <w:rPr>
          <w:rFonts w:ascii="宋体" w:hAnsi="宋体" w:cs="宋体" w:hint="eastAsia"/>
          <w:color w:val="1A1A1A"/>
          <w:kern w:val="36"/>
          <w:sz w:val="24"/>
        </w:rPr>
        <w:t>旗下</w:t>
      </w:r>
      <w:r w:rsidR="00DE2532" w:rsidRPr="00DE2532">
        <w:rPr>
          <w:rFonts w:ascii="宋体" w:hAnsi="宋体" w:cs="宋体" w:hint="eastAsia"/>
          <w:color w:val="1A1A1A"/>
          <w:kern w:val="36"/>
          <w:sz w:val="24"/>
        </w:rPr>
        <w:t>银银</w:t>
      </w:r>
      <w:r w:rsidR="008436C4">
        <w:rPr>
          <w:rFonts w:ascii="宋体" w:hAnsi="宋体" w:cs="宋体" w:hint="eastAsia"/>
          <w:color w:val="1A1A1A"/>
          <w:kern w:val="36"/>
          <w:sz w:val="24"/>
        </w:rPr>
        <w:t>平台</w:t>
      </w:r>
      <w:r w:rsidR="003C4B44" w:rsidRPr="000E78A0">
        <w:rPr>
          <w:rFonts w:cs="宋体" w:hint="eastAsia"/>
          <w:color w:val="1A1A1A"/>
          <w:kern w:val="36"/>
          <w:sz w:val="24"/>
        </w:rPr>
        <w:t>为销售机构</w:t>
      </w:r>
      <w:r w:rsidRPr="000E78A0">
        <w:rPr>
          <w:rFonts w:cs="宋体" w:hint="eastAsia"/>
          <w:color w:val="1A1A1A"/>
          <w:kern w:val="36"/>
          <w:sz w:val="24"/>
        </w:rPr>
        <w:t>。现将有关事项公告如下：</w:t>
      </w:r>
    </w:p>
    <w:p w:rsidR="00AA7E37" w:rsidRPr="000E78A0"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hint="eastAsia"/>
          <w:b/>
          <w:color w:val="1A1A1A"/>
          <w:kern w:val="36"/>
          <w:sz w:val="24"/>
        </w:rPr>
      </w:pPr>
      <w:r w:rsidRPr="000E78A0">
        <w:rPr>
          <w:rFonts w:cs="宋体" w:hint="eastAsia"/>
          <w:b/>
          <w:color w:val="1A1A1A"/>
          <w:kern w:val="36"/>
          <w:sz w:val="24"/>
        </w:rPr>
        <w:t>适用基金及业务范围</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096"/>
      </w:tblGrid>
      <w:tr w:rsidR="008436C4" w:rsidRPr="000E78A0" w:rsidTr="008436C4">
        <w:trPr>
          <w:trHeight w:val="632"/>
        </w:trPr>
        <w:tc>
          <w:tcPr>
            <w:tcW w:w="2268" w:type="dxa"/>
            <w:vAlign w:val="center"/>
          </w:tcPr>
          <w:p w:rsidR="008436C4" w:rsidRPr="000E78A0" w:rsidRDefault="008436C4"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基金代码</w:t>
            </w:r>
          </w:p>
        </w:tc>
        <w:tc>
          <w:tcPr>
            <w:tcW w:w="6096" w:type="dxa"/>
            <w:vAlign w:val="center"/>
          </w:tcPr>
          <w:p w:rsidR="008436C4" w:rsidRPr="000E78A0" w:rsidRDefault="008436C4"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基金名称</w:t>
            </w:r>
          </w:p>
        </w:tc>
      </w:tr>
      <w:tr w:rsidR="008436C4" w:rsidRPr="000E78A0" w:rsidTr="008436C4">
        <w:tc>
          <w:tcPr>
            <w:tcW w:w="2268" w:type="dxa"/>
            <w:vAlign w:val="center"/>
          </w:tcPr>
          <w:p w:rsidR="008436C4" w:rsidRPr="000E78A0" w:rsidRDefault="008436C4" w:rsidP="008436C4">
            <w:pPr>
              <w:pStyle w:val="ab"/>
              <w:widowControl/>
              <w:spacing w:line="360" w:lineRule="auto"/>
              <w:ind w:firstLineChars="0" w:firstLine="0"/>
              <w:jc w:val="center"/>
              <w:outlineLvl w:val="0"/>
              <w:rPr>
                <w:rFonts w:cs="宋体" w:hint="eastAsia"/>
                <w:color w:val="1A1A1A"/>
                <w:kern w:val="36"/>
                <w:sz w:val="24"/>
              </w:rPr>
            </w:pPr>
            <w:r w:rsidRPr="008436C4">
              <w:rPr>
                <w:rFonts w:cs="宋体"/>
                <w:color w:val="1A1A1A"/>
                <w:kern w:val="36"/>
                <w:sz w:val="24"/>
              </w:rPr>
              <w:t>007988</w:t>
            </w:r>
            <w:r w:rsidRPr="00790830">
              <w:rPr>
                <w:rFonts w:cs="宋体" w:hint="eastAsia"/>
                <w:color w:val="1A1A1A"/>
                <w:kern w:val="36"/>
                <w:sz w:val="24"/>
              </w:rPr>
              <w:t xml:space="preserve"> (</w:t>
            </w:r>
            <w:r>
              <w:rPr>
                <w:rFonts w:cs="宋体"/>
                <w:color w:val="1A1A1A"/>
                <w:kern w:val="36"/>
                <w:sz w:val="24"/>
              </w:rPr>
              <w:t>A</w:t>
            </w:r>
            <w:r w:rsidRPr="00790830">
              <w:rPr>
                <w:rFonts w:cs="宋体" w:hint="eastAsia"/>
                <w:color w:val="1A1A1A"/>
                <w:kern w:val="36"/>
                <w:sz w:val="24"/>
              </w:rPr>
              <w:t>类</w:t>
            </w:r>
            <w:r w:rsidRPr="00790830">
              <w:rPr>
                <w:rFonts w:cs="宋体" w:hint="eastAsia"/>
                <w:color w:val="1A1A1A"/>
                <w:kern w:val="36"/>
                <w:sz w:val="24"/>
              </w:rPr>
              <w:t>)</w:t>
            </w:r>
          </w:p>
        </w:tc>
        <w:tc>
          <w:tcPr>
            <w:tcW w:w="6096" w:type="dxa"/>
            <w:vAlign w:val="center"/>
          </w:tcPr>
          <w:p w:rsidR="008436C4" w:rsidRPr="000E78A0" w:rsidRDefault="008436C4" w:rsidP="003E0CC5">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融通通恒</w:t>
            </w:r>
            <w:r>
              <w:rPr>
                <w:rFonts w:cs="宋体" w:hint="eastAsia"/>
                <w:color w:val="1A1A1A"/>
                <w:kern w:val="36"/>
                <w:sz w:val="24"/>
              </w:rPr>
              <w:t>63</w:t>
            </w:r>
            <w:r>
              <w:rPr>
                <w:rFonts w:cs="宋体" w:hint="eastAsia"/>
                <w:color w:val="1A1A1A"/>
                <w:kern w:val="36"/>
                <w:sz w:val="24"/>
              </w:rPr>
              <w:t>个月定期开放债券型证券投资基金</w:t>
            </w:r>
          </w:p>
        </w:tc>
      </w:tr>
    </w:tbl>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8436C4" w:rsidRDefault="00DE2532" w:rsidP="008436C4">
      <w:pPr>
        <w:numPr>
          <w:ilvl w:val="0"/>
          <w:numId w:val="15"/>
        </w:numPr>
        <w:spacing w:line="360" w:lineRule="auto"/>
        <w:ind w:leftChars="50" w:left="513" w:hanging="408"/>
        <w:rPr>
          <w:rFonts w:ascii="宋体" w:hAnsi="宋体" w:cs="宋体"/>
          <w:color w:val="1A1A1A"/>
          <w:kern w:val="36"/>
          <w:sz w:val="24"/>
        </w:rPr>
      </w:pPr>
      <w:r>
        <w:rPr>
          <w:rFonts w:ascii="宋体" w:hAnsi="宋体" w:cs="宋体" w:hint="eastAsia"/>
          <w:color w:val="1A1A1A"/>
          <w:kern w:val="36"/>
          <w:sz w:val="24"/>
        </w:rPr>
        <w:t>兴业银行</w:t>
      </w:r>
      <w:r w:rsidRPr="00DE2532">
        <w:rPr>
          <w:rFonts w:ascii="宋体" w:hAnsi="宋体" w:cs="宋体" w:hint="eastAsia"/>
          <w:color w:val="1A1A1A"/>
          <w:kern w:val="36"/>
          <w:sz w:val="24"/>
        </w:rPr>
        <w:t>银银平台</w:t>
      </w:r>
    </w:p>
    <w:p w:rsidR="008436C4" w:rsidRDefault="008436C4" w:rsidP="008436C4">
      <w:pPr>
        <w:widowControl/>
        <w:shd w:val="clear" w:color="auto" w:fill="FFFFFF"/>
        <w:wordWrap w:val="0"/>
        <w:spacing w:line="360" w:lineRule="auto"/>
        <w:ind w:firstLine="562"/>
        <w:jc w:val="left"/>
        <w:outlineLvl w:val="0"/>
        <w:rPr>
          <w:rFonts w:ascii="宋体" w:hAnsi="宋体" w:cs="宋体"/>
          <w:color w:val="1A1A1A"/>
          <w:kern w:val="36"/>
          <w:sz w:val="24"/>
        </w:rPr>
      </w:pPr>
      <w:r>
        <w:rPr>
          <w:rFonts w:ascii="宋体" w:hAnsi="宋体" w:cs="宋体" w:hint="eastAsia"/>
          <w:color w:val="1A1A1A"/>
          <w:kern w:val="36"/>
          <w:sz w:val="24"/>
        </w:rPr>
        <w:t>网址：</w:t>
      </w:r>
      <w:r w:rsidR="00DE2532" w:rsidRPr="00B8637A">
        <w:rPr>
          <w:sz w:val="24"/>
        </w:rPr>
        <w:t>https://f.cib.com.cn/firm/main/mainx</w:t>
      </w:r>
    </w:p>
    <w:p w:rsidR="008436C4" w:rsidRDefault="008436C4" w:rsidP="008436C4">
      <w:pPr>
        <w:widowControl/>
        <w:shd w:val="clear" w:color="auto" w:fill="FFFFFF"/>
        <w:wordWrap w:val="0"/>
        <w:spacing w:line="360" w:lineRule="auto"/>
        <w:ind w:firstLine="562"/>
        <w:jc w:val="left"/>
        <w:outlineLvl w:val="0"/>
        <w:rPr>
          <w:rFonts w:ascii="宋体" w:hAnsi="宋体" w:cs="宋体"/>
          <w:color w:val="1A1A1A"/>
          <w:kern w:val="36"/>
          <w:sz w:val="24"/>
        </w:rPr>
      </w:pPr>
      <w:r>
        <w:rPr>
          <w:rFonts w:ascii="宋体" w:hAnsi="宋体" w:cs="宋体" w:hint="eastAsia"/>
          <w:color w:val="1A1A1A"/>
          <w:kern w:val="36"/>
          <w:sz w:val="24"/>
        </w:rPr>
        <w:t>联系电话：</w:t>
      </w:r>
      <w:r w:rsidR="00DE2532" w:rsidRPr="00B8637A">
        <w:rPr>
          <w:sz w:val="24"/>
        </w:rPr>
        <w:t>95561</w:t>
      </w:r>
    </w:p>
    <w:p w:rsidR="008436C4" w:rsidRPr="00790830" w:rsidRDefault="008436C4" w:rsidP="001E1C3D">
      <w:pPr>
        <w:spacing w:line="360" w:lineRule="auto"/>
        <w:ind w:left="513"/>
        <w:rPr>
          <w:sz w:val="24"/>
        </w:rPr>
      </w:pP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lastRenderedPageBreak/>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DE2532"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11</w:t>
      </w:r>
      <w:r>
        <w:rPr>
          <w:rFonts w:cs="宋体"/>
          <w:color w:val="1A1A1A"/>
          <w:kern w:val="36"/>
          <w:sz w:val="24"/>
        </w:rPr>
        <w:t>月</w:t>
      </w:r>
      <w:r>
        <w:rPr>
          <w:rFonts w:cs="宋体"/>
          <w:color w:val="1A1A1A"/>
          <w:kern w:val="36"/>
          <w:sz w:val="24"/>
        </w:rPr>
        <w:t>11</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B51" w:rsidRDefault="00427B51" w:rsidP="00BC1946">
      <w:r>
        <w:separator/>
      </w:r>
    </w:p>
  </w:endnote>
  <w:endnote w:type="continuationSeparator" w:id="0">
    <w:p w:rsidR="00427B51" w:rsidRDefault="00427B51"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E74390" w:rsidRPr="00E74390">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B51" w:rsidRDefault="00427B51" w:rsidP="00BC1946">
      <w:r>
        <w:separator/>
      </w:r>
    </w:p>
  </w:footnote>
  <w:footnote w:type="continuationSeparator" w:id="0">
    <w:p w:rsidR="00427B51" w:rsidRDefault="00427B51"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075C"/>
    <w:rsid w:val="000016D9"/>
    <w:rsid w:val="00003D38"/>
    <w:rsid w:val="00004063"/>
    <w:rsid w:val="00010E0B"/>
    <w:rsid w:val="000160A3"/>
    <w:rsid w:val="00031B8E"/>
    <w:rsid w:val="00031DAE"/>
    <w:rsid w:val="00034DCA"/>
    <w:rsid w:val="00037D42"/>
    <w:rsid w:val="000400BB"/>
    <w:rsid w:val="00081B12"/>
    <w:rsid w:val="00083B6F"/>
    <w:rsid w:val="00086E84"/>
    <w:rsid w:val="00097509"/>
    <w:rsid w:val="000B0D54"/>
    <w:rsid w:val="000B104A"/>
    <w:rsid w:val="000C32A3"/>
    <w:rsid w:val="000C56E3"/>
    <w:rsid w:val="000D3143"/>
    <w:rsid w:val="000E1D1F"/>
    <w:rsid w:val="000E2264"/>
    <w:rsid w:val="000E5686"/>
    <w:rsid w:val="000E78A0"/>
    <w:rsid w:val="000F1282"/>
    <w:rsid w:val="00100C7E"/>
    <w:rsid w:val="00106DDE"/>
    <w:rsid w:val="001164D3"/>
    <w:rsid w:val="001246F3"/>
    <w:rsid w:val="00127F55"/>
    <w:rsid w:val="00143831"/>
    <w:rsid w:val="00152703"/>
    <w:rsid w:val="00156728"/>
    <w:rsid w:val="0016056E"/>
    <w:rsid w:val="00167765"/>
    <w:rsid w:val="00173D1D"/>
    <w:rsid w:val="001806B1"/>
    <w:rsid w:val="00186FCF"/>
    <w:rsid w:val="00195AFE"/>
    <w:rsid w:val="001C1CEB"/>
    <w:rsid w:val="001D6060"/>
    <w:rsid w:val="001E1C3D"/>
    <w:rsid w:val="001F3BEC"/>
    <w:rsid w:val="001F76D1"/>
    <w:rsid w:val="002032BF"/>
    <w:rsid w:val="00210621"/>
    <w:rsid w:val="00215E9E"/>
    <w:rsid w:val="002222A9"/>
    <w:rsid w:val="0022562A"/>
    <w:rsid w:val="00236506"/>
    <w:rsid w:val="00244030"/>
    <w:rsid w:val="00250E1C"/>
    <w:rsid w:val="00251BED"/>
    <w:rsid w:val="0025678A"/>
    <w:rsid w:val="00270E6D"/>
    <w:rsid w:val="00295CC4"/>
    <w:rsid w:val="002A0D31"/>
    <w:rsid w:val="002A5269"/>
    <w:rsid w:val="002E0411"/>
    <w:rsid w:val="002E0D0E"/>
    <w:rsid w:val="002E3129"/>
    <w:rsid w:val="002F25B9"/>
    <w:rsid w:val="002F75F8"/>
    <w:rsid w:val="00305F0D"/>
    <w:rsid w:val="00317B89"/>
    <w:rsid w:val="00325257"/>
    <w:rsid w:val="00333922"/>
    <w:rsid w:val="00357116"/>
    <w:rsid w:val="00360E8D"/>
    <w:rsid w:val="003627E7"/>
    <w:rsid w:val="003664F3"/>
    <w:rsid w:val="003668F9"/>
    <w:rsid w:val="0037194E"/>
    <w:rsid w:val="00375FBA"/>
    <w:rsid w:val="00381CE3"/>
    <w:rsid w:val="00384B8D"/>
    <w:rsid w:val="00395CBA"/>
    <w:rsid w:val="003A5280"/>
    <w:rsid w:val="003C2DB6"/>
    <w:rsid w:val="003C4805"/>
    <w:rsid w:val="003C4B44"/>
    <w:rsid w:val="003D1F56"/>
    <w:rsid w:val="003E0CC5"/>
    <w:rsid w:val="003E37E0"/>
    <w:rsid w:val="003F37EB"/>
    <w:rsid w:val="004034D7"/>
    <w:rsid w:val="00403A0E"/>
    <w:rsid w:val="00405222"/>
    <w:rsid w:val="00405757"/>
    <w:rsid w:val="00407BE6"/>
    <w:rsid w:val="00410B14"/>
    <w:rsid w:val="00410D17"/>
    <w:rsid w:val="00413C12"/>
    <w:rsid w:val="004262B7"/>
    <w:rsid w:val="00427B51"/>
    <w:rsid w:val="004304BF"/>
    <w:rsid w:val="0043422D"/>
    <w:rsid w:val="004373A2"/>
    <w:rsid w:val="00440469"/>
    <w:rsid w:val="0045737F"/>
    <w:rsid w:val="0046602B"/>
    <w:rsid w:val="0046708A"/>
    <w:rsid w:val="00482693"/>
    <w:rsid w:val="004B03FE"/>
    <w:rsid w:val="004B5CB4"/>
    <w:rsid w:val="004C129B"/>
    <w:rsid w:val="004C3954"/>
    <w:rsid w:val="004D4A46"/>
    <w:rsid w:val="004F75C4"/>
    <w:rsid w:val="00500252"/>
    <w:rsid w:val="00501A96"/>
    <w:rsid w:val="005054AC"/>
    <w:rsid w:val="00526DFC"/>
    <w:rsid w:val="00541FE3"/>
    <w:rsid w:val="005515E7"/>
    <w:rsid w:val="00576734"/>
    <w:rsid w:val="005800F8"/>
    <w:rsid w:val="005A69A8"/>
    <w:rsid w:val="005B06B0"/>
    <w:rsid w:val="005C1540"/>
    <w:rsid w:val="005E6F5B"/>
    <w:rsid w:val="00624594"/>
    <w:rsid w:val="00625B5B"/>
    <w:rsid w:val="0064100F"/>
    <w:rsid w:val="0064419C"/>
    <w:rsid w:val="00646298"/>
    <w:rsid w:val="00667259"/>
    <w:rsid w:val="00682FA2"/>
    <w:rsid w:val="0068335A"/>
    <w:rsid w:val="006839D6"/>
    <w:rsid w:val="006A5FE6"/>
    <w:rsid w:val="006D11C8"/>
    <w:rsid w:val="006D36CF"/>
    <w:rsid w:val="006F6638"/>
    <w:rsid w:val="007219DC"/>
    <w:rsid w:val="00723881"/>
    <w:rsid w:val="00725E1D"/>
    <w:rsid w:val="0074790B"/>
    <w:rsid w:val="0075090F"/>
    <w:rsid w:val="00751D98"/>
    <w:rsid w:val="00754664"/>
    <w:rsid w:val="007725CC"/>
    <w:rsid w:val="0078747F"/>
    <w:rsid w:val="007A029D"/>
    <w:rsid w:val="007A38C6"/>
    <w:rsid w:val="007B609B"/>
    <w:rsid w:val="007C341A"/>
    <w:rsid w:val="007D6995"/>
    <w:rsid w:val="007F08BB"/>
    <w:rsid w:val="00805372"/>
    <w:rsid w:val="00816012"/>
    <w:rsid w:val="0081643E"/>
    <w:rsid w:val="008343B2"/>
    <w:rsid w:val="00835A7A"/>
    <w:rsid w:val="008436C4"/>
    <w:rsid w:val="0084512B"/>
    <w:rsid w:val="008510BD"/>
    <w:rsid w:val="00861075"/>
    <w:rsid w:val="00862140"/>
    <w:rsid w:val="008632E6"/>
    <w:rsid w:val="00863E2E"/>
    <w:rsid w:val="00896DCC"/>
    <w:rsid w:val="008A32F1"/>
    <w:rsid w:val="008C0E52"/>
    <w:rsid w:val="008C416D"/>
    <w:rsid w:val="008C462A"/>
    <w:rsid w:val="008D4B55"/>
    <w:rsid w:val="008F030C"/>
    <w:rsid w:val="009024AF"/>
    <w:rsid w:val="009077D7"/>
    <w:rsid w:val="0091185D"/>
    <w:rsid w:val="00930699"/>
    <w:rsid w:val="00930797"/>
    <w:rsid w:val="00945FB0"/>
    <w:rsid w:val="00951EA8"/>
    <w:rsid w:val="00957D51"/>
    <w:rsid w:val="0097749B"/>
    <w:rsid w:val="0098472C"/>
    <w:rsid w:val="009A6A24"/>
    <w:rsid w:val="009D3A2D"/>
    <w:rsid w:val="009E2381"/>
    <w:rsid w:val="009E30E9"/>
    <w:rsid w:val="009F4AB1"/>
    <w:rsid w:val="00A00FE6"/>
    <w:rsid w:val="00A202E8"/>
    <w:rsid w:val="00A205C0"/>
    <w:rsid w:val="00A21474"/>
    <w:rsid w:val="00A2350F"/>
    <w:rsid w:val="00A3373D"/>
    <w:rsid w:val="00A35768"/>
    <w:rsid w:val="00A4334A"/>
    <w:rsid w:val="00A44432"/>
    <w:rsid w:val="00A5229F"/>
    <w:rsid w:val="00A52668"/>
    <w:rsid w:val="00AA2E11"/>
    <w:rsid w:val="00AA33BA"/>
    <w:rsid w:val="00AA379B"/>
    <w:rsid w:val="00AA3D9E"/>
    <w:rsid w:val="00AA7E37"/>
    <w:rsid w:val="00AD09CC"/>
    <w:rsid w:val="00AD4294"/>
    <w:rsid w:val="00AD6D0D"/>
    <w:rsid w:val="00AE0BC9"/>
    <w:rsid w:val="00AE49B8"/>
    <w:rsid w:val="00AE6317"/>
    <w:rsid w:val="00B060E2"/>
    <w:rsid w:val="00B15490"/>
    <w:rsid w:val="00B41194"/>
    <w:rsid w:val="00B435CF"/>
    <w:rsid w:val="00B92AB8"/>
    <w:rsid w:val="00BA2953"/>
    <w:rsid w:val="00BB4309"/>
    <w:rsid w:val="00BC1946"/>
    <w:rsid w:val="00BD1A51"/>
    <w:rsid w:val="00BD461D"/>
    <w:rsid w:val="00BD5256"/>
    <w:rsid w:val="00BF1D05"/>
    <w:rsid w:val="00BF32DC"/>
    <w:rsid w:val="00C05FE3"/>
    <w:rsid w:val="00C06F43"/>
    <w:rsid w:val="00C072DC"/>
    <w:rsid w:val="00C15CE4"/>
    <w:rsid w:val="00C162B0"/>
    <w:rsid w:val="00C311EC"/>
    <w:rsid w:val="00C32FA4"/>
    <w:rsid w:val="00C33F73"/>
    <w:rsid w:val="00C34076"/>
    <w:rsid w:val="00C3435D"/>
    <w:rsid w:val="00C41B5D"/>
    <w:rsid w:val="00C50237"/>
    <w:rsid w:val="00C649CE"/>
    <w:rsid w:val="00C67FD7"/>
    <w:rsid w:val="00CA34AA"/>
    <w:rsid w:val="00CD2AFE"/>
    <w:rsid w:val="00CE0821"/>
    <w:rsid w:val="00CE244A"/>
    <w:rsid w:val="00CF0077"/>
    <w:rsid w:val="00CF4737"/>
    <w:rsid w:val="00D0235B"/>
    <w:rsid w:val="00D028FE"/>
    <w:rsid w:val="00D06547"/>
    <w:rsid w:val="00D17326"/>
    <w:rsid w:val="00D2590F"/>
    <w:rsid w:val="00D27456"/>
    <w:rsid w:val="00D41FDB"/>
    <w:rsid w:val="00D5052E"/>
    <w:rsid w:val="00D53D46"/>
    <w:rsid w:val="00D6301A"/>
    <w:rsid w:val="00D83C38"/>
    <w:rsid w:val="00D84A9F"/>
    <w:rsid w:val="00D85519"/>
    <w:rsid w:val="00D97124"/>
    <w:rsid w:val="00DA39A8"/>
    <w:rsid w:val="00DC6065"/>
    <w:rsid w:val="00DE2532"/>
    <w:rsid w:val="00DF2930"/>
    <w:rsid w:val="00E314FA"/>
    <w:rsid w:val="00E5618D"/>
    <w:rsid w:val="00E6330D"/>
    <w:rsid w:val="00E66E7C"/>
    <w:rsid w:val="00E74390"/>
    <w:rsid w:val="00E807F8"/>
    <w:rsid w:val="00E908C2"/>
    <w:rsid w:val="00E943F2"/>
    <w:rsid w:val="00E95F33"/>
    <w:rsid w:val="00EA3B6D"/>
    <w:rsid w:val="00EA4548"/>
    <w:rsid w:val="00EB19CB"/>
    <w:rsid w:val="00EC2F1E"/>
    <w:rsid w:val="00EC3C94"/>
    <w:rsid w:val="00EC68BA"/>
    <w:rsid w:val="00ED25BD"/>
    <w:rsid w:val="00EE36C5"/>
    <w:rsid w:val="00F11200"/>
    <w:rsid w:val="00F15B0A"/>
    <w:rsid w:val="00F203D5"/>
    <w:rsid w:val="00F31229"/>
    <w:rsid w:val="00F33DC5"/>
    <w:rsid w:val="00F52FCF"/>
    <w:rsid w:val="00F53F50"/>
    <w:rsid w:val="00F54B76"/>
    <w:rsid w:val="00F56D9C"/>
    <w:rsid w:val="00F64C57"/>
    <w:rsid w:val="00F7084D"/>
    <w:rsid w:val="00F740FD"/>
    <w:rsid w:val="00F81310"/>
    <w:rsid w:val="00F874E2"/>
    <w:rsid w:val="00FA0F37"/>
    <w:rsid w:val="00FC0E00"/>
    <w:rsid w:val="00FE213A"/>
    <w:rsid w:val="00FE216D"/>
    <w:rsid w:val="00FF7D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3A5280"/>
    <w:rPr>
      <w:color w:val="0563C1"/>
      <w:u w:val="single"/>
    </w:r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1FF2E-A99E-4580-AA8D-D34A17D9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537</Characters>
  <Application>Microsoft Office Word</Application>
  <DocSecurity>4</DocSecurity>
  <Lines>4</Lines>
  <Paragraphs>1</Paragraphs>
  <ScaleCrop>false</ScaleCrop>
  <Company/>
  <LinksUpToDate>false</LinksUpToDate>
  <CharactersWithSpaces>630</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2025-11-10T16:01:00Z</dcterms:created>
  <dcterms:modified xsi:type="dcterms:W3CDTF">2025-11-10T16:01:00Z</dcterms:modified>
</cp:coreProperties>
</file>