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EB" w:rsidRDefault="00533458">
      <w:pPr>
        <w:widowControl w:val="0"/>
        <w:spacing w:after="0" w:line="360" w:lineRule="auto"/>
        <w:ind w:left="0" w:right="0" w:firstLine="0"/>
        <w:jc w:val="center"/>
        <w:rPr>
          <w:rFonts w:ascii="Times New Roman" w:eastAsiaTheme="minorEastAsia" w:hAnsi="Times New Roman" w:cstheme="minorBidi"/>
          <w:b/>
          <w:color w:val="auto"/>
          <w:sz w:val="30"/>
          <w:szCs w:val="30"/>
        </w:rPr>
      </w:pPr>
      <w:r>
        <w:rPr>
          <w:rFonts w:ascii="Times New Roman" w:eastAsiaTheme="minorEastAsia" w:hAnsi="Times New Roman" w:cstheme="minorBidi" w:hint="eastAsia"/>
          <w:b/>
          <w:color w:val="auto"/>
          <w:sz w:val="30"/>
          <w:szCs w:val="30"/>
        </w:rPr>
        <w:t>富国基金管理有限公司关于旗下</w:t>
      </w:r>
      <w:r>
        <w:rPr>
          <w:rFonts w:ascii="Times New Roman" w:eastAsiaTheme="minorEastAsia" w:hAnsi="Times New Roman" w:cstheme="minorBidi" w:hint="eastAsia"/>
          <w:b/>
          <w:color w:val="auto"/>
          <w:sz w:val="30"/>
          <w:szCs w:val="30"/>
        </w:rPr>
        <w:t>部分</w:t>
      </w:r>
      <w:r>
        <w:rPr>
          <w:rFonts w:ascii="Times New Roman" w:eastAsiaTheme="minorEastAsia" w:hAnsi="Times New Roman" w:cstheme="minorBidi" w:hint="eastAsia"/>
          <w:b/>
          <w:color w:val="auto"/>
          <w:sz w:val="30"/>
          <w:szCs w:val="30"/>
        </w:rPr>
        <w:t>上交所</w:t>
      </w:r>
      <w:r>
        <w:rPr>
          <w:rFonts w:ascii="Times New Roman" w:eastAsiaTheme="minorEastAsia" w:hAnsi="Times New Roman" w:cstheme="minorBidi"/>
          <w:b/>
          <w:color w:val="auto"/>
          <w:sz w:val="30"/>
          <w:szCs w:val="30"/>
        </w:rPr>
        <w:t>ETF</w:t>
      </w:r>
      <w:r>
        <w:rPr>
          <w:rFonts w:ascii="Times New Roman" w:eastAsiaTheme="minorEastAsia" w:hAnsi="Times New Roman" w:cstheme="minorBidi"/>
          <w:b/>
          <w:color w:val="auto"/>
          <w:sz w:val="30"/>
          <w:szCs w:val="30"/>
        </w:rPr>
        <w:t>申购赎回清单版本更新的公告</w:t>
      </w:r>
    </w:p>
    <w:p w:rsidR="00F831EB" w:rsidRDefault="00F831EB">
      <w:pPr>
        <w:spacing w:after="0" w:line="240" w:lineRule="auto"/>
        <w:ind w:left="0" w:right="0" w:firstLine="0"/>
        <w:jc w:val="center"/>
        <w:rPr>
          <w:rFonts w:asciiTheme="majorEastAsia" w:eastAsiaTheme="majorEastAsia" w:hAnsiTheme="majorEastAsia"/>
          <w:sz w:val="36"/>
        </w:rPr>
      </w:pPr>
    </w:p>
    <w:p w:rsidR="00F831EB" w:rsidRDefault="00533458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根据上海证券交易所最新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ETF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申购赎回清单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格式规则，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自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2025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年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11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月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10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日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起，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富国基金管理有限公司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（以下简称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“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本公司</w:t>
      </w:r>
      <w:bookmarkStart w:id="0" w:name="_GoBack"/>
      <w:bookmarkEnd w:id="0"/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”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）对旗下部分上交所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ETF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申购赎回清单进行版本更新，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具体如下：</w:t>
      </w:r>
    </w:p>
    <w:p w:rsidR="00F831EB" w:rsidRDefault="00F831EB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</w:p>
    <w:p w:rsidR="00F831EB" w:rsidRDefault="00533458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一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、本公司旗下拟更新申购赎回清单版本的上交所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ETF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列表</w:t>
      </w:r>
    </w:p>
    <w:tbl>
      <w:tblPr>
        <w:tblW w:w="9923" w:type="dxa"/>
        <w:tblInd w:w="-861" w:type="dxa"/>
        <w:tblLayout w:type="fixed"/>
        <w:tblLook w:val="04A0"/>
      </w:tblPr>
      <w:tblGrid>
        <w:gridCol w:w="1346"/>
        <w:gridCol w:w="5438"/>
        <w:gridCol w:w="1408"/>
        <w:gridCol w:w="1731"/>
      </w:tblGrid>
      <w:tr w:rsidR="00F831EB">
        <w:trPr>
          <w:trHeight w:val="391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textAlignment w:val="center"/>
              <w:rPr>
                <w:szCs w:val="24"/>
              </w:rPr>
            </w:pPr>
            <w:r>
              <w:rPr>
                <w:rFonts w:hint="eastAsia"/>
                <w:kern w:val="0"/>
                <w:szCs w:val="24"/>
                <w:lang/>
              </w:rPr>
              <w:t>代码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textAlignment w:val="center"/>
              <w:rPr>
                <w:szCs w:val="24"/>
              </w:rPr>
            </w:pPr>
            <w:r>
              <w:rPr>
                <w:rFonts w:hint="eastAsia"/>
                <w:kern w:val="0"/>
                <w:szCs w:val="24"/>
                <w:lang/>
              </w:rPr>
              <w:t>基金全称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textAlignment w:val="center"/>
              <w:rPr>
                <w:szCs w:val="24"/>
              </w:rPr>
            </w:pPr>
            <w:r>
              <w:rPr>
                <w:rFonts w:hint="eastAsia"/>
                <w:kern w:val="0"/>
                <w:szCs w:val="24"/>
                <w:lang/>
              </w:rPr>
              <w:t>场内简称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textAlignment w:val="center"/>
              <w:rPr>
                <w:szCs w:val="24"/>
              </w:rPr>
            </w:pPr>
            <w:r>
              <w:rPr>
                <w:rFonts w:hint="eastAsia"/>
                <w:kern w:val="0"/>
                <w:szCs w:val="24"/>
                <w:lang/>
              </w:rPr>
              <w:t>扩位简称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513870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富国纳斯达克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100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交易型开放式指数证券投资基金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(QDII)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纳指指数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纳指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513950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富国恒生港股通高股息低波动交易型开放式指数证券投资基金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(QDII)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恒生红利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恒生红利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520860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富国中证港股通科技交易型开放式指数证券投资基金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港股通科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港股通科技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511900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富国收益宝交易型货币市场基金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富国货币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富国货币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518680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富国上海金交易型开放式证券投资基金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金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金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588940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富国上证科创板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50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成份交易型开放式指数证券投资基金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科创富国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科创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50ETF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588810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富国上证科创板芯片交易型开放式指数证券投资基金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科创板芯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科创芯片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589380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富国上证科创板人工智能交易型开放式指数证券投资基金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AI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科创指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科创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AIETF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589780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富国上证科创板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200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科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200FG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科创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200ETF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589950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富国上证科创板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100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科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100FG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科创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100ETF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510210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上证综指交易型开放式指数证券投资基金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综指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上证指数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588960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富国上证科创板新能源交易型开放式指数证券投资基金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新能科创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科创板新能源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563230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富国中证卫星产业交易型开放式指数证券投资基金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卫星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卫星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563280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MSCI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中国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A50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互联互通增强策略交易型开放式指数证券投资基金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A50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增强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A50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增强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512040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富国中证价值交易型开放式指数证券投资基金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国信价值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价值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100ETF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515720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富国中证金融科技主题交易型开放式指数证券投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lastRenderedPageBreak/>
              <w:t>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lastRenderedPageBreak/>
              <w:t>金科富国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金融科技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lastRenderedPageBreak/>
              <w:t>富国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lastRenderedPageBreak/>
              <w:t>515850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富国中证全指证券公司交易型开放式指数证券投资基金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证券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证券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561130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富国中证新华社民族品牌工程交易型开放式指数证券投资基金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国货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国货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561160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富国中证电池主题交易型开放式指数证券投资基金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锂电池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锂电池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563210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富国恒生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A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股专精特新企业交易型开放式指数证券投资基金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专精特新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专精特新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515150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富国中证国企一带一路交易型开放式指数证券投资基金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国企富国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一带一路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515950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富国中证医药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50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医药龙头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医药龙头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516120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富国中证细分化工产业主题交易型开放式指数证券投资基金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化工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50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化工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50ETF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516640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富国中证芯片产业交易型开放式指数证券投资基金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芯片龙头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芯片龙头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516750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富国中证全指建筑材料交易型开放式指数证券投资基金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建材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建材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516830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富国沪深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300ESG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基准交易型开放式指数证券投资基金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300ESG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300ESGETF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516910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富国中证现代物流交易型开放式指数证券投资基金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物流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物流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561100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富国中证消费电子主题交易型开放式指数证券投资基金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电子龙头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消费电子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561120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富国中证全指家用电器交易型开放式指数证券投资基金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家电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家电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515750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富国中证科技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50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策略交易型开放式指数证券投资基金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科技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50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科技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50ETF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561170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富国中证绿色电力交易型开放式指数证券投资基金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绿电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50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绿色电力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561190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富国中证上海环交所碳中和交易型开放式指数证券投资基金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双碳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双碳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563200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富国中证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2000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2000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指数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中证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2000ETF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563990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富国中证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800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自由现金流交易型开放式指数证券投资基金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800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现金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800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现金流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588380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富国中证科创创业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50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创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50ETF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双创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50ETF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512710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富国中证军工龙头交易型开放式指数证券投资基金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军工龙头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军工龙头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515250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富国中证智能汽车主题交易型开放式指数证券投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lastRenderedPageBreak/>
              <w:t>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lastRenderedPageBreak/>
              <w:t>智能汽车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智能汽车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lastRenderedPageBreak/>
              <w:t>515400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富国中证大数据产业交易型开放式指数证券投资基金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大数据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大数据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515650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富国中证消费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50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消费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50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消费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50ETF</w:t>
            </w:r>
          </w:p>
        </w:tc>
      </w:tr>
      <w:tr w:rsidR="00F831EB">
        <w:trPr>
          <w:trHeight w:val="315"/>
        </w:trPr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563220</w:t>
            </w:r>
          </w:p>
        </w:tc>
        <w:tc>
          <w:tcPr>
            <w:tcW w:w="5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富国中证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A500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交易型开放式指数证券投资基金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A500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31EB" w:rsidRDefault="00533458">
            <w:pPr>
              <w:spacing w:after="0" w:line="240" w:lineRule="auto"/>
              <w:ind w:left="0" w:right="0" w:firstLine="0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Cs w:val="20"/>
                <w:lang w:val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中证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A500ETF</w:t>
            </w:r>
            <w:r>
              <w:rPr>
                <w:rFonts w:ascii="Times New Roman" w:eastAsiaTheme="minorEastAsia" w:hAnsi="Times New Roman" w:cs="Times New Roman" w:hint="eastAsia"/>
                <w:bCs/>
                <w:color w:val="auto"/>
                <w:szCs w:val="20"/>
                <w:lang w:val="zh-CN"/>
              </w:rPr>
              <w:t>富国</w:t>
            </w:r>
          </w:p>
        </w:tc>
      </w:tr>
    </w:tbl>
    <w:p w:rsidR="00F831EB" w:rsidRDefault="00F831EB" w:rsidP="00533458">
      <w:pPr>
        <w:adjustRightInd w:val="0"/>
        <w:snapToGrid w:val="0"/>
        <w:spacing w:after="0" w:line="360" w:lineRule="auto"/>
        <w:ind w:left="0" w:right="0" w:firstLineChars="189" w:firstLine="454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pPrChange w:id="1" w:author="ZHONGM" w:date="2025-11-10T00:01:00Z">
          <w:pPr>
            <w:adjustRightInd w:val="0"/>
            <w:snapToGrid w:val="0"/>
            <w:spacing w:after="0" w:line="360" w:lineRule="auto"/>
            <w:ind w:left="0" w:right="0" w:firstLineChars="189" w:firstLine="454"/>
            <w:jc w:val="both"/>
          </w:pPr>
        </w:pPrChange>
      </w:pPr>
    </w:p>
    <w:p w:rsidR="00F831EB" w:rsidRDefault="00533458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二、修订情况说明</w:t>
      </w:r>
    </w:p>
    <w:p w:rsidR="00F831EB" w:rsidRDefault="00533458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上交所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ETF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新版申购赎回清单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格式修订如下：</w:t>
      </w:r>
    </w:p>
    <w:p w:rsidR="00F831EB" w:rsidRDefault="00533458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（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1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）原“申购上限”、“赎回上限”字段调整为“当日累计可申购的基金份额上限”、“当日累计可赎回的基金份额上限”字段，并新增“当日净申购的基金份额上限”、“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当日净赎回的基金份额上限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”、“单个证券账户当日净申购</w:t>
      </w:r>
      <w:r>
        <w:rPr>
          <w:rFonts w:ascii="Segoe UI" w:eastAsia="Segoe UI" w:hAnsi="Segoe UI" w:cs="Segoe UI"/>
          <w:color w:val="333333"/>
          <w:szCs w:val="24"/>
          <w:shd w:val="clear" w:color="auto" w:fill="FFFFFF"/>
        </w:rPr>
        <w:t>的基金份额上限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”、“单个证券账户当日净赎回的基金份额上限”、“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单个证券账户当日累计可申购的基金份额上限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”、“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单个证券账户当日累计可赎回的基金份额上限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”字段；</w:t>
      </w:r>
    </w:p>
    <w:p w:rsidR="00F831EB" w:rsidRDefault="00533458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（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2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）新增“申购赎回模式”字段；</w:t>
      </w:r>
    </w:p>
    <w:p w:rsidR="00F831EB" w:rsidRDefault="00533458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（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3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）新增“挂牌市场”标识；</w:t>
      </w:r>
    </w:p>
    <w:p w:rsidR="00F831EB" w:rsidRDefault="00533458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（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4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）调整“现金替代标志”字段描述：</w:t>
      </w:r>
    </w:p>
    <w:p w:rsidR="00F831EB" w:rsidRDefault="00533458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①若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ETF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采用实物申赎模式，对于沪市成份证券，“允许现金替代”标志表示申购基金份额优先使用成份券，成份券不足时差额部分用现金替代，赎回基金份额时该成份券不允许使用现金作为替代；对于非沪市成份证券，在申购赎回基金份额时，该成份券只能使用现金作为替代，根据基金管理人代买卖情况，与投资者进行退款或补款。</w:t>
      </w:r>
    </w:p>
    <w:p w:rsidR="00F831EB" w:rsidRDefault="00533458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②若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ETF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采用现金申赎模式，“允许现金替代”标志表示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在申购赎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回基金份额时，该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成份券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只能使用现金作为替代，根据基金管理人代买卖情况，与投资者进行退款或补款。</w:t>
      </w:r>
    </w:p>
    <w:p w:rsidR="00F831EB" w:rsidRDefault="00533458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自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2025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年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11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月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10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日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起，本公司旗下上述上交所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ETF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将采用新版申购赎回清单。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相应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基金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的招募说明书也将根据实际情况进行必要修改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。</w:t>
      </w:r>
    </w:p>
    <w:p w:rsidR="00F831EB" w:rsidRDefault="00F831EB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</w:p>
    <w:p w:rsidR="00F831EB" w:rsidRDefault="00533458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三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、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重要提示</w:t>
      </w:r>
    </w:p>
    <w:p w:rsidR="00F831EB" w:rsidRDefault="00533458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本公告仅对本公司旗下部分上交所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ETF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申购赎回清单版本更新并相应修改招募说明书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的事项进行说明。本公司旗下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ETF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申购赎回清单以证券交易所实际公布的为准，投资者可登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录本公司网站进行查询。</w:t>
      </w:r>
    </w:p>
    <w:p w:rsidR="00F831EB" w:rsidRDefault="00533458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投资人可以登录本基金管理人网站（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www.fullgoal.com.cn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）或拨打本基金管理人的客户服务电话（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95105686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、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400-888-0688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），咨询有关详情。</w:t>
      </w:r>
    </w:p>
    <w:p w:rsidR="00F831EB" w:rsidRDefault="00F831EB">
      <w:pPr>
        <w:adjustRightInd w:val="0"/>
        <w:snapToGrid w:val="0"/>
        <w:spacing w:after="0" w:line="360" w:lineRule="auto"/>
        <w:ind w:left="0" w:right="0" w:firstLineChars="200" w:firstLine="480"/>
        <w:rPr>
          <w:rFonts w:ascii="Times New Roman" w:hAnsi="Times New Roman" w:cs="Times New Roman"/>
          <w:bCs/>
          <w:color w:val="auto"/>
          <w:szCs w:val="20"/>
          <w:lang w:val="zh-CN"/>
        </w:rPr>
      </w:pPr>
    </w:p>
    <w:p w:rsidR="00F831EB" w:rsidRDefault="00533458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风险提示：本公司承诺以诚实信用、勤勉尽责的原则管理和运用基金资产，但不保证基金一定盈利，也不保证最低收益。投资人应认真阅读基金的相关法律文件，了解所投资基金的风险收益特征，并根据自身情况购买与风险承受能力相匹配的产品。</w:t>
      </w:r>
    </w:p>
    <w:p w:rsidR="00F831EB" w:rsidRDefault="00F831EB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</w:p>
    <w:p w:rsidR="00F831EB" w:rsidRDefault="00533458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特此公告。</w:t>
      </w:r>
    </w:p>
    <w:p w:rsidR="00F831EB" w:rsidRDefault="00F831EB">
      <w:pPr>
        <w:adjustRightInd w:val="0"/>
        <w:snapToGrid w:val="0"/>
        <w:spacing w:after="0" w:line="360" w:lineRule="auto"/>
        <w:ind w:left="0" w:right="0" w:firstLine="200"/>
        <w:rPr>
          <w:rFonts w:ascii="Times New Roman" w:hAnsi="Times New Roman" w:cs="Times New Roman"/>
          <w:bCs/>
          <w:color w:val="auto"/>
          <w:szCs w:val="20"/>
          <w:lang w:val="zh-CN"/>
        </w:rPr>
      </w:pPr>
    </w:p>
    <w:p w:rsidR="00F831EB" w:rsidRDefault="00533458">
      <w:pPr>
        <w:adjustRightInd w:val="0"/>
        <w:snapToGrid w:val="0"/>
        <w:spacing w:after="0" w:line="360" w:lineRule="auto"/>
        <w:ind w:left="0" w:right="0" w:firstLine="200"/>
        <w:jc w:val="right"/>
        <w:rPr>
          <w:rFonts w:ascii="Times New Roman" w:hAnsi="Times New Roman" w:cs="Times New Roman"/>
          <w:bCs/>
          <w:color w:val="auto"/>
          <w:szCs w:val="20"/>
          <w:lang w:val="zh-CN"/>
        </w:rPr>
      </w:pPr>
      <w:r>
        <w:rPr>
          <w:rFonts w:ascii="Times New Roman" w:hAnsi="Times New Roman" w:cs="Times New Roman" w:hint="eastAsia"/>
          <w:bCs/>
          <w:color w:val="auto"/>
          <w:szCs w:val="20"/>
          <w:lang w:val="zh-CN"/>
        </w:rPr>
        <w:t>富国</w:t>
      </w:r>
      <w:r>
        <w:rPr>
          <w:rFonts w:ascii="Times New Roman" w:hAnsi="Times New Roman" w:cs="Times New Roman"/>
          <w:bCs/>
          <w:color w:val="auto"/>
          <w:szCs w:val="20"/>
          <w:lang w:val="zh-CN"/>
        </w:rPr>
        <w:t>基金管理有限公司</w:t>
      </w:r>
    </w:p>
    <w:p w:rsidR="00F831EB" w:rsidRDefault="00533458">
      <w:pPr>
        <w:adjustRightInd w:val="0"/>
        <w:snapToGrid w:val="0"/>
        <w:spacing w:after="0" w:line="360" w:lineRule="auto"/>
        <w:ind w:left="0" w:right="0" w:firstLine="200"/>
        <w:jc w:val="right"/>
        <w:rPr>
          <w:rFonts w:ascii="Times New Roman" w:hAnsi="Times New Roman" w:cs="Times New Roman"/>
          <w:bCs/>
          <w:color w:val="auto"/>
          <w:szCs w:val="20"/>
          <w:lang w:val="zh-CN"/>
        </w:rPr>
      </w:pPr>
      <w:r>
        <w:rPr>
          <w:rFonts w:ascii="Times New Roman" w:hAnsi="Times New Roman" w:cs="Times New Roman" w:hint="eastAsia"/>
          <w:bCs/>
          <w:color w:val="auto"/>
          <w:szCs w:val="20"/>
          <w:lang w:val="zh-CN"/>
        </w:rPr>
        <w:t>2025</w:t>
      </w:r>
      <w:r>
        <w:rPr>
          <w:rFonts w:ascii="Times New Roman" w:hAnsi="Times New Roman" w:cs="Times New Roman" w:hint="eastAsia"/>
          <w:bCs/>
          <w:color w:val="auto"/>
          <w:szCs w:val="20"/>
          <w:lang w:val="zh-CN"/>
        </w:rPr>
        <w:t>年</w:t>
      </w:r>
      <w:r>
        <w:rPr>
          <w:rFonts w:ascii="Times New Roman" w:hAnsi="Times New Roman" w:cs="Times New Roman" w:hint="eastAsia"/>
          <w:bCs/>
          <w:color w:val="auto"/>
          <w:szCs w:val="20"/>
          <w:lang w:val="zh-CN"/>
        </w:rPr>
        <w:t>11</w:t>
      </w:r>
      <w:r>
        <w:rPr>
          <w:rFonts w:ascii="Times New Roman" w:hAnsi="Times New Roman" w:cs="Times New Roman" w:hint="eastAsia"/>
          <w:bCs/>
          <w:color w:val="auto"/>
          <w:szCs w:val="20"/>
          <w:lang w:val="zh-CN"/>
        </w:rPr>
        <w:t>月</w:t>
      </w:r>
      <w:r>
        <w:rPr>
          <w:rFonts w:ascii="Times New Roman" w:hAnsi="Times New Roman" w:cs="Times New Roman" w:hint="eastAsia"/>
          <w:bCs/>
          <w:color w:val="auto"/>
          <w:szCs w:val="20"/>
          <w:lang w:val="zh-CN"/>
        </w:rPr>
        <w:t>10</w:t>
      </w:r>
      <w:r>
        <w:rPr>
          <w:rFonts w:ascii="Times New Roman" w:hAnsi="Times New Roman" w:cs="Times New Roman" w:hint="eastAsia"/>
          <w:bCs/>
          <w:color w:val="auto"/>
          <w:szCs w:val="20"/>
          <w:lang w:val="zh-CN"/>
        </w:rPr>
        <w:t>日</w:t>
      </w:r>
    </w:p>
    <w:sectPr w:rsidR="00F831EB" w:rsidSect="00F831EB">
      <w:pgSz w:w="11906" w:h="16838"/>
      <w:pgMar w:top="1555" w:right="1560" w:bottom="1937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1EB" w:rsidRDefault="00533458">
      <w:pPr>
        <w:spacing w:line="240" w:lineRule="auto"/>
      </w:pPr>
      <w:r>
        <w:separator/>
      </w:r>
    </w:p>
  </w:endnote>
  <w:endnote w:type="continuationSeparator" w:id="0">
    <w:p w:rsidR="00F831EB" w:rsidRDefault="00533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1EB" w:rsidRDefault="00533458">
      <w:pPr>
        <w:spacing w:after="0"/>
      </w:pPr>
      <w:r>
        <w:separator/>
      </w:r>
    </w:p>
  </w:footnote>
  <w:footnote w:type="continuationSeparator" w:id="0">
    <w:p w:rsidR="00F831EB" w:rsidRDefault="0053345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trackRevisions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1954E2"/>
    <w:rsid w:val="000328E0"/>
    <w:rsid w:val="000E3B7F"/>
    <w:rsid w:val="00135729"/>
    <w:rsid w:val="001954E2"/>
    <w:rsid w:val="001D4425"/>
    <w:rsid w:val="002305EE"/>
    <w:rsid w:val="00266518"/>
    <w:rsid w:val="0028237C"/>
    <w:rsid w:val="002C72FD"/>
    <w:rsid w:val="00335793"/>
    <w:rsid w:val="00370027"/>
    <w:rsid w:val="003F3408"/>
    <w:rsid w:val="00427707"/>
    <w:rsid w:val="00533458"/>
    <w:rsid w:val="005542C3"/>
    <w:rsid w:val="0063714D"/>
    <w:rsid w:val="0067085D"/>
    <w:rsid w:val="00675D0C"/>
    <w:rsid w:val="006D2F27"/>
    <w:rsid w:val="007574F5"/>
    <w:rsid w:val="007F0366"/>
    <w:rsid w:val="007F390E"/>
    <w:rsid w:val="008A1E69"/>
    <w:rsid w:val="00922BDA"/>
    <w:rsid w:val="009B0435"/>
    <w:rsid w:val="00A75C19"/>
    <w:rsid w:val="00AA58B2"/>
    <w:rsid w:val="00AE3000"/>
    <w:rsid w:val="00AF0E21"/>
    <w:rsid w:val="00B72F89"/>
    <w:rsid w:val="00B760B5"/>
    <w:rsid w:val="00C01DB7"/>
    <w:rsid w:val="00D609E4"/>
    <w:rsid w:val="00D66E29"/>
    <w:rsid w:val="00D7420C"/>
    <w:rsid w:val="00D8009D"/>
    <w:rsid w:val="00DD6FB7"/>
    <w:rsid w:val="00E26A5B"/>
    <w:rsid w:val="00E5754F"/>
    <w:rsid w:val="00E93BFD"/>
    <w:rsid w:val="00F831EB"/>
    <w:rsid w:val="00FA4EA2"/>
    <w:rsid w:val="07BD03E2"/>
    <w:rsid w:val="08E40B26"/>
    <w:rsid w:val="152F114F"/>
    <w:rsid w:val="33B909A8"/>
    <w:rsid w:val="39AB2B82"/>
    <w:rsid w:val="4BD674C0"/>
    <w:rsid w:val="4CD81D83"/>
    <w:rsid w:val="522608C9"/>
    <w:rsid w:val="560A7D57"/>
    <w:rsid w:val="6AAF5950"/>
    <w:rsid w:val="723B7459"/>
    <w:rsid w:val="728C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EB"/>
    <w:pPr>
      <w:spacing w:after="212" w:line="397" w:lineRule="auto"/>
      <w:ind w:left="-15" w:right="-15" w:firstLine="470"/>
    </w:pPr>
    <w:rPr>
      <w:rFonts w:ascii="宋体" w:hAnsi="宋体" w:cs="宋体"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F831EB"/>
  </w:style>
  <w:style w:type="paragraph" w:styleId="a4">
    <w:name w:val="Balloon Text"/>
    <w:basedOn w:val="a"/>
    <w:link w:val="Char"/>
    <w:uiPriority w:val="99"/>
    <w:semiHidden/>
    <w:unhideWhenUsed/>
    <w:qFormat/>
    <w:rsid w:val="00F831EB"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F831E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F83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F831EB"/>
    <w:rPr>
      <w:rFonts w:ascii="宋体" w:eastAsia="宋体" w:hAnsi="宋体" w:cs="宋体"/>
      <w:color w:val="000000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F831EB"/>
    <w:rPr>
      <w:rFonts w:ascii="宋体" w:eastAsia="宋体" w:hAnsi="宋体" w:cs="宋体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F831EB"/>
    <w:pPr>
      <w:ind w:firstLineChars="200" w:firstLine="420"/>
    </w:pPr>
  </w:style>
  <w:style w:type="paragraph" w:customStyle="1" w:styleId="Default">
    <w:name w:val="Default"/>
    <w:qFormat/>
    <w:rsid w:val="00F831EB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F831EB"/>
    <w:rPr>
      <w:rFonts w:ascii="宋体" w:eastAsia="宋体" w:hAnsi="宋体" w:cs="宋体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2491</Characters>
  <Application>Microsoft Office Word</Application>
  <DocSecurity>4</DocSecurity>
  <Lines>20</Lines>
  <Paragraphs>5</Paragraphs>
  <ScaleCrop>false</ScaleCrop>
  <Company>CNSTOCK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冯晓蕾</dc:creator>
  <cp:lastModifiedBy>ZHONGM</cp:lastModifiedBy>
  <cp:revision>2</cp:revision>
  <dcterms:created xsi:type="dcterms:W3CDTF">2025-11-09T16:01:00Z</dcterms:created>
  <dcterms:modified xsi:type="dcterms:W3CDTF">2025-11-09T16:01:00Z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BA431787F9194667B256D74C1EAE385F</vt:lpwstr>
  </property>
</Properties>
</file>