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2CF" w:rsidRDefault="00B772CF"/>
    <w:p w:rsidR="00B772CF" w:rsidRDefault="00ED639F">
      <w:pPr>
        <w:jc w:val="center"/>
        <w:rPr>
          <w:rFonts w:ascii="宋体" w:eastAsia="宋体" w:hAnsi="宋体"/>
          <w:b/>
          <w:sz w:val="30"/>
        </w:rPr>
      </w:pPr>
      <w:r>
        <w:rPr>
          <w:rFonts w:ascii="宋体" w:eastAsia="宋体" w:hAnsi="宋体" w:hint="eastAsia"/>
          <w:b/>
          <w:sz w:val="30"/>
        </w:rPr>
        <w:t>博时黄金交易型开放式证券投资基金</w:t>
      </w:r>
      <w:r>
        <w:rPr>
          <w:rFonts w:ascii="宋体" w:eastAsia="宋体" w:hAnsi="宋体" w:hint="eastAsia"/>
          <w:b/>
          <w:sz w:val="30"/>
        </w:rPr>
        <w:t>场内基金份额</w:t>
      </w:r>
      <w:r>
        <w:rPr>
          <w:rFonts w:ascii="宋体" w:eastAsia="宋体" w:hAnsi="宋体" w:hint="eastAsia"/>
          <w:b/>
          <w:sz w:val="30"/>
        </w:rPr>
        <w:t>暂停</w:t>
      </w:r>
      <w:r>
        <w:rPr>
          <w:rFonts w:ascii="宋体" w:eastAsia="宋体" w:hAnsi="宋体" w:hint="eastAsia"/>
          <w:b/>
          <w:sz w:val="30"/>
        </w:rPr>
        <w:t>黄金现货合约</w:t>
      </w:r>
      <w:r>
        <w:rPr>
          <w:rFonts w:ascii="宋体" w:eastAsia="宋体" w:hAnsi="宋体" w:hint="eastAsia"/>
          <w:b/>
          <w:sz w:val="30"/>
        </w:rPr>
        <w:t>申购、赎回业务的公告</w:t>
      </w:r>
    </w:p>
    <w:p w:rsidR="00B772CF" w:rsidRDefault="00ED639F">
      <w:pPr>
        <w:jc w:val="center"/>
        <w:rPr>
          <w:rFonts w:ascii="宋体" w:eastAsia="宋体" w:hAnsi="宋体"/>
          <w:b/>
          <w:sz w:val="24"/>
        </w:rPr>
      </w:pPr>
      <w:r>
        <w:rPr>
          <w:rFonts w:ascii="宋体" w:eastAsia="宋体" w:hAnsi="宋体" w:hint="eastAsia"/>
          <w:b/>
          <w:sz w:val="24"/>
        </w:rPr>
        <w:t>公告送出日期：</w:t>
      </w:r>
      <w:r>
        <w:rPr>
          <w:rFonts w:ascii="宋体" w:eastAsia="宋体" w:hAnsi="宋体" w:hint="eastAsia"/>
          <w:b/>
          <w:sz w:val="24"/>
        </w:rPr>
        <w:t>2025</w:t>
      </w:r>
      <w:r>
        <w:rPr>
          <w:rFonts w:ascii="宋体" w:eastAsia="宋体" w:hAnsi="宋体" w:hint="eastAsia"/>
          <w:b/>
          <w:sz w:val="24"/>
        </w:rPr>
        <w:t>年</w:t>
      </w:r>
      <w:r>
        <w:rPr>
          <w:rFonts w:ascii="宋体" w:eastAsia="宋体" w:hAnsi="宋体" w:hint="eastAsia"/>
          <w:b/>
          <w:sz w:val="24"/>
        </w:rPr>
        <w:t>11</w:t>
      </w:r>
      <w:r>
        <w:rPr>
          <w:rFonts w:ascii="宋体" w:eastAsia="宋体" w:hAnsi="宋体" w:hint="eastAsia"/>
          <w:b/>
          <w:sz w:val="24"/>
        </w:rPr>
        <w:t>月</w:t>
      </w:r>
      <w:r>
        <w:rPr>
          <w:rFonts w:ascii="宋体" w:eastAsia="宋体" w:hAnsi="宋体" w:hint="eastAsia"/>
          <w:b/>
          <w:sz w:val="24"/>
        </w:rPr>
        <w:t>10</w:t>
      </w:r>
      <w:r>
        <w:rPr>
          <w:rFonts w:ascii="宋体" w:eastAsia="宋体" w:hAnsi="宋体" w:hint="eastAsia"/>
          <w:b/>
          <w:sz w:val="24"/>
        </w:rPr>
        <w:t>日</w:t>
      </w:r>
    </w:p>
    <w:p w:rsidR="00B772CF" w:rsidRDefault="00B772CF">
      <w:pPr>
        <w:jc w:val="center"/>
        <w:rPr>
          <w:rFonts w:ascii="宋体" w:eastAsia="宋体" w:hAnsi="宋体"/>
          <w:b/>
          <w:sz w:val="24"/>
        </w:rPr>
      </w:pPr>
    </w:p>
    <w:p w:rsidR="00B772CF" w:rsidRDefault="00ED639F">
      <w:pPr>
        <w:pStyle w:val="3"/>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0" w:type="auto"/>
        <w:tblLook w:val="04A0"/>
      </w:tblPr>
      <w:tblGrid>
        <w:gridCol w:w="1704"/>
        <w:gridCol w:w="1704"/>
        <w:gridCol w:w="1704"/>
        <w:gridCol w:w="1705"/>
        <w:gridCol w:w="1705"/>
      </w:tblGrid>
      <w:tr w:rsidR="00B772CF">
        <w:tc>
          <w:tcPr>
            <w:tcW w:w="3408" w:type="dxa"/>
            <w:gridSpan w:val="2"/>
            <w:vAlign w:val="center"/>
          </w:tcPr>
          <w:p w:rsidR="00B772CF" w:rsidRDefault="00ED639F">
            <w:pPr>
              <w:rPr>
                <w:rFonts w:ascii="宋体" w:eastAsia="宋体" w:hAnsi="宋体"/>
                <w:sz w:val="24"/>
              </w:rPr>
            </w:pPr>
            <w:r>
              <w:rPr>
                <w:rFonts w:ascii="宋体" w:eastAsia="宋体" w:hAnsi="宋体" w:hint="eastAsia"/>
                <w:sz w:val="24"/>
              </w:rPr>
              <w:t>基金名称</w:t>
            </w:r>
          </w:p>
        </w:tc>
        <w:tc>
          <w:tcPr>
            <w:tcW w:w="5114" w:type="dxa"/>
            <w:gridSpan w:val="3"/>
            <w:vAlign w:val="center"/>
          </w:tcPr>
          <w:p w:rsidR="00B772CF" w:rsidRDefault="00ED639F">
            <w:pPr>
              <w:rPr>
                <w:rFonts w:ascii="宋体" w:eastAsia="宋体" w:hAnsi="宋体"/>
                <w:sz w:val="24"/>
              </w:rPr>
            </w:pPr>
            <w:r>
              <w:rPr>
                <w:rFonts w:ascii="宋体" w:eastAsia="宋体" w:hAnsi="宋体" w:hint="eastAsia"/>
                <w:sz w:val="24"/>
              </w:rPr>
              <w:t>博时黄金交易型开放式证券投资基金</w:t>
            </w:r>
          </w:p>
        </w:tc>
      </w:tr>
      <w:tr w:rsidR="00B772CF">
        <w:tc>
          <w:tcPr>
            <w:tcW w:w="3408" w:type="dxa"/>
            <w:gridSpan w:val="2"/>
            <w:vAlign w:val="center"/>
          </w:tcPr>
          <w:p w:rsidR="00B772CF" w:rsidRDefault="00ED639F">
            <w:pPr>
              <w:rPr>
                <w:rFonts w:ascii="宋体" w:eastAsia="宋体" w:hAnsi="宋体"/>
                <w:sz w:val="24"/>
              </w:rPr>
            </w:pPr>
            <w:r>
              <w:rPr>
                <w:rFonts w:ascii="宋体" w:eastAsia="宋体" w:hAnsi="宋体" w:hint="eastAsia"/>
                <w:sz w:val="24"/>
              </w:rPr>
              <w:t>基金简称</w:t>
            </w:r>
          </w:p>
        </w:tc>
        <w:tc>
          <w:tcPr>
            <w:tcW w:w="5114" w:type="dxa"/>
            <w:gridSpan w:val="3"/>
            <w:vAlign w:val="center"/>
          </w:tcPr>
          <w:p w:rsidR="00B772CF" w:rsidRDefault="00ED639F">
            <w:pPr>
              <w:rPr>
                <w:rFonts w:ascii="宋体" w:eastAsia="宋体" w:hAnsi="宋体"/>
                <w:sz w:val="24"/>
              </w:rPr>
            </w:pPr>
            <w:r>
              <w:rPr>
                <w:rFonts w:ascii="宋体" w:eastAsia="宋体" w:hAnsi="宋体" w:hint="eastAsia"/>
                <w:sz w:val="24"/>
              </w:rPr>
              <w:t>博时黄金</w:t>
            </w:r>
            <w:r>
              <w:rPr>
                <w:rFonts w:ascii="宋体" w:eastAsia="宋体" w:hAnsi="宋体"/>
                <w:sz w:val="24"/>
              </w:rPr>
              <w:t>ETF</w:t>
            </w:r>
          </w:p>
        </w:tc>
      </w:tr>
      <w:tr w:rsidR="00B772CF">
        <w:tc>
          <w:tcPr>
            <w:tcW w:w="3408" w:type="dxa"/>
            <w:gridSpan w:val="2"/>
            <w:vAlign w:val="center"/>
          </w:tcPr>
          <w:p w:rsidR="00B772CF" w:rsidRDefault="00ED639F">
            <w:pPr>
              <w:rPr>
                <w:rFonts w:ascii="宋体" w:eastAsia="宋体" w:hAnsi="宋体"/>
                <w:sz w:val="24"/>
              </w:rPr>
            </w:pPr>
            <w:r>
              <w:rPr>
                <w:rFonts w:ascii="宋体" w:eastAsia="宋体" w:hAnsi="宋体" w:hint="eastAsia"/>
                <w:sz w:val="24"/>
              </w:rPr>
              <w:t>基金主代码</w:t>
            </w:r>
          </w:p>
        </w:tc>
        <w:tc>
          <w:tcPr>
            <w:tcW w:w="5114" w:type="dxa"/>
            <w:gridSpan w:val="3"/>
            <w:vAlign w:val="center"/>
          </w:tcPr>
          <w:p w:rsidR="00B772CF" w:rsidRDefault="00ED639F">
            <w:pPr>
              <w:rPr>
                <w:rFonts w:ascii="宋体" w:eastAsia="宋体" w:hAnsi="宋体"/>
                <w:sz w:val="24"/>
              </w:rPr>
            </w:pPr>
            <w:r>
              <w:rPr>
                <w:rFonts w:ascii="宋体" w:eastAsia="宋体" w:hAnsi="宋体"/>
                <w:sz w:val="24"/>
              </w:rPr>
              <w:t>159937</w:t>
            </w:r>
          </w:p>
        </w:tc>
      </w:tr>
      <w:tr w:rsidR="00B772CF">
        <w:tc>
          <w:tcPr>
            <w:tcW w:w="3408" w:type="dxa"/>
            <w:gridSpan w:val="2"/>
            <w:vAlign w:val="center"/>
          </w:tcPr>
          <w:p w:rsidR="00B772CF" w:rsidRDefault="00ED639F">
            <w:pPr>
              <w:rPr>
                <w:rFonts w:ascii="宋体" w:eastAsia="宋体" w:hAnsi="宋体"/>
                <w:sz w:val="24"/>
              </w:rPr>
            </w:pPr>
            <w:r>
              <w:rPr>
                <w:rFonts w:ascii="宋体" w:eastAsia="宋体" w:hAnsi="宋体" w:hint="eastAsia"/>
                <w:sz w:val="24"/>
              </w:rPr>
              <w:t>基金管理人名称</w:t>
            </w:r>
          </w:p>
        </w:tc>
        <w:tc>
          <w:tcPr>
            <w:tcW w:w="5114" w:type="dxa"/>
            <w:gridSpan w:val="3"/>
            <w:vAlign w:val="center"/>
          </w:tcPr>
          <w:p w:rsidR="00B772CF" w:rsidRDefault="00ED639F">
            <w:pPr>
              <w:rPr>
                <w:rFonts w:ascii="宋体" w:eastAsia="宋体" w:hAnsi="宋体"/>
                <w:sz w:val="24"/>
              </w:rPr>
            </w:pPr>
            <w:r>
              <w:rPr>
                <w:rFonts w:ascii="宋体" w:eastAsia="宋体" w:hAnsi="宋体" w:hint="eastAsia"/>
                <w:sz w:val="24"/>
              </w:rPr>
              <w:t>博时基金管理有限公司</w:t>
            </w:r>
          </w:p>
        </w:tc>
      </w:tr>
      <w:tr w:rsidR="00B772CF">
        <w:tc>
          <w:tcPr>
            <w:tcW w:w="3408" w:type="dxa"/>
            <w:gridSpan w:val="2"/>
            <w:vAlign w:val="center"/>
          </w:tcPr>
          <w:p w:rsidR="00B772CF" w:rsidRDefault="00ED639F">
            <w:pPr>
              <w:rPr>
                <w:rFonts w:ascii="宋体" w:eastAsia="宋体" w:hAnsi="宋体"/>
                <w:sz w:val="24"/>
              </w:rPr>
            </w:pPr>
            <w:r>
              <w:rPr>
                <w:rFonts w:ascii="宋体" w:eastAsia="宋体" w:hAnsi="宋体" w:hint="eastAsia"/>
                <w:sz w:val="24"/>
              </w:rPr>
              <w:t>公告依据</w:t>
            </w:r>
          </w:p>
        </w:tc>
        <w:tc>
          <w:tcPr>
            <w:tcW w:w="5114" w:type="dxa"/>
            <w:gridSpan w:val="3"/>
            <w:vAlign w:val="center"/>
          </w:tcPr>
          <w:p w:rsidR="00B772CF" w:rsidRDefault="00ED639F">
            <w:pPr>
              <w:rPr>
                <w:rFonts w:ascii="宋体" w:eastAsia="宋体" w:hAnsi="宋体"/>
                <w:sz w:val="24"/>
              </w:rPr>
            </w:pPr>
            <w:r>
              <w:rPr>
                <w:rFonts w:ascii="宋体" w:eastAsia="宋体" w:hAnsi="宋体" w:hint="eastAsia"/>
                <w:sz w:val="24"/>
              </w:rPr>
              <w:t>根据有关法律法规及《博时黄金交易型开放式证券投资基金基金合同》、《博时黄金交易型开放式证券投资基金招募说明书》等的规定</w:t>
            </w:r>
          </w:p>
        </w:tc>
      </w:tr>
      <w:tr w:rsidR="00B772CF">
        <w:tc>
          <w:tcPr>
            <w:tcW w:w="1704" w:type="dxa"/>
            <w:vMerge w:val="restart"/>
            <w:vAlign w:val="center"/>
          </w:tcPr>
          <w:p w:rsidR="00B772CF" w:rsidRDefault="00ED639F">
            <w:pPr>
              <w:rPr>
                <w:rFonts w:ascii="宋体" w:eastAsia="宋体" w:hAnsi="宋体"/>
                <w:sz w:val="24"/>
              </w:rPr>
            </w:pPr>
            <w:r>
              <w:rPr>
                <w:rFonts w:ascii="宋体" w:eastAsia="宋体" w:hAnsi="宋体" w:hint="eastAsia"/>
                <w:sz w:val="24"/>
              </w:rPr>
              <w:t>暂停相关业务的起始日及原因说明</w:t>
            </w:r>
          </w:p>
        </w:tc>
        <w:tc>
          <w:tcPr>
            <w:tcW w:w="1704" w:type="dxa"/>
            <w:vAlign w:val="center"/>
          </w:tcPr>
          <w:p w:rsidR="00B772CF" w:rsidRDefault="00ED639F">
            <w:pPr>
              <w:rPr>
                <w:rFonts w:ascii="宋体" w:eastAsia="宋体" w:hAnsi="宋体"/>
                <w:sz w:val="24"/>
              </w:rPr>
            </w:pPr>
            <w:r>
              <w:rPr>
                <w:rFonts w:ascii="宋体" w:eastAsia="宋体" w:hAnsi="宋体" w:hint="eastAsia"/>
                <w:sz w:val="24"/>
              </w:rPr>
              <w:t>暂停申购起始日</w:t>
            </w:r>
          </w:p>
        </w:tc>
        <w:tc>
          <w:tcPr>
            <w:tcW w:w="5114" w:type="dxa"/>
            <w:gridSpan w:val="3"/>
            <w:vAlign w:val="center"/>
          </w:tcPr>
          <w:p w:rsidR="00B772CF" w:rsidRDefault="00ED639F">
            <w:pPr>
              <w:rPr>
                <w:rFonts w:ascii="宋体" w:eastAsia="宋体" w:hAnsi="宋体"/>
                <w:sz w:val="24"/>
              </w:rPr>
            </w:pPr>
            <w:r>
              <w:rPr>
                <w:rFonts w:ascii="宋体" w:eastAsia="宋体" w:hAnsi="宋体" w:hint="eastAsia"/>
                <w:sz w:val="24"/>
              </w:rPr>
              <w:t>2025</w:t>
            </w:r>
            <w:r>
              <w:rPr>
                <w:rFonts w:ascii="宋体" w:eastAsia="宋体" w:hAnsi="宋体" w:hint="eastAsia"/>
                <w:sz w:val="24"/>
              </w:rPr>
              <w:t>年</w:t>
            </w:r>
            <w:r>
              <w:rPr>
                <w:rFonts w:ascii="宋体" w:eastAsia="宋体" w:hAnsi="宋体" w:hint="eastAsia"/>
                <w:sz w:val="24"/>
              </w:rPr>
              <w:t>11</w:t>
            </w:r>
            <w:r>
              <w:rPr>
                <w:rFonts w:ascii="宋体" w:eastAsia="宋体" w:hAnsi="宋体" w:hint="eastAsia"/>
                <w:sz w:val="24"/>
              </w:rPr>
              <w:t>月</w:t>
            </w:r>
            <w:r>
              <w:rPr>
                <w:rFonts w:ascii="宋体" w:eastAsia="宋体" w:hAnsi="宋体" w:hint="eastAsia"/>
                <w:sz w:val="24"/>
              </w:rPr>
              <w:t>14</w:t>
            </w:r>
            <w:r>
              <w:rPr>
                <w:rFonts w:ascii="宋体" w:eastAsia="宋体" w:hAnsi="宋体" w:hint="eastAsia"/>
                <w:sz w:val="24"/>
              </w:rPr>
              <w:t>日</w:t>
            </w:r>
          </w:p>
        </w:tc>
      </w:tr>
      <w:tr w:rsidR="00B772CF">
        <w:tc>
          <w:tcPr>
            <w:tcW w:w="1704" w:type="dxa"/>
            <w:vMerge/>
            <w:vAlign w:val="center"/>
          </w:tcPr>
          <w:p w:rsidR="00B772CF" w:rsidRDefault="00B772CF"/>
        </w:tc>
        <w:tc>
          <w:tcPr>
            <w:tcW w:w="1704" w:type="dxa"/>
            <w:vAlign w:val="center"/>
          </w:tcPr>
          <w:p w:rsidR="00B772CF" w:rsidRDefault="00ED639F">
            <w:pPr>
              <w:rPr>
                <w:rFonts w:ascii="宋体" w:eastAsia="宋体" w:hAnsi="宋体"/>
                <w:sz w:val="24"/>
              </w:rPr>
            </w:pPr>
            <w:r>
              <w:rPr>
                <w:rFonts w:ascii="宋体" w:eastAsia="宋体" w:hAnsi="宋体" w:hint="eastAsia"/>
                <w:sz w:val="24"/>
              </w:rPr>
              <w:t>暂停赎回起始日</w:t>
            </w:r>
          </w:p>
        </w:tc>
        <w:tc>
          <w:tcPr>
            <w:tcW w:w="5114" w:type="dxa"/>
            <w:gridSpan w:val="3"/>
            <w:vAlign w:val="center"/>
          </w:tcPr>
          <w:p w:rsidR="00B772CF" w:rsidRDefault="00ED639F">
            <w:pPr>
              <w:rPr>
                <w:rFonts w:ascii="宋体" w:eastAsia="宋体" w:hAnsi="宋体"/>
                <w:sz w:val="24"/>
              </w:rPr>
            </w:pPr>
            <w:r>
              <w:rPr>
                <w:rFonts w:ascii="宋体" w:eastAsia="宋体" w:hAnsi="宋体" w:hint="eastAsia"/>
                <w:sz w:val="24"/>
              </w:rPr>
              <w:t>2025</w:t>
            </w:r>
            <w:r>
              <w:rPr>
                <w:rFonts w:ascii="宋体" w:eastAsia="宋体" w:hAnsi="宋体" w:hint="eastAsia"/>
                <w:sz w:val="24"/>
              </w:rPr>
              <w:t>年</w:t>
            </w:r>
            <w:r>
              <w:rPr>
                <w:rFonts w:ascii="宋体" w:eastAsia="宋体" w:hAnsi="宋体" w:hint="eastAsia"/>
                <w:sz w:val="24"/>
              </w:rPr>
              <w:t>11</w:t>
            </w:r>
            <w:r>
              <w:rPr>
                <w:rFonts w:ascii="宋体" w:eastAsia="宋体" w:hAnsi="宋体" w:hint="eastAsia"/>
                <w:sz w:val="24"/>
              </w:rPr>
              <w:t>月</w:t>
            </w:r>
            <w:r>
              <w:rPr>
                <w:rFonts w:ascii="宋体" w:eastAsia="宋体" w:hAnsi="宋体" w:hint="eastAsia"/>
                <w:sz w:val="24"/>
              </w:rPr>
              <w:t>14</w:t>
            </w:r>
            <w:r>
              <w:rPr>
                <w:rFonts w:ascii="宋体" w:eastAsia="宋体" w:hAnsi="宋体" w:hint="eastAsia"/>
                <w:sz w:val="24"/>
              </w:rPr>
              <w:t>日</w:t>
            </w:r>
          </w:p>
        </w:tc>
      </w:tr>
      <w:tr w:rsidR="00B772CF">
        <w:tc>
          <w:tcPr>
            <w:tcW w:w="1704" w:type="dxa"/>
            <w:vMerge/>
            <w:vAlign w:val="center"/>
          </w:tcPr>
          <w:p w:rsidR="00B772CF" w:rsidRDefault="00B772CF"/>
        </w:tc>
        <w:tc>
          <w:tcPr>
            <w:tcW w:w="1704" w:type="dxa"/>
            <w:vAlign w:val="center"/>
          </w:tcPr>
          <w:p w:rsidR="00B772CF" w:rsidRDefault="00ED639F">
            <w:pPr>
              <w:rPr>
                <w:rFonts w:ascii="宋体" w:eastAsia="宋体" w:hAnsi="宋体"/>
                <w:sz w:val="24"/>
              </w:rPr>
            </w:pPr>
            <w:r>
              <w:rPr>
                <w:rFonts w:ascii="宋体" w:eastAsia="宋体" w:hAnsi="宋体" w:hint="eastAsia"/>
                <w:sz w:val="24"/>
              </w:rPr>
              <w:t>暂停申购、赎回的原因说明</w:t>
            </w:r>
          </w:p>
        </w:tc>
        <w:tc>
          <w:tcPr>
            <w:tcW w:w="5114" w:type="dxa"/>
            <w:gridSpan w:val="3"/>
            <w:vAlign w:val="center"/>
          </w:tcPr>
          <w:p w:rsidR="00B772CF" w:rsidRDefault="00ED639F">
            <w:pPr>
              <w:rPr>
                <w:rFonts w:ascii="宋体" w:eastAsia="宋体" w:hAnsi="宋体"/>
                <w:sz w:val="24"/>
              </w:rPr>
            </w:pPr>
            <w:r>
              <w:rPr>
                <w:rFonts w:ascii="宋体" w:eastAsia="宋体" w:hAnsi="宋体" w:hint="eastAsia"/>
                <w:sz w:val="24"/>
              </w:rPr>
              <w:t>因本基金调整黄金现货合约申购赎回对价，为保护投资者利益，保障基金平稳运作，故暂停申购与赎回。</w:t>
            </w:r>
          </w:p>
        </w:tc>
      </w:tr>
      <w:tr w:rsidR="00B772CF">
        <w:tc>
          <w:tcPr>
            <w:tcW w:w="3408" w:type="dxa"/>
            <w:gridSpan w:val="2"/>
            <w:vAlign w:val="center"/>
          </w:tcPr>
          <w:p w:rsidR="00B772CF" w:rsidRDefault="00ED639F">
            <w:pPr>
              <w:rPr>
                <w:rFonts w:ascii="宋体" w:eastAsia="宋体" w:hAnsi="宋体"/>
                <w:sz w:val="24"/>
              </w:rPr>
            </w:pPr>
            <w:r>
              <w:rPr>
                <w:rFonts w:ascii="宋体" w:eastAsia="宋体" w:hAnsi="宋体" w:hint="eastAsia"/>
                <w:sz w:val="24"/>
              </w:rPr>
              <w:t>下属基金份额的基金简称</w:t>
            </w:r>
          </w:p>
        </w:tc>
        <w:tc>
          <w:tcPr>
            <w:tcW w:w="1704" w:type="dxa"/>
            <w:vAlign w:val="center"/>
          </w:tcPr>
          <w:p w:rsidR="00B772CF" w:rsidRDefault="00ED639F">
            <w:pPr>
              <w:rPr>
                <w:rFonts w:ascii="宋体" w:eastAsia="宋体" w:hAnsi="宋体"/>
                <w:sz w:val="24"/>
              </w:rPr>
            </w:pPr>
            <w:r>
              <w:rPr>
                <w:rFonts w:ascii="宋体" w:eastAsia="宋体" w:hAnsi="宋体" w:hint="eastAsia"/>
                <w:sz w:val="24"/>
              </w:rPr>
              <w:t>博时黄金</w:t>
            </w:r>
            <w:r>
              <w:rPr>
                <w:rFonts w:ascii="宋体" w:eastAsia="宋体" w:hAnsi="宋体"/>
                <w:sz w:val="24"/>
              </w:rPr>
              <w:t>ETF</w:t>
            </w:r>
          </w:p>
        </w:tc>
        <w:tc>
          <w:tcPr>
            <w:tcW w:w="1705" w:type="dxa"/>
            <w:vAlign w:val="center"/>
          </w:tcPr>
          <w:p w:rsidR="00B772CF" w:rsidRDefault="00ED639F">
            <w:pPr>
              <w:rPr>
                <w:rFonts w:ascii="宋体" w:eastAsia="宋体" w:hAnsi="宋体"/>
                <w:sz w:val="24"/>
              </w:rPr>
            </w:pPr>
            <w:r>
              <w:rPr>
                <w:rFonts w:ascii="宋体" w:eastAsia="宋体" w:hAnsi="宋体" w:hint="eastAsia"/>
                <w:sz w:val="24"/>
              </w:rPr>
              <w:t>博时黄金</w:t>
            </w:r>
            <w:r>
              <w:rPr>
                <w:rFonts w:ascii="宋体" w:eastAsia="宋体" w:hAnsi="宋体"/>
                <w:sz w:val="24"/>
              </w:rPr>
              <w:t>ETFD</w:t>
            </w:r>
          </w:p>
        </w:tc>
        <w:tc>
          <w:tcPr>
            <w:tcW w:w="1705" w:type="dxa"/>
            <w:vAlign w:val="center"/>
          </w:tcPr>
          <w:p w:rsidR="00B772CF" w:rsidRDefault="00ED639F">
            <w:pPr>
              <w:rPr>
                <w:rFonts w:ascii="宋体" w:eastAsia="宋体" w:hAnsi="宋体"/>
                <w:sz w:val="24"/>
              </w:rPr>
            </w:pPr>
            <w:r>
              <w:rPr>
                <w:rFonts w:ascii="宋体" w:eastAsia="宋体" w:hAnsi="宋体" w:hint="eastAsia"/>
                <w:sz w:val="24"/>
              </w:rPr>
              <w:t>博时黄金</w:t>
            </w:r>
            <w:r>
              <w:rPr>
                <w:rFonts w:ascii="宋体" w:eastAsia="宋体" w:hAnsi="宋体"/>
                <w:sz w:val="24"/>
              </w:rPr>
              <w:t>ETFI</w:t>
            </w:r>
          </w:p>
        </w:tc>
      </w:tr>
      <w:tr w:rsidR="00B772CF">
        <w:tc>
          <w:tcPr>
            <w:tcW w:w="3408" w:type="dxa"/>
            <w:gridSpan w:val="2"/>
            <w:vAlign w:val="center"/>
          </w:tcPr>
          <w:p w:rsidR="00B772CF" w:rsidRDefault="00ED639F">
            <w:pPr>
              <w:rPr>
                <w:rFonts w:ascii="宋体" w:eastAsia="宋体" w:hAnsi="宋体"/>
                <w:sz w:val="24"/>
              </w:rPr>
            </w:pPr>
            <w:r>
              <w:rPr>
                <w:rFonts w:ascii="宋体" w:eastAsia="宋体" w:hAnsi="宋体" w:hint="eastAsia"/>
                <w:sz w:val="24"/>
              </w:rPr>
              <w:t>下属基金份额的交易代码</w:t>
            </w:r>
          </w:p>
        </w:tc>
        <w:tc>
          <w:tcPr>
            <w:tcW w:w="1704" w:type="dxa"/>
            <w:vAlign w:val="center"/>
          </w:tcPr>
          <w:p w:rsidR="00B772CF" w:rsidRDefault="00ED639F">
            <w:pPr>
              <w:rPr>
                <w:rFonts w:ascii="宋体" w:eastAsia="宋体" w:hAnsi="宋体"/>
                <w:sz w:val="24"/>
              </w:rPr>
            </w:pPr>
            <w:r>
              <w:rPr>
                <w:rFonts w:ascii="宋体" w:eastAsia="宋体" w:hAnsi="宋体"/>
                <w:sz w:val="24"/>
              </w:rPr>
              <w:t>159937</w:t>
            </w:r>
          </w:p>
        </w:tc>
        <w:tc>
          <w:tcPr>
            <w:tcW w:w="1705" w:type="dxa"/>
            <w:vAlign w:val="center"/>
          </w:tcPr>
          <w:p w:rsidR="00B772CF" w:rsidRDefault="00ED639F">
            <w:pPr>
              <w:rPr>
                <w:rFonts w:ascii="宋体" w:eastAsia="宋体" w:hAnsi="宋体"/>
                <w:sz w:val="24"/>
              </w:rPr>
            </w:pPr>
            <w:r>
              <w:rPr>
                <w:rFonts w:ascii="宋体" w:eastAsia="宋体" w:hAnsi="宋体"/>
                <w:sz w:val="24"/>
              </w:rPr>
              <w:t>000929</w:t>
            </w:r>
          </w:p>
        </w:tc>
        <w:tc>
          <w:tcPr>
            <w:tcW w:w="1705" w:type="dxa"/>
            <w:vAlign w:val="center"/>
          </w:tcPr>
          <w:p w:rsidR="00B772CF" w:rsidRDefault="00ED639F">
            <w:pPr>
              <w:rPr>
                <w:rFonts w:ascii="宋体" w:eastAsia="宋体" w:hAnsi="宋体"/>
                <w:sz w:val="24"/>
              </w:rPr>
            </w:pPr>
            <w:r>
              <w:rPr>
                <w:rFonts w:ascii="宋体" w:eastAsia="宋体" w:hAnsi="宋体"/>
                <w:sz w:val="24"/>
              </w:rPr>
              <w:t>000930</w:t>
            </w:r>
          </w:p>
        </w:tc>
      </w:tr>
      <w:tr w:rsidR="00B772CF">
        <w:tc>
          <w:tcPr>
            <w:tcW w:w="3408" w:type="dxa"/>
            <w:gridSpan w:val="2"/>
            <w:vAlign w:val="center"/>
          </w:tcPr>
          <w:p w:rsidR="00B772CF" w:rsidRDefault="00ED639F">
            <w:pPr>
              <w:rPr>
                <w:rFonts w:ascii="宋体" w:eastAsia="宋体" w:hAnsi="宋体"/>
                <w:sz w:val="24"/>
              </w:rPr>
            </w:pPr>
            <w:r>
              <w:rPr>
                <w:rFonts w:ascii="宋体" w:eastAsia="宋体" w:hAnsi="宋体" w:hint="eastAsia"/>
                <w:sz w:val="24"/>
              </w:rPr>
              <w:t>该类基金份额是否暂停申购、赎回业务</w:t>
            </w:r>
          </w:p>
        </w:tc>
        <w:tc>
          <w:tcPr>
            <w:tcW w:w="1704" w:type="dxa"/>
            <w:vAlign w:val="center"/>
          </w:tcPr>
          <w:p w:rsidR="00B772CF" w:rsidRDefault="00ED639F">
            <w:pPr>
              <w:rPr>
                <w:rFonts w:ascii="宋体" w:eastAsia="宋体" w:hAnsi="宋体"/>
                <w:sz w:val="24"/>
              </w:rPr>
            </w:pPr>
            <w:r>
              <w:rPr>
                <w:rFonts w:ascii="宋体" w:eastAsia="宋体" w:hAnsi="宋体" w:hint="eastAsia"/>
                <w:sz w:val="24"/>
              </w:rPr>
              <w:t>是</w:t>
            </w:r>
          </w:p>
        </w:tc>
        <w:tc>
          <w:tcPr>
            <w:tcW w:w="1705" w:type="dxa"/>
            <w:vAlign w:val="center"/>
          </w:tcPr>
          <w:p w:rsidR="00B772CF" w:rsidRDefault="00ED639F">
            <w:pPr>
              <w:rPr>
                <w:rFonts w:ascii="宋体" w:eastAsia="宋体" w:hAnsi="宋体"/>
                <w:sz w:val="24"/>
              </w:rPr>
            </w:pPr>
            <w:r>
              <w:rPr>
                <w:rFonts w:ascii="宋体" w:eastAsia="宋体" w:hAnsi="宋体" w:hint="eastAsia"/>
                <w:sz w:val="24"/>
              </w:rPr>
              <w:t>是</w:t>
            </w:r>
          </w:p>
        </w:tc>
        <w:tc>
          <w:tcPr>
            <w:tcW w:w="1705" w:type="dxa"/>
            <w:vAlign w:val="center"/>
          </w:tcPr>
          <w:p w:rsidR="00B772CF" w:rsidRDefault="00ED639F">
            <w:pPr>
              <w:rPr>
                <w:rFonts w:ascii="宋体" w:eastAsia="宋体" w:hAnsi="宋体"/>
                <w:sz w:val="24"/>
              </w:rPr>
            </w:pPr>
            <w:r>
              <w:rPr>
                <w:rFonts w:ascii="宋体" w:eastAsia="宋体" w:hAnsi="宋体" w:hint="eastAsia"/>
                <w:sz w:val="24"/>
              </w:rPr>
              <w:t>是</w:t>
            </w:r>
          </w:p>
        </w:tc>
      </w:tr>
    </w:tbl>
    <w:p w:rsidR="00B772CF" w:rsidRDefault="00B772CF"/>
    <w:p w:rsidR="00B772CF" w:rsidRDefault="00ED639F">
      <w:pPr>
        <w:pStyle w:val="a3"/>
        <w:spacing w:before="0" w:beforeAutospacing="0" w:after="0" w:afterAutospacing="0" w:line="360" w:lineRule="auto"/>
        <w:ind w:firstLine="420"/>
      </w:pPr>
      <w:r>
        <w:rPr>
          <w:rFonts w:hint="eastAsia"/>
        </w:rPr>
        <w:t>注：</w:t>
      </w:r>
      <w:r>
        <w:rPr>
          <w:rFonts w:hint="eastAsia"/>
        </w:rPr>
        <w:t>本次</w:t>
      </w:r>
      <w:r>
        <w:rPr>
          <w:rFonts w:hint="eastAsia"/>
        </w:rPr>
        <w:t>仅暂停本基金</w:t>
      </w:r>
      <w:r>
        <w:rPr>
          <w:rFonts w:hint="eastAsia"/>
        </w:rPr>
        <w:t>场内基金份额</w:t>
      </w:r>
      <w:bookmarkStart w:id="0" w:name="_GoBack"/>
      <w:bookmarkEnd w:id="0"/>
      <w:r>
        <w:rPr>
          <w:rFonts w:hint="eastAsia"/>
        </w:rPr>
        <w:t>黄金现货合约申购赎回业务，现金申购赎回业务正常办理。</w:t>
      </w:r>
      <w:r>
        <w:rPr>
          <w:rFonts w:hint="eastAsia"/>
        </w:rPr>
        <w:t>本基金场外基金份额</w:t>
      </w:r>
      <w:r>
        <w:rPr>
          <w:rFonts w:hint="eastAsia"/>
        </w:rPr>
        <w:t>博时黄金</w:t>
      </w:r>
      <w:r>
        <w:t>ETF</w:t>
      </w:r>
      <w:r>
        <w:rPr>
          <w:rFonts w:hint="eastAsia"/>
        </w:rPr>
        <w:t xml:space="preserve"> </w:t>
      </w:r>
      <w:r>
        <w:t>D</w:t>
      </w:r>
      <w:r>
        <w:rPr>
          <w:rFonts w:hint="eastAsia"/>
        </w:rPr>
        <w:t>和</w:t>
      </w:r>
      <w:r>
        <w:rPr>
          <w:rFonts w:hint="eastAsia"/>
        </w:rPr>
        <w:t>博时黄金</w:t>
      </w:r>
      <w:r>
        <w:t>ETF</w:t>
      </w:r>
      <w:r>
        <w:rPr>
          <w:rFonts w:hint="eastAsia"/>
        </w:rPr>
        <w:t xml:space="preserve"> </w:t>
      </w:r>
      <w:r>
        <w:t>I</w:t>
      </w:r>
      <w:r>
        <w:rPr>
          <w:rFonts w:hint="eastAsia"/>
        </w:rPr>
        <w:t>已</w:t>
      </w:r>
      <w:r>
        <w:t>于</w:t>
      </w:r>
      <w:r>
        <w:t>2018</w:t>
      </w:r>
      <w:r>
        <w:t>年</w:t>
      </w:r>
      <w:r>
        <w:t>1</w:t>
      </w:r>
      <w:r>
        <w:t>月</w:t>
      </w:r>
      <w:r>
        <w:rPr>
          <w:rFonts w:hint="eastAsia"/>
        </w:rPr>
        <w:t>16</w:t>
      </w:r>
      <w:r>
        <w:t>日起暂停办理申购、定期定额投资及转换转入业务</w:t>
      </w:r>
      <w:r>
        <w:rPr>
          <w:rFonts w:hint="eastAsia"/>
        </w:rPr>
        <w:t>。</w:t>
      </w:r>
    </w:p>
    <w:p w:rsidR="00B772CF" w:rsidRDefault="00ED639F">
      <w:pPr>
        <w:pStyle w:val="3"/>
        <w:rPr>
          <w:rFonts w:ascii="宋体" w:eastAsia="宋体" w:hAnsi="宋体"/>
          <w:sz w:val="24"/>
        </w:rPr>
      </w:pPr>
      <w:r>
        <w:rPr>
          <w:rFonts w:ascii="宋体" w:eastAsia="宋体" w:hAnsi="宋体"/>
          <w:sz w:val="24"/>
        </w:rPr>
        <w:t>2</w:t>
      </w:r>
      <w:r>
        <w:rPr>
          <w:rFonts w:ascii="宋体" w:eastAsia="宋体" w:hAnsi="宋体"/>
          <w:sz w:val="24"/>
        </w:rPr>
        <w:t>、其他需要提示的事项</w:t>
      </w:r>
    </w:p>
    <w:p w:rsidR="00B772CF" w:rsidRDefault="00ED639F">
      <w:pPr>
        <w:pStyle w:val="a3"/>
        <w:spacing w:before="0" w:beforeAutospacing="0" w:after="0" w:afterAutospacing="0" w:line="360" w:lineRule="auto"/>
        <w:ind w:firstLine="420"/>
      </w:pPr>
      <w:r>
        <w:rPr>
          <w:rFonts w:hint="eastAsia"/>
        </w:rPr>
        <w:t>（</w:t>
      </w:r>
      <w:r>
        <w:rPr>
          <w:rFonts w:hint="eastAsia"/>
        </w:rPr>
        <w:t>1</w:t>
      </w:r>
      <w:r>
        <w:rPr>
          <w:rFonts w:hint="eastAsia"/>
        </w:rPr>
        <w:t>）投资者在</w:t>
      </w:r>
      <w:r>
        <w:rPr>
          <w:rFonts w:hint="eastAsia"/>
        </w:rPr>
        <w:t>2025</w:t>
      </w:r>
      <w:r>
        <w:rPr>
          <w:rFonts w:hint="eastAsia"/>
        </w:rPr>
        <w:t>年</w:t>
      </w:r>
      <w:r>
        <w:rPr>
          <w:rFonts w:hint="eastAsia"/>
        </w:rPr>
        <w:t>11</w:t>
      </w:r>
      <w:r>
        <w:rPr>
          <w:rFonts w:hint="eastAsia"/>
        </w:rPr>
        <w:t>月</w:t>
      </w:r>
      <w:r>
        <w:rPr>
          <w:rFonts w:hint="eastAsia"/>
        </w:rPr>
        <w:t>14</w:t>
      </w:r>
      <w:r>
        <w:rPr>
          <w:rFonts w:hint="eastAsia"/>
        </w:rPr>
        <w:t>日</w:t>
      </w:r>
      <w:r>
        <w:rPr>
          <w:rFonts w:hint="eastAsia"/>
        </w:rPr>
        <w:t>暂停办理</w:t>
      </w:r>
      <w:r>
        <w:rPr>
          <w:rFonts w:hint="eastAsia"/>
        </w:rPr>
        <w:t>本基金</w:t>
      </w:r>
      <w:r>
        <w:rPr>
          <w:rFonts w:hint="eastAsia"/>
        </w:rPr>
        <w:t>场内基金份额</w:t>
      </w:r>
      <w:r>
        <w:rPr>
          <w:rFonts w:hint="eastAsia"/>
        </w:rPr>
        <w:t>黄金现货合约申购</w:t>
      </w:r>
      <w:r>
        <w:rPr>
          <w:rFonts w:hint="eastAsia"/>
        </w:rPr>
        <w:t>、</w:t>
      </w:r>
      <w:r>
        <w:rPr>
          <w:rFonts w:hint="eastAsia"/>
        </w:rPr>
        <w:t>赎回业务</w:t>
      </w:r>
      <w:r>
        <w:rPr>
          <w:rFonts w:hint="eastAsia"/>
        </w:rPr>
        <w:t>，</w:t>
      </w:r>
      <w:r>
        <w:rPr>
          <w:rFonts w:hint="eastAsia"/>
        </w:rPr>
        <w:t>可正常办理本基金</w:t>
      </w:r>
      <w:r>
        <w:rPr>
          <w:rFonts w:hint="eastAsia"/>
        </w:rPr>
        <w:t>场内基金份额</w:t>
      </w:r>
      <w:r>
        <w:rPr>
          <w:rFonts w:hint="eastAsia"/>
        </w:rPr>
        <w:t>现金申购赎回业务以及二级市场交易。</w:t>
      </w:r>
    </w:p>
    <w:p w:rsidR="00B772CF" w:rsidRDefault="00ED639F">
      <w:pPr>
        <w:pStyle w:val="a3"/>
        <w:spacing w:before="0" w:beforeAutospacing="0" w:after="0" w:afterAutospacing="0" w:line="360" w:lineRule="auto"/>
        <w:ind w:firstLine="420"/>
      </w:pPr>
      <w:r>
        <w:rPr>
          <w:rFonts w:hint="eastAsia"/>
        </w:rPr>
        <w:lastRenderedPageBreak/>
        <w:t>（</w:t>
      </w:r>
      <w:r>
        <w:rPr>
          <w:rFonts w:hint="eastAsia"/>
        </w:rPr>
        <w:t>2</w:t>
      </w:r>
      <w:r>
        <w:rPr>
          <w:rFonts w:hint="eastAsia"/>
        </w:rPr>
        <w:t>）自</w:t>
      </w:r>
      <w:r>
        <w:rPr>
          <w:rFonts w:hint="eastAsia"/>
        </w:rPr>
        <w:t>2025</w:t>
      </w:r>
      <w:r>
        <w:rPr>
          <w:rFonts w:hint="eastAsia"/>
        </w:rPr>
        <w:t>年</w:t>
      </w:r>
      <w:r>
        <w:rPr>
          <w:rFonts w:hint="eastAsia"/>
        </w:rPr>
        <w:t>11</w:t>
      </w:r>
      <w:r>
        <w:rPr>
          <w:rFonts w:hint="eastAsia"/>
        </w:rPr>
        <w:t>月</w:t>
      </w:r>
      <w:r>
        <w:rPr>
          <w:rFonts w:hint="eastAsia"/>
        </w:rPr>
        <w:t>17</w:t>
      </w:r>
      <w:r>
        <w:rPr>
          <w:rFonts w:hint="eastAsia"/>
        </w:rPr>
        <w:t>日</w:t>
      </w:r>
      <w:r>
        <w:rPr>
          <w:rFonts w:hint="eastAsia"/>
        </w:rPr>
        <w:t>起</w:t>
      </w:r>
      <w:r>
        <w:rPr>
          <w:rFonts w:hint="eastAsia"/>
        </w:rPr>
        <w:t>恢复办理</w:t>
      </w:r>
      <w:r>
        <w:rPr>
          <w:rFonts w:hint="eastAsia"/>
        </w:rPr>
        <w:t>本基金</w:t>
      </w:r>
      <w:r>
        <w:rPr>
          <w:rFonts w:hint="eastAsia"/>
        </w:rPr>
        <w:t>场内基金份额</w:t>
      </w:r>
      <w:r>
        <w:rPr>
          <w:rFonts w:hint="eastAsia"/>
        </w:rPr>
        <w:t>黄金现货合约申购</w:t>
      </w:r>
      <w:r>
        <w:rPr>
          <w:rFonts w:hint="eastAsia"/>
        </w:rPr>
        <w:t>、</w:t>
      </w:r>
      <w:r>
        <w:rPr>
          <w:rFonts w:hint="eastAsia"/>
        </w:rPr>
        <w:t>赎回业务</w:t>
      </w:r>
      <w:r>
        <w:rPr>
          <w:rFonts w:hint="eastAsia"/>
        </w:rPr>
        <w:t>。</w:t>
      </w:r>
      <w:r>
        <w:rPr>
          <w:rFonts w:hint="eastAsia"/>
        </w:rPr>
        <w:t>投资者办理本基金</w:t>
      </w:r>
      <w:r>
        <w:rPr>
          <w:rFonts w:hint="eastAsia"/>
        </w:rPr>
        <w:t>场内基金份额</w:t>
      </w:r>
      <w:r>
        <w:rPr>
          <w:rFonts w:hint="eastAsia"/>
        </w:rPr>
        <w:t>黄金现货合约申购赎回业务时，申购赎回对价中的黄金现货合约仅为上海黄金交易所</w:t>
      </w:r>
      <w:r>
        <w:rPr>
          <w:rFonts w:hint="eastAsia"/>
        </w:rPr>
        <w:t>Au99.99</w:t>
      </w:r>
      <w:r>
        <w:rPr>
          <w:rFonts w:hint="eastAsia"/>
        </w:rPr>
        <w:t>合约，不再包括上海黄金交易所</w:t>
      </w:r>
      <w:r>
        <w:rPr>
          <w:rFonts w:hint="eastAsia"/>
        </w:rPr>
        <w:t>Au99.95</w:t>
      </w:r>
      <w:r>
        <w:rPr>
          <w:rFonts w:hint="eastAsia"/>
        </w:rPr>
        <w:t>合约。具体黄金现货合约种类及相关信息请见开放日的黄金现货合约申购赎回清单，投资者亦应根据开放日的黄金现货合约申购赎回清单办理黄金现货合约申购赎回业务。</w:t>
      </w:r>
      <w:r>
        <w:rPr>
          <w:rFonts w:hint="eastAsia"/>
        </w:rPr>
        <w:t xml:space="preserve"> </w:t>
      </w:r>
    </w:p>
    <w:p w:rsidR="00B772CF" w:rsidRDefault="00ED639F">
      <w:pPr>
        <w:pStyle w:val="a3"/>
        <w:spacing w:before="0" w:beforeAutospacing="0" w:after="0" w:afterAutospacing="0" w:line="360" w:lineRule="auto"/>
        <w:ind w:firstLine="420"/>
      </w:pPr>
      <w:r>
        <w:rPr>
          <w:rFonts w:hint="eastAsia"/>
        </w:rPr>
        <w:t>（</w:t>
      </w:r>
      <w:r>
        <w:rPr>
          <w:rFonts w:hint="eastAsia"/>
        </w:rPr>
        <w:t>3</w:t>
      </w:r>
      <w:r>
        <w:rPr>
          <w:rFonts w:hint="eastAsia"/>
        </w:rPr>
        <w:t>）如有疑问，请拨打博时一线通：</w:t>
      </w:r>
      <w:r>
        <w:rPr>
          <w:rFonts w:hint="eastAsia"/>
        </w:rPr>
        <w:t>95105568</w:t>
      </w:r>
      <w:r>
        <w:rPr>
          <w:rFonts w:hint="eastAsia"/>
        </w:rPr>
        <w:t>（免长途话费）或登录本公司网站</w:t>
      </w:r>
      <w:r>
        <w:rPr>
          <w:rFonts w:hint="eastAsia"/>
        </w:rPr>
        <w:t>www.bosera.com</w:t>
      </w:r>
      <w:r>
        <w:rPr>
          <w:rFonts w:hint="eastAsia"/>
        </w:rPr>
        <w:t>获取相关信息。</w:t>
      </w:r>
      <w:r>
        <w:rPr>
          <w:rFonts w:hint="eastAsia"/>
        </w:rPr>
        <w:t xml:space="preserve"> </w:t>
      </w:r>
    </w:p>
    <w:p w:rsidR="00B772CF" w:rsidRDefault="00ED639F">
      <w:pPr>
        <w:pStyle w:val="a3"/>
        <w:spacing w:before="0" w:beforeAutospacing="0" w:after="0" w:afterAutospacing="0" w:line="360" w:lineRule="auto"/>
        <w:ind w:firstLine="420"/>
      </w:pPr>
      <w:r>
        <w:rPr>
          <w:rFonts w:hint="eastAsia"/>
        </w:rPr>
        <w:t>特此公告。</w:t>
      </w:r>
      <w:r>
        <w:rPr>
          <w:rFonts w:hint="eastAsia"/>
        </w:rPr>
        <w:t xml:space="preserve"> </w:t>
      </w:r>
    </w:p>
    <w:p w:rsidR="00B772CF" w:rsidRDefault="00B772CF">
      <w:pPr>
        <w:pStyle w:val="a3"/>
        <w:spacing w:before="0" w:beforeAutospacing="0" w:after="0" w:afterAutospacing="0" w:line="360" w:lineRule="auto"/>
        <w:ind w:firstLine="420"/>
      </w:pPr>
    </w:p>
    <w:p w:rsidR="00B772CF" w:rsidRDefault="00B772CF">
      <w:pPr>
        <w:pStyle w:val="a3"/>
        <w:spacing w:before="0" w:beforeAutospacing="0" w:after="0" w:afterAutospacing="0" w:line="360" w:lineRule="auto"/>
        <w:ind w:firstLine="420"/>
        <w:rPr>
          <w:sz w:val="28"/>
          <w:szCs w:val="28"/>
        </w:rPr>
      </w:pPr>
    </w:p>
    <w:p w:rsidR="00B772CF" w:rsidRDefault="00B772CF">
      <w:pPr>
        <w:pStyle w:val="a3"/>
        <w:spacing w:before="0" w:beforeAutospacing="0" w:after="0" w:afterAutospacing="0" w:line="360" w:lineRule="auto"/>
        <w:ind w:firstLine="420"/>
      </w:pPr>
    </w:p>
    <w:p w:rsidR="00B772CF" w:rsidRDefault="00ED639F">
      <w:pPr>
        <w:pStyle w:val="a3"/>
        <w:spacing w:before="0" w:beforeAutospacing="0" w:after="0" w:afterAutospacing="0" w:line="360" w:lineRule="auto"/>
        <w:ind w:firstLine="420"/>
        <w:jc w:val="right"/>
      </w:pPr>
      <w:r>
        <w:rPr>
          <w:rFonts w:hint="eastAsia"/>
        </w:rPr>
        <w:t>博时基金管理有限公司</w:t>
      </w:r>
    </w:p>
    <w:p w:rsidR="00B772CF" w:rsidRDefault="00ED639F">
      <w:pPr>
        <w:pStyle w:val="a3"/>
        <w:spacing w:before="0" w:beforeAutospacing="0" w:after="0" w:afterAutospacing="0" w:line="360" w:lineRule="auto"/>
        <w:ind w:firstLine="420"/>
        <w:jc w:val="right"/>
      </w:pPr>
      <w:r>
        <w:rPr>
          <w:rFonts w:hint="eastAsia"/>
        </w:rPr>
        <w:t>2025</w:t>
      </w:r>
      <w:r>
        <w:rPr>
          <w:rFonts w:hint="eastAsia"/>
        </w:rPr>
        <w:t>年</w:t>
      </w:r>
      <w:r>
        <w:rPr>
          <w:rFonts w:hint="eastAsia"/>
        </w:rPr>
        <w:t>11</w:t>
      </w:r>
      <w:r>
        <w:rPr>
          <w:rFonts w:hint="eastAsia"/>
        </w:rPr>
        <w:t>月</w:t>
      </w:r>
      <w:r>
        <w:rPr>
          <w:rFonts w:hint="eastAsia"/>
        </w:rPr>
        <w:t>10</w:t>
      </w:r>
      <w:r>
        <w:rPr>
          <w:rFonts w:hint="eastAsia"/>
        </w:rPr>
        <w:t>日</w:t>
      </w:r>
    </w:p>
    <w:sectPr w:rsidR="00B772CF" w:rsidSect="00B772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054220"/>
    <w:rsid w:val="00054220"/>
    <w:rsid w:val="004073A5"/>
    <w:rsid w:val="00B772CF"/>
    <w:rsid w:val="00ED639F"/>
    <w:rsid w:val="04BE67FF"/>
    <w:rsid w:val="2EF52E66"/>
    <w:rsid w:val="301C3AE4"/>
    <w:rsid w:val="37AE161C"/>
    <w:rsid w:val="38775E16"/>
    <w:rsid w:val="602C62BD"/>
    <w:rsid w:val="61231EAE"/>
    <w:rsid w:val="7B0734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2CF"/>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unhideWhenUsed/>
    <w:qFormat/>
    <w:rsid w:val="00B772C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772CF"/>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B77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qFormat/>
    <w:rsid w:val="00B772CF"/>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781</Characters>
  <Application>Microsoft Office Word</Application>
  <DocSecurity>4</DocSecurity>
  <Lines>6</Lines>
  <Paragraphs>1</Paragraphs>
  <ScaleCrop>false</ScaleCrop>
  <Company>mycompany</Company>
  <LinksUpToDate>false</LinksUpToDate>
  <CharactersWithSpaces>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2025-11-09T16:01:00Z</dcterms:created>
  <dcterms:modified xsi:type="dcterms:W3CDTF">2025-11-09T16:01:00Z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3818E7BC35CF4231BFBC28E327FA2FBF_13</vt:lpwstr>
  </property>
</Properties>
</file>