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CA4" w:rsidRPr="001F12D1" w:rsidRDefault="003F7B9D" w:rsidP="00141CA4">
      <w:pPr>
        <w:pStyle w:val="font14"/>
        <w:jc w:val="center"/>
        <w:rPr>
          <w:rFonts w:asciiTheme="majorEastAsia" w:eastAsiaTheme="majorEastAsia" w:hAnsiTheme="majorEastAsia"/>
        </w:rPr>
      </w:pPr>
      <w:r w:rsidRPr="001F12D1">
        <w:rPr>
          <w:rStyle w:val="a8"/>
          <w:rFonts w:asciiTheme="majorEastAsia" w:eastAsiaTheme="majorEastAsia" w:hAnsiTheme="majorEastAsia" w:hint="eastAsia"/>
          <w:sz w:val="24"/>
          <w:szCs w:val="24"/>
        </w:rPr>
        <w:t>易方达基金管理有限公司</w:t>
      </w:r>
      <w:r w:rsidRPr="00C251FE">
        <w:rPr>
          <w:rStyle w:val="a8"/>
          <w:rFonts w:asciiTheme="majorEastAsia" w:eastAsiaTheme="majorEastAsia" w:hAnsiTheme="majorEastAsia" w:hint="eastAsia"/>
          <w:sz w:val="24"/>
          <w:szCs w:val="24"/>
        </w:rPr>
        <w:t>关于旗下基金关联交易事项的公告</w:t>
      </w:r>
    </w:p>
    <w:p w:rsidR="00C40BE1" w:rsidRDefault="003F7B9D" w:rsidP="0069506F">
      <w:pPr>
        <w:pStyle w:val="Default"/>
        <w:spacing w:line="360" w:lineRule="auto"/>
        <w:ind w:firstLineChars="210" w:firstLine="504"/>
        <w:rPr>
          <w:rFonts w:asciiTheme="majorEastAsia" w:eastAsiaTheme="majorEastAsia" w:hAnsiTheme="majorEastAsia"/>
        </w:rPr>
      </w:pPr>
      <w:r w:rsidRPr="006B6352">
        <w:rPr>
          <w:rFonts w:asciiTheme="majorEastAsia" w:eastAsiaTheme="majorEastAsia" w:hAnsiTheme="majorEastAsia" w:hint="eastAsia"/>
        </w:rPr>
        <w:t>根据《公开募集证券投资基金运作管理办法》《公开募集证券投资基金信息披露管理办法》及相关法律法规、基金合同及招募说明书等规定，在履行规定审批程序并经基金托管人同意后，</w:t>
      </w:r>
      <w:r>
        <w:rPr>
          <w:rFonts w:asciiTheme="majorEastAsia" w:eastAsiaTheme="majorEastAsia" w:hAnsiTheme="majorEastAsia" w:hint="eastAsia"/>
        </w:rPr>
        <w:t>易方达基金管理有限公司</w:t>
      </w:r>
      <w:r w:rsidRPr="00A54315">
        <w:rPr>
          <w:rFonts w:asciiTheme="majorEastAsia" w:eastAsiaTheme="majorEastAsia" w:hAnsiTheme="majorEastAsia" w:hint="eastAsia"/>
        </w:rPr>
        <w:t>（以下简称“本公司”）</w:t>
      </w:r>
      <w:r>
        <w:rPr>
          <w:rFonts w:asciiTheme="majorEastAsia" w:eastAsiaTheme="majorEastAsia" w:hAnsiTheme="majorEastAsia" w:hint="eastAsia"/>
        </w:rPr>
        <w:t>旗下部分</w:t>
      </w:r>
      <w:r w:rsidR="003B4F45">
        <w:rPr>
          <w:rFonts w:asciiTheme="majorEastAsia" w:eastAsiaTheme="majorEastAsia" w:hAnsiTheme="majorEastAsia" w:hint="eastAsia"/>
        </w:rPr>
        <w:t>公募</w:t>
      </w:r>
      <w:r>
        <w:rPr>
          <w:rFonts w:asciiTheme="majorEastAsia" w:eastAsiaTheme="majorEastAsia" w:hAnsiTheme="majorEastAsia" w:hint="eastAsia"/>
        </w:rPr>
        <w:t>基金</w:t>
      </w:r>
      <w:r w:rsidRPr="001F12D1">
        <w:rPr>
          <w:rFonts w:asciiTheme="majorEastAsia" w:eastAsiaTheme="majorEastAsia" w:hAnsiTheme="majorEastAsia" w:hint="eastAsia"/>
        </w:rPr>
        <w:t>参</w:t>
      </w:r>
      <w:r w:rsidRPr="00923081">
        <w:rPr>
          <w:rFonts w:asciiTheme="majorEastAsia" w:eastAsiaTheme="majorEastAsia" w:hAnsiTheme="majorEastAsia" w:hint="eastAsia"/>
        </w:rPr>
        <w:t>与</w:t>
      </w:r>
      <w:r w:rsidRPr="001F12D1">
        <w:rPr>
          <w:rFonts w:asciiTheme="majorEastAsia" w:eastAsiaTheme="majorEastAsia" w:hAnsiTheme="majorEastAsia" w:hint="eastAsia"/>
        </w:rPr>
        <w:t>了</w:t>
      </w:r>
      <w:r w:rsidR="0058235E">
        <w:rPr>
          <w:rFonts w:asciiTheme="majorEastAsia" w:eastAsiaTheme="majorEastAsia" w:hAnsiTheme="majorEastAsia" w:hint="eastAsia"/>
        </w:rPr>
        <w:t>乐舒适</w:t>
      </w:r>
      <w:r w:rsidR="0069506F">
        <w:rPr>
          <w:rFonts w:asciiTheme="majorEastAsia" w:eastAsiaTheme="majorEastAsia" w:hAnsiTheme="majorEastAsia" w:hint="eastAsia"/>
          <w:bCs/>
        </w:rPr>
        <w:t>有限公司</w:t>
      </w:r>
      <w:r w:rsidRPr="00A54315">
        <w:rPr>
          <w:rFonts w:asciiTheme="majorEastAsia" w:eastAsiaTheme="majorEastAsia" w:hAnsiTheme="majorEastAsia" w:hint="eastAsia"/>
          <w:bCs/>
        </w:rPr>
        <w:t>（以下简称“</w:t>
      </w:r>
      <w:r w:rsidR="0058235E">
        <w:rPr>
          <w:rFonts w:asciiTheme="majorEastAsia" w:eastAsiaTheme="majorEastAsia" w:hAnsiTheme="majorEastAsia" w:hint="eastAsia"/>
        </w:rPr>
        <w:t>乐舒适</w:t>
      </w:r>
      <w:r w:rsidRPr="00A54315">
        <w:rPr>
          <w:rFonts w:asciiTheme="majorEastAsia" w:eastAsiaTheme="majorEastAsia" w:hAnsiTheme="majorEastAsia" w:hint="eastAsia"/>
          <w:bCs/>
        </w:rPr>
        <w:t>”）</w:t>
      </w:r>
      <w:r w:rsidR="000B7039" w:rsidRPr="000B7039">
        <w:rPr>
          <w:rFonts w:asciiTheme="majorEastAsia" w:eastAsiaTheme="majorEastAsia" w:hAnsiTheme="majorEastAsia" w:hint="eastAsia"/>
          <w:bCs/>
        </w:rPr>
        <w:t>于香港联合交易所发行的</w:t>
      </w:r>
      <w:r w:rsidR="002553A4">
        <w:rPr>
          <w:rFonts w:asciiTheme="majorEastAsia" w:eastAsiaTheme="majorEastAsia" w:hAnsiTheme="majorEastAsia" w:hint="eastAsia"/>
          <w:bCs/>
        </w:rPr>
        <w:t>股份</w:t>
      </w:r>
      <w:r w:rsidR="000B7039" w:rsidRPr="000B7039">
        <w:rPr>
          <w:rFonts w:asciiTheme="majorEastAsia" w:eastAsiaTheme="majorEastAsia" w:hAnsiTheme="majorEastAsia" w:hint="eastAsia"/>
          <w:bCs/>
        </w:rPr>
        <w:t>的认购</w:t>
      </w:r>
      <w:r w:rsidR="0058235E">
        <w:rPr>
          <w:rFonts w:asciiTheme="majorEastAsia" w:eastAsiaTheme="majorEastAsia" w:hAnsiTheme="majorEastAsia" w:hint="eastAsia"/>
          <w:bCs/>
        </w:rPr>
        <w:t>，</w:t>
      </w:r>
      <w:r w:rsidR="0058235E">
        <w:rPr>
          <w:rFonts w:asciiTheme="majorEastAsia" w:eastAsiaTheme="majorEastAsia" w:hAnsiTheme="majorEastAsia" w:hint="eastAsia"/>
        </w:rPr>
        <w:t>乐舒适</w:t>
      </w:r>
      <w:r w:rsidR="000B7039" w:rsidRPr="000B7039">
        <w:rPr>
          <w:rFonts w:asciiTheme="majorEastAsia" w:eastAsiaTheme="majorEastAsia" w:hAnsiTheme="majorEastAsia" w:hint="eastAsia"/>
        </w:rPr>
        <w:t>本次发行的</w:t>
      </w:r>
      <w:r w:rsidRPr="00C40BE1">
        <w:rPr>
          <w:rFonts w:asciiTheme="majorEastAsia" w:eastAsiaTheme="majorEastAsia" w:hAnsiTheme="majorEastAsia" w:hint="eastAsia"/>
        </w:rPr>
        <w:t>香港包销商广发证券（香港）经纪有限公司为本公司非控股股东广发证券股份有限公司的子公司</w:t>
      </w:r>
      <w:r w:rsidR="0058235E">
        <w:rPr>
          <w:rFonts w:asciiTheme="majorEastAsia" w:eastAsiaTheme="majorEastAsia" w:hAnsiTheme="majorEastAsia" w:hint="eastAsia"/>
        </w:rPr>
        <w:t>；</w:t>
      </w:r>
      <w:r w:rsidR="0058235E">
        <w:t>易方达优质企业三年持有期混合型证券投资基金卖出了部分其持有的基金托管人招商银行股份有限公司（以下简称</w:t>
      </w:r>
      <w:r>
        <w:rPr>
          <w:rFonts w:hint="eastAsia"/>
        </w:rPr>
        <w:t>“</w:t>
      </w:r>
      <w:r w:rsidR="0058235E">
        <w:t>招商银行</w:t>
      </w:r>
      <w:r>
        <w:rPr>
          <w:rFonts w:hint="eastAsia"/>
        </w:rPr>
        <w:t>”</w:t>
      </w:r>
      <w:r w:rsidR="0058235E">
        <w:t>）发行的股票。</w:t>
      </w:r>
    </w:p>
    <w:p w:rsidR="008328C4" w:rsidRDefault="003F7B9D" w:rsidP="008328C4">
      <w:pPr>
        <w:pStyle w:val="Default"/>
        <w:spacing w:line="360" w:lineRule="auto"/>
        <w:ind w:firstLineChars="210" w:firstLine="504"/>
        <w:rPr>
          <w:rFonts w:asciiTheme="majorEastAsia" w:eastAsiaTheme="majorEastAsia" w:hAnsiTheme="majorEastAsia"/>
        </w:rPr>
      </w:pPr>
      <w:r w:rsidRPr="00923081">
        <w:rPr>
          <w:rFonts w:asciiTheme="majorEastAsia" w:eastAsiaTheme="majorEastAsia" w:hAnsiTheme="majorEastAsia" w:hint="eastAsia"/>
        </w:rPr>
        <w:t>现将有关情况公告如下</w:t>
      </w:r>
      <w:bookmarkStart w:id="0" w:name="_GoBack"/>
      <w:bookmarkEnd w:id="0"/>
      <w:r w:rsidRPr="00923081">
        <w:rPr>
          <w:rFonts w:asciiTheme="majorEastAsia" w:eastAsiaTheme="majorEastAsia" w:hAnsiTheme="majorEastAsia" w:hint="eastAsia"/>
        </w:rPr>
        <w:t>：</w:t>
      </w:r>
    </w:p>
    <w:p w:rsidR="00141CA4" w:rsidRPr="00923081" w:rsidRDefault="003F7B9D" w:rsidP="00141CA4">
      <w:pPr>
        <w:pStyle w:val="Default"/>
        <w:spacing w:line="360" w:lineRule="auto"/>
        <w:ind w:firstLineChars="210" w:firstLine="504"/>
        <w:rPr>
          <w:rFonts w:asciiTheme="majorEastAsia" w:eastAsiaTheme="majorEastAsia" w:hAnsiTheme="majorEastAsia"/>
        </w:rPr>
      </w:pPr>
      <w:r w:rsidRPr="00923081">
        <w:rPr>
          <w:rFonts w:asciiTheme="majorEastAsia" w:eastAsiaTheme="majorEastAsia" w:hAnsiTheme="majorEastAsia" w:hint="eastAsia"/>
        </w:rPr>
        <w:t>一、</w:t>
      </w:r>
      <w:r w:rsidR="0058235E" w:rsidRPr="00923081">
        <w:rPr>
          <w:rFonts w:asciiTheme="majorEastAsia" w:eastAsiaTheme="majorEastAsia" w:hAnsiTheme="majorEastAsia" w:hint="eastAsia"/>
        </w:rPr>
        <w:t>参与</w:t>
      </w:r>
      <w:r w:rsidR="0058235E">
        <w:rPr>
          <w:rFonts w:asciiTheme="majorEastAsia" w:eastAsiaTheme="majorEastAsia" w:hAnsiTheme="majorEastAsia" w:hint="eastAsia"/>
        </w:rPr>
        <w:t>乐舒适</w:t>
      </w:r>
      <w:r w:rsidR="0058235E">
        <w:rPr>
          <w:rFonts w:asciiTheme="majorEastAsia" w:eastAsiaTheme="majorEastAsia" w:hAnsiTheme="majorEastAsia" w:hint="eastAsia"/>
          <w:bCs/>
        </w:rPr>
        <w:t>发行的股份的认购</w:t>
      </w:r>
      <w:r w:rsidR="0058235E" w:rsidRPr="00923081">
        <w:rPr>
          <w:rFonts w:asciiTheme="majorEastAsia" w:eastAsiaTheme="majorEastAsia" w:hAnsiTheme="majorEastAsia" w:hint="eastAsia"/>
        </w:rPr>
        <w:t>情况</w:t>
      </w:r>
    </w:p>
    <w:p w:rsidR="0058235E" w:rsidRDefault="003F7B9D" w:rsidP="0058235E">
      <w:pPr>
        <w:pStyle w:val="Default"/>
        <w:spacing w:line="360" w:lineRule="auto"/>
        <w:ind w:firstLineChars="210" w:firstLine="504"/>
        <w:rPr>
          <w:rFonts w:asciiTheme="majorEastAsia" w:eastAsiaTheme="majorEastAsia" w:hAnsiTheme="majorEastAsia"/>
        </w:rPr>
      </w:pPr>
      <w:r>
        <w:rPr>
          <w:rFonts w:asciiTheme="majorEastAsia" w:eastAsiaTheme="majorEastAsia" w:hAnsiTheme="majorEastAsia" w:hint="eastAsia"/>
        </w:rPr>
        <w:t>乐舒适</w:t>
      </w:r>
      <w:r w:rsidRPr="00C251FE">
        <w:rPr>
          <w:rFonts w:asciiTheme="majorEastAsia" w:eastAsiaTheme="majorEastAsia" w:hAnsiTheme="majorEastAsia" w:hint="eastAsia"/>
        </w:rPr>
        <w:t>本次发行价格为</w:t>
      </w:r>
      <w:r w:rsidR="005E5AC3">
        <w:rPr>
          <w:rFonts w:asciiTheme="majorEastAsia" w:eastAsiaTheme="majorEastAsia" w:hAnsiTheme="majorEastAsia"/>
        </w:rPr>
        <w:t>26.20</w:t>
      </w:r>
      <w:r>
        <w:rPr>
          <w:rFonts w:asciiTheme="majorEastAsia" w:eastAsiaTheme="majorEastAsia" w:hAnsiTheme="majorEastAsia" w:hint="eastAsia"/>
        </w:rPr>
        <w:t>港元</w:t>
      </w:r>
      <w:r w:rsidRPr="00C251FE">
        <w:rPr>
          <w:rFonts w:asciiTheme="majorEastAsia" w:eastAsiaTheme="majorEastAsia" w:hAnsiTheme="majorEastAsia" w:hint="eastAsia"/>
        </w:rPr>
        <w:t>/</w:t>
      </w:r>
      <w:r w:rsidRPr="00C251FE">
        <w:rPr>
          <w:rFonts w:asciiTheme="majorEastAsia" w:eastAsiaTheme="majorEastAsia" w:hAnsiTheme="majorEastAsia" w:hint="eastAsia"/>
        </w:rPr>
        <w:t>股，</w:t>
      </w:r>
      <w:r>
        <w:rPr>
          <w:rFonts w:asciiTheme="majorEastAsia" w:eastAsiaTheme="majorEastAsia" w:hAnsiTheme="majorEastAsia" w:hint="eastAsia"/>
        </w:rPr>
        <w:t>由整体协调人</w:t>
      </w:r>
      <w:r w:rsidR="00DC053C">
        <w:rPr>
          <w:rFonts w:asciiTheme="majorEastAsia" w:eastAsiaTheme="majorEastAsia" w:hAnsiTheme="majorEastAsia" w:hint="eastAsia"/>
        </w:rPr>
        <w:t>与发行人于定价日以协议方式厘</w:t>
      </w:r>
      <w:r>
        <w:rPr>
          <w:rFonts w:asciiTheme="majorEastAsia" w:eastAsiaTheme="majorEastAsia" w:hAnsiTheme="majorEastAsia" w:hint="eastAsia"/>
        </w:rPr>
        <w:t>定。</w:t>
      </w:r>
      <w:r w:rsidRPr="00923081">
        <w:rPr>
          <w:rFonts w:asciiTheme="majorEastAsia" w:eastAsiaTheme="majorEastAsia" w:hAnsiTheme="majorEastAsia" w:hint="eastAsia"/>
        </w:rPr>
        <w:t>本公司旗下</w:t>
      </w:r>
      <w:r>
        <w:rPr>
          <w:rFonts w:asciiTheme="majorEastAsia" w:eastAsiaTheme="majorEastAsia" w:hAnsiTheme="majorEastAsia" w:hint="eastAsia"/>
        </w:rPr>
        <w:t>公募</w:t>
      </w:r>
      <w:r w:rsidRPr="00923081">
        <w:rPr>
          <w:rFonts w:asciiTheme="majorEastAsia" w:eastAsiaTheme="majorEastAsia" w:hAnsiTheme="majorEastAsia" w:hint="eastAsia"/>
        </w:rPr>
        <w:t>基金参与</w:t>
      </w:r>
      <w:r w:rsidR="00DC053C">
        <w:rPr>
          <w:rFonts w:asciiTheme="majorEastAsia" w:eastAsiaTheme="majorEastAsia" w:hAnsiTheme="majorEastAsia" w:hint="eastAsia"/>
        </w:rPr>
        <w:t>乐舒适</w:t>
      </w:r>
      <w:r w:rsidRPr="00923081">
        <w:rPr>
          <w:rFonts w:asciiTheme="majorEastAsia" w:eastAsiaTheme="majorEastAsia" w:hAnsiTheme="majorEastAsia" w:hint="eastAsia"/>
        </w:rPr>
        <w:t>本次发行</w:t>
      </w:r>
      <w:r>
        <w:rPr>
          <w:rFonts w:asciiTheme="majorEastAsia" w:eastAsiaTheme="majorEastAsia" w:hAnsiTheme="majorEastAsia" w:hint="eastAsia"/>
        </w:rPr>
        <w:t>认购</w:t>
      </w:r>
      <w:r w:rsidRPr="00923081">
        <w:rPr>
          <w:rFonts w:asciiTheme="majorEastAsia" w:eastAsiaTheme="majorEastAsia" w:hAnsiTheme="majorEastAsia" w:hint="eastAsia"/>
        </w:rPr>
        <w:t>的获配信息如下</w:t>
      </w:r>
      <w:r w:rsidRPr="001F12D1">
        <w:rPr>
          <w:rFonts w:asciiTheme="majorEastAsia" w:eastAsiaTheme="majorEastAsia" w:hAnsiTheme="majorEastAsia" w:hint="eastAsia"/>
        </w:rPr>
        <w:t>：</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1559"/>
        <w:gridCol w:w="1326"/>
        <w:gridCol w:w="1843"/>
      </w:tblGrid>
      <w:tr w:rsidR="00FA3167" w:rsidTr="00A12662">
        <w:trPr>
          <w:trHeight w:val="290"/>
        </w:trPr>
        <w:tc>
          <w:tcPr>
            <w:tcW w:w="3686" w:type="dxa"/>
            <w:shd w:val="clear" w:color="auto" w:fill="auto"/>
            <w:noWrap/>
            <w:vAlign w:val="center"/>
            <w:hideMark/>
          </w:tcPr>
          <w:p w:rsidR="00A12662" w:rsidRPr="002262A4" w:rsidRDefault="003F7B9D" w:rsidP="005307E8">
            <w:pPr>
              <w:widowControl/>
              <w:jc w:val="center"/>
              <w:rPr>
                <w:rFonts w:ascii="宋体" w:hAnsi="宋体" w:cs="宋体"/>
                <w:color w:val="000000"/>
                <w:kern w:val="0"/>
                <w:szCs w:val="21"/>
              </w:rPr>
            </w:pPr>
            <w:r w:rsidRPr="002262A4">
              <w:rPr>
                <w:rFonts w:ascii="宋体" w:hAnsi="宋体" w:cs="宋体" w:hint="eastAsia"/>
                <w:color w:val="000000"/>
                <w:kern w:val="0"/>
                <w:szCs w:val="21"/>
              </w:rPr>
              <w:t>基金名称</w:t>
            </w:r>
          </w:p>
        </w:tc>
        <w:tc>
          <w:tcPr>
            <w:tcW w:w="1559" w:type="dxa"/>
          </w:tcPr>
          <w:p w:rsidR="00A12662" w:rsidRPr="002262A4" w:rsidRDefault="003F7B9D" w:rsidP="005307E8">
            <w:pPr>
              <w:widowControl/>
              <w:jc w:val="center"/>
              <w:rPr>
                <w:rFonts w:ascii="宋体" w:hAnsi="宋体" w:cs="宋体"/>
                <w:color w:val="000000"/>
                <w:kern w:val="0"/>
                <w:szCs w:val="21"/>
              </w:rPr>
            </w:pPr>
            <w:r>
              <w:rPr>
                <w:rFonts w:ascii="宋体" w:hAnsi="宋体" w:cs="宋体" w:hint="eastAsia"/>
                <w:color w:val="000000"/>
                <w:kern w:val="0"/>
                <w:szCs w:val="21"/>
              </w:rPr>
              <w:t>基石配售</w:t>
            </w:r>
            <w:r w:rsidRPr="002262A4">
              <w:rPr>
                <w:rFonts w:ascii="宋体" w:hAnsi="宋体" w:cs="宋体" w:hint="eastAsia"/>
                <w:color w:val="000000"/>
                <w:kern w:val="0"/>
                <w:szCs w:val="21"/>
              </w:rPr>
              <w:t>获配数量（股）</w:t>
            </w:r>
          </w:p>
        </w:tc>
        <w:tc>
          <w:tcPr>
            <w:tcW w:w="1326" w:type="dxa"/>
            <w:shd w:val="clear" w:color="auto" w:fill="auto"/>
            <w:vAlign w:val="center"/>
            <w:hideMark/>
          </w:tcPr>
          <w:p w:rsidR="00A12662" w:rsidRPr="002262A4" w:rsidRDefault="003F7B9D" w:rsidP="005307E8">
            <w:pPr>
              <w:widowControl/>
              <w:jc w:val="center"/>
              <w:rPr>
                <w:rFonts w:ascii="宋体" w:hAnsi="宋体" w:cs="宋体"/>
                <w:color w:val="000000"/>
                <w:kern w:val="0"/>
                <w:szCs w:val="21"/>
              </w:rPr>
            </w:pPr>
            <w:r>
              <w:rPr>
                <w:rFonts w:ascii="宋体" w:hAnsi="宋体" w:cs="宋体" w:hint="eastAsia"/>
                <w:color w:val="000000"/>
                <w:kern w:val="0"/>
                <w:szCs w:val="21"/>
              </w:rPr>
              <w:t>总</w:t>
            </w:r>
            <w:r w:rsidRPr="002262A4">
              <w:rPr>
                <w:rFonts w:ascii="宋体" w:hAnsi="宋体" w:cs="宋体" w:hint="eastAsia"/>
                <w:color w:val="000000"/>
                <w:kern w:val="0"/>
                <w:szCs w:val="21"/>
              </w:rPr>
              <w:t>获配数量（股）</w:t>
            </w:r>
          </w:p>
        </w:tc>
        <w:tc>
          <w:tcPr>
            <w:tcW w:w="1843" w:type="dxa"/>
            <w:shd w:val="clear" w:color="auto" w:fill="auto"/>
            <w:noWrap/>
            <w:vAlign w:val="center"/>
            <w:hideMark/>
          </w:tcPr>
          <w:p w:rsidR="00A12662" w:rsidRPr="002262A4" w:rsidRDefault="003F7B9D" w:rsidP="005307E8">
            <w:pPr>
              <w:widowControl/>
              <w:jc w:val="center"/>
              <w:rPr>
                <w:rFonts w:ascii="宋体" w:hAnsi="宋体" w:cs="宋体"/>
                <w:color w:val="000000"/>
                <w:kern w:val="0"/>
                <w:szCs w:val="21"/>
              </w:rPr>
            </w:pPr>
            <w:r>
              <w:rPr>
                <w:rFonts w:ascii="宋体" w:hAnsi="宋体" w:cs="宋体" w:hint="eastAsia"/>
                <w:color w:val="000000"/>
                <w:kern w:val="0"/>
                <w:szCs w:val="21"/>
              </w:rPr>
              <w:t>总</w:t>
            </w:r>
            <w:r w:rsidRPr="002262A4">
              <w:rPr>
                <w:rFonts w:ascii="宋体" w:hAnsi="宋体" w:cs="宋体" w:hint="eastAsia"/>
                <w:color w:val="000000"/>
                <w:kern w:val="0"/>
                <w:szCs w:val="21"/>
              </w:rPr>
              <w:t>获配金额（港元）</w:t>
            </w:r>
          </w:p>
        </w:tc>
      </w:tr>
      <w:tr w:rsidR="00FA3167" w:rsidTr="00A12662">
        <w:trPr>
          <w:trHeight w:val="290"/>
        </w:trPr>
        <w:tc>
          <w:tcPr>
            <w:tcW w:w="3686" w:type="dxa"/>
            <w:shd w:val="clear" w:color="auto" w:fill="auto"/>
            <w:noWrap/>
            <w:vAlign w:val="center"/>
            <w:hideMark/>
          </w:tcPr>
          <w:p w:rsidR="00A12662" w:rsidRPr="002262A4" w:rsidRDefault="003F7B9D" w:rsidP="005E5AC3">
            <w:pPr>
              <w:widowControl/>
              <w:jc w:val="center"/>
              <w:rPr>
                <w:rFonts w:ascii="宋体" w:hAnsi="宋体" w:cs="宋体"/>
                <w:color w:val="000000"/>
                <w:kern w:val="0"/>
                <w:szCs w:val="21"/>
              </w:rPr>
            </w:pPr>
            <w:r w:rsidRPr="002262A4">
              <w:rPr>
                <w:rFonts w:ascii="宋体" w:hAnsi="宋体" w:cs="宋体" w:hint="eastAsia"/>
                <w:color w:val="000000"/>
                <w:kern w:val="0"/>
                <w:szCs w:val="21"/>
              </w:rPr>
              <w:t>易方达全球医药行业混合型发起式证券投资基金</w:t>
            </w:r>
          </w:p>
        </w:tc>
        <w:tc>
          <w:tcPr>
            <w:tcW w:w="1559" w:type="dxa"/>
            <w:vAlign w:val="center"/>
          </w:tcPr>
          <w:p w:rsidR="00A12662" w:rsidRPr="002262A4" w:rsidRDefault="003F7B9D" w:rsidP="00A12662">
            <w:pPr>
              <w:widowControl/>
              <w:jc w:val="right"/>
              <w:rPr>
                <w:rFonts w:ascii="宋体" w:hAnsi="宋体" w:cs="宋体"/>
                <w:color w:val="000000"/>
                <w:kern w:val="0"/>
                <w:szCs w:val="21"/>
              </w:rPr>
            </w:pPr>
            <w:r>
              <w:rPr>
                <w:rFonts w:ascii="宋体" w:hAnsi="宋体" w:cs="宋体" w:hint="eastAsia"/>
                <w:color w:val="000000"/>
                <w:kern w:val="0"/>
                <w:szCs w:val="21"/>
              </w:rPr>
              <w:t>6</w:t>
            </w:r>
            <w:r>
              <w:rPr>
                <w:rFonts w:ascii="宋体" w:hAnsi="宋体" w:cs="宋体"/>
                <w:color w:val="000000"/>
                <w:kern w:val="0"/>
                <w:szCs w:val="21"/>
              </w:rPr>
              <w:t>52,200</w:t>
            </w:r>
          </w:p>
        </w:tc>
        <w:tc>
          <w:tcPr>
            <w:tcW w:w="1326" w:type="dxa"/>
            <w:shd w:val="clear" w:color="000000" w:fill="FFFFFF"/>
            <w:vAlign w:val="center"/>
            <w:hideMark/>
          </w:tcPr>
          <w:p w:rsidR="00A12662" w:rsidRPr="002262A4" w:rsidRDefault="003F7B9D" w:rsidP="00A12662">
            <w:pPr>
              <w:widowControl/>
              <w:jc w:val="right"/>
              <w:rPr>
                <w:rFonts w:ascii="宋体" w:hAnsi="宋体" w:cs="宋体"/>
                <w:color w:val="000000"/>
                <w:kern w:val="0"/>
                <w:szCs w:val="21"/>
              </w:rPr>
            </w:pPr>
            <w:r>
              <w:rPr>
                <w:rFonts w:ascii="宋体" w:hAnsi="宋体" w:cs="宋体"/>
                <w:color w:val="000000"/>
                <w:kern w:val="0"/>
                <w:szCs w:val="21"/>
              </w:rPr>
              <w:t>731</w:t>
            </w:r>
            <w:r>
              <w:rPr>
                <w:rFonts w:ascii="宋体" w:hAnsi="宋体" w:cs="宋体" w:hint="eastAsia"/>
                <w:color w:val="000000"/>
                <w:kern w:val="0"/>
                <w:szCs w:val="21"/>
              </w:rPr>
              <w:t>,</w:t>
            </w:r>
            <w:r>
              <w:rPr>
                <w:rFonts w:ascii="宋体" w:hAnsi="宋体" w:cs="宋体"/>
                <w:color w:val="000000"/>
                <w:kern w:val="0"/>
                <w:szCs w:val="21"/>
              </w:rPr>
              <w:t>200</w:t>
            </w:r>
          </w:p>
        </w:tc>
        <w:tc>
          <w:tcPr>
            <w:tcW w:w="1843" w:type="dxa"/>
            <w:shd w:val="clear" w:color="000000" w:fill="FFFFFF"/>
            <w:noWrap/>
            <w:vAlign w:val="center"/>
            <w:hideMark/>
          </w:tcPr>
          <w:p w:rsidR="00A12662" w:rsidRPr="005E5AC3" w:rsidRDefault="003F7B9D" w:rsidP="00A12662">
            <w:pPr>
              <w:widowControl/>
              <w:jc w:val="right"/>
              <w:rPr>
                <w:rFonts w:ascii="宋体" w:hAnsi="宋体" w:cs="宋体"/>
                <w:color w:val="000000"/>
                <w:kern w:val="0"/>
                <w:szCs w:val="21"/>
              </w:rPr>
            </w:pPr>
            <w:r w:rsidRPr="005E5AC3">
              <w:rPr>
                <w:rFonts w:ascii="宋体" w:hAnsi="宋体" w:cs="宋体" w:hint="eastAsia"/>
                <w:color w:val="000000"/>
                <w:kern w:val="0"/>
                <w:szCs w:val="21"/>
              </w:rPr>
              <w:t xml:space="preserve">  19,157,440.00 </w:t>
            </w:r>
          </w:p>
        </w:tc>
      </w:tr>
      <w:tr w:rsidR="00FA3167" w:rsidTr="00A12662">
        <w:trPr>
          <w:trHeight w:val="290"/>
        </w:trPr>
        <w:tc>
          <w:tcPr>
            <w:tcW w:w="3686" w:type="dxa"/>
            <w:shd w:val="clear" w:color="auto" w:fill="auto"/>
            <w:noWrap/>
            <w:vAlign w:val="center"/>
            <w:hideMark/>
          </w:tcPr>
          <w:p w:rsidR="00A12662" w:rsidRPr="002262A4" w:rsidRDefault="003F7B9D" w:rsidP="005E5AC3">
            <w:pPr>
              <w:widowControl/>
              <w:jc w:val="center"/>
              <w:rPr>
                <w:rFonts w:ascii="宋体" w:hAnsi="宋体" w:cs="宋体"/>
                <w:color w:val="000000"/>
                <w:kern w:val="0"/>
                <w:szCs w:val="21"/>
              </w:rPr>
            </w:pPr>
            <w:r w:rsidRPr="002262A4">
              <w:rPr>
                <w:rFonts w:ascii="宋体" w:hAnsi="宋体" w:cs="宋体" w:hint="eastAsia"/>
                <w:color w:val="000000"/>
                <w:kern w:val="0"/>
                <w:szCs w:val="21"/>
              </w:rPr>
              <w:t>易方达全球优质企业混合型证券投资基金（</w:t>
            </w:r>
            <w:r w:rsidRPr="002262A4">
              <w:rPr>
                <w:rFonts w:ascii="宋体" w:hAnsi="宋体" w:cs="宋体" w:hint="eastAsia"/>
                <w:color w:val="000000"/>
                <w:kern w:val="0"/>
                <w:szCs w:val="21"/>
              </w:rPr>
              <w:t>QDII</w:t>
            </w:r>
            <w:r w:rsidRPr="002262A4">
              <w:rPr>
                <w:rFonts w:ascii="宋体" w:hAnsi="宋体" w:cs="宋体" w:hint="eastAsia"/>
                <w:color w:val="000000"/>
                <w:kern w:val="0"/>
                <w:szCs w:val="21"/>
              </w:rPr>
              <w:t>）</w:t>
            </w:r>
          </w:p>
        </w:tc>
        <w:tc>
          <w:tcPr>
            <w:tcW w:w="1559" w:type="dxa"/>
            <w:vAlign w:val="center"/>
          </w:tcPr>
          <w:p w:rsidR="00A12662" w:rsidRDefault="003F7B9D" w:rsidP="00A12662">
            <w:pPr>
              <w:widowControl/>
              <w:jc w:val="right"/>
              <w:rPr>
                <w:rFonts w:ascii="宋体" w:hAnsi="宋体" w:cs="宋体"/>
                <w:color w:val="000000"/>
                <w:kern w:val="0"/>
                <w:szCs w:val="21"/>
              </w:rPr>
            </w:pPr>
            <w:r>
              <w:rPr>
                <w:rFonts w:ascii="宋体" w:hAnsi="宋体" w:cs="宋体" w:hint="eastAsia"/>
                <w:color w:val="000000"/>
                <w:kern w:val="0"/>
                <w:szCs w:val="21"/>
              </w:rPr>
              <w:t>8</w:t>
            </w:r>
            <w:r>
              <w:rPr>
                <w:rFonts w:ascii="宋体" w:hAnsi="宋体" w:cs="宋体"/>
                <w:color w:val="000000"/>
                <w:kern w:val="0"/>
                <w:szCs w:val="21"/>
              </w:rPr>
              <w:t>00,400</w:t>
            </w:r>
          </w:p>
        </w:tc>
        <w:tc>
          <w:tcPr>
            <w:tcW w:w="1326" w:type="dxa"/>
            <w:shd w:val="clear" w:color="000000" w:fill="FFFFFF"/>
            <w:vAlign w:val="center"/>
            <w:hideMark/>
          </w:tcPr>
          <w:p w:rsidR="00A12662" w:rsidRPr="002262A4" w:rsidRDefault="003F7B9D" w:rsidP="00A12662">
            <w:pPr>
              <w:widowControl/>
              <w:jc w:val="right"/>
              <w:rPr>
                <w:rFonts w:ascii="宋体" w:hAnsi="宋体" w:cs="宋体"/>
                <w:color w:val="000000"/>
                <w:kern w:val="0"/>
                <w:szCs w:val="21"/>
              </w:rPr>
            </w:pPr>
            <w:r>
              <w:rPr>
                <w:rFonts w:ascii="宋体" w:hAnsi="宋体" w:cs="宋体"/>
                <w:color w:val="000000"/>
                <w:kern w:val="0"/>
                <w:szCs w:val="21"/>
              </w:rPr>
              <w:t>897,400</w:t>
            </w:r>
          </w:p>
        </w:tc>
        <w:tc>
          <w:tcPr>
            <w:tcW w:w="1843" w:type="dxa"/>
            <w:shd w:val="clear" w:color="000000" w:fill="FFFFFF"/>
            <w:noWrap/>
            <w:vAlign w:val="center"/>
            <w:hideMark/>
          </w:tcPr>
          <w:p w:rsidR="00A12662" w:rsidRPr="005E5AC3" w:rsidRDefault="003F7B9D" w:rsidP="00A12662">
            <w:pPr>
              <w:widowControl/>
              <w:jc w:val="right"/>
              <w:rPr>
                <w:rFonts w:ascii="宋体" w:hAnsi="宋体" w:cs="宋体"/>
                <w:color w:val="000000"/>
                <w:kern w:val="0"/>
                <w:szCs w:val="21"/>
              </w:rPr>
            </w:pPr>
            <w:r w:rsidRPr="005E5AC3">
              <w:rPr>
                <w:rFonts w:ascii="宋体" w:hAnsi="宋体" w:cs="宋体" w:hint="eastAsia"/>
                <w:color w:val="000000"/>
                <w:kern w:val="0"/>
                <w:szCs w:val="21"/>
              </w:rPr>
              <w:t xml:space="preserve">  23,511,880.00 </w:t>
            </w:r>
          </w:p>
        </w:tc>
      </w:tr>
      <w:tr w:rsidR="00FA3167" w:rsidTr="00A12662">
        <w:trPr>
          <w:trHeight w:val="290"/>
        </w:trPr>
        <w:tc>
          <w:tcPr>
            <w:tcW w:w="3686" w:type="dxa"/>
            <w:shd w:val="clear" w:color="auto" w:fill="auto"/>
            <w:noWrap/>
            <w:vAlign w:val="center"/>
            <w:hideMark/>
          </w:tcPr>
          <w:p w:rsidR="00A12662" w:rsidRPr="002262A4" w:rsidRDefault="003F7B9D" w:rsidP="005E5AC3">
            <w:pPr>
              <w:widowControl/>
              <w:jc w:val="center"/>
              <w:rPr>
                <w:rFonts w:ascii="宋体" w:hAnsi="宋体" w:cs="宋体"/>
                <w:color w:val="000000"/>
                <w:kern w:val="0"/>
                <w:szCs w:val="21"/>
              </w:rPr>
            </w:pPr>
            <w:r w:rsidRPr="002262A4">
              <w:rPr>
                <w:rFonts w:ascii="宋体" w:hAnsi="宋体" w:cs="宋体" w:hint="eastAsia"/>
                <w:color w:val="000000"/>
                <w:kern w:val="0"/>
                <w:szCs w:val="21"/>
              </w:rPr>
              <w:t>易方达全球成长精选混合型证券投资基金（</w:t>
            </w:r>
            <w:r w:rsidRPr="002262A4">
              <w:rPr>
                <w:rFonts w:ascii="宋体" w:hAnsi="宋体" w:cs="宋体" w:hint="eastAsia"/>
                <w:color w:val="000000"/>
                <w:kern w:val="0"/>
                <w:szCs w:val="21"/>
              </w:rPr>
              <w:t>QDII</w:t>
            </w:r>
            <w:r w:rsidRPr="002262A4">
              <w:rPr>
                <w:rFonts w:ascii="宋体" w:hAnsi="宋体" w:cs="宋体" w:hint="eastAsia"/>
                <w:color w:val="000000"/>
                <w:kern w:val="0"/>
                <w:szCs w:val="21"/>
              </w:rPr>
              <w:t>）</w:t>
            </w:r>
          </w:p>
        </w:tc>
        <w:tc>
          <w:tcPr>
            <w:tcW w:w="1559" w:type="dxa"/>
            <w:vAlign w:val="center"/>
          </w:tcPr>
          <w:p w:rsidR="00A12662" w:rsidRDefault="003F7B9D" w:rsidP="00A12662">
            <w:pPr>
              <w:widowControl/>
              <w:jc w:val="right"/>
              <w:rPr>
                <w:rFonts w:ascii="宋体" w:hAnsi="宋体" w:cs="宋体"/>
                <w:color w:val="000000"/>
                <w:kern w:val="0"/>
                <w:szCs w:val="21"/>
              </w:rPr>
            </w:pPr>
            <w:r>
              <w:rPr>
                <w:rFonts w:ascii="宋体" w:hAnsi="宋体" w:cs="宋体" w:hint="eastAsia"/>
                <w:color w:val="000000"/>
                <w:kern w:val="0"/>
                <w:szCs w:val="21"/>
              </w:rPr>
              <w:t>4</w:t>
            </w:r>
            <w:r>
              <w:rPr>
                <w:rFonts w:ascii="宋体" w:hAnsi="宋体" w:cs="宋体"/>
                <w:color w:val="000000"/>
                <w:kern w:val="0"/>
                <w:szCs w:val="21"/>
              </w:rPr>
              <w:t>15,000</w:t>
            </w:r>
          </w:p>
        </w:tc>
        <w:tc>
          <w:tcPr>
            <w:tcW w:w="1326" w:type="dxa"/>
            <w:shd w:val="clear" w:color="000000" w:fill="FFFFFF"/>
            <w:vAlign w:val="center"/>
            <w:hideMark/>
          </w:tcPr>
          <w:p w:rsidR="00A12662" w:rsidRPr="002262A4" w:rsidRDefault="003F7B9D" w:rsidP="00A12662">
            <w:pPr>
              <w:widowControl/>
              <w:jc w:val="right"/>
              <w:rPr>
                <w:rFonts w:ascii="宋体" w:hAnsi="宋体" w:cs="宋体"/>
                <w:color w:val="000000"/>
                <w:kern w:val="0"/>
                <w:szCs w:val="21"/>
              </w:rPr>
            </w:pPr>
            <w:r>
              <w:rPr>
                <w:rFonts w:ascii="宋体" w:hAnsi="宋体" w:cs="宋体"/>
                <w:color w:val="000000"/>
                <w:kern w:val="0"/>
                <w:szCs w:val="21"/>
              </w:rPr>
              <w:t>465,600</w:t>
            </w:r>
          </w:p>
        </w:tc>
        <w:tc>
          <w:tcPr>
            <w:tcW w:w="1843" w:type="dxa"/>
            <w:shd w:val="clear" w:color="000000" w:fill="FFFFFF"/>
            <w:noWrap/>
            <w:vAlign w:val="center"/>
            <w:hideMark/>
          </w:tcPr>
          <w:p w:rsidR="00A12662" w:rsidRPr="005E5AC3" w:rsidRDefault="003F7B9D" w:rsidP="00A12662">
            <w:pPr>
              <w:widowControl/>
              <w:jc w:val="right"/>
              <w:rPr>
                <w:rFonts w:ascii="宋体" w:hAnsi="宋体" w:cs="宋体"/>
                <w:color w:val="000000"/>
                <w:kern w:val="0"/>
                <w:szCs w:val="21"/>
              </w:rPr>
            </w:pPr>
            <w:r w:rsidRPr="005E5AC3">
              <w:rPr>
                <w:rFonts w:ascii="宋体" w:hAnsi="宋体" w:cs="宋体" w:hint="eastAsia"/>
                <w:color w:val="000000"/>
                <w:kern w:val="0"/>
                <w:szCs w:val="21"/>
              </w:rPr>
              <w:t xml:space="preserve">  12,198,720.00 </w:t>
            </w:r>
          </w:p>
        </w:tc>
      </w:tr>
      <w:tr w:rsidR="00FA3167" w:rsidTr="00A12662">
        <w:trPr>
          <w:trHeight w:val="290"/>
        </w:trPr>
        <w:tc>
          <w:tcPr>
            <w:tcW w:w="3686" w:type="dxa"/>
            <w:shd w:val="clear" w:color="auto" w:fill="auto"/>
            <w:noWrap/>
            <w:vAlign w:val="center"/>
            <w:hideMark/>
          </w:tcPr>
          <w:p w:rsidR="00A12662" w:rsidRPr="002262A4" w:rsidRDefault="003F7B9D" w:rsidP="005E5AC3">
            <w:pPr>
              <w:widowControl/>
              <w:jc w:val="center"/>
              <w:rPr>
                <w:rFonts w:ascii="宋体" w:hAnsi="宋体" w:cs="宋体"/>
                <w:color w:val="000000"/>
                <w:kern w:val="0"/>
                <w:szCs w:val="21"/>
              </w:rPr>
            </w:pPr>
            <w:r w:rsidRPr="002262A4">
              <w:rPr>
                <w:rFonts w:ascii="宋体" w:hAnsi="宋体" w:cs="宋体" w:hint="eastAsia"/>
                <w:color w:val="000000"/>
                <w:kern w:val="0"/>
                <w:szCs w:val="21"/>
              </w:rPr>
              <w:t>易方达全球配置混合型证券投资基金（</w:t>
            </w:r>
            <w:r w:rsidRPr="002262A4">
              <w:rPr>
                <w:rFonts w:ascii="宋体" w:hAnsi="宋体" w:cs="宋体" w:hint="eastAsia"/>
                <w:color w:val="000000"/>
                <w:kern w:val="0"/>
                <w:szCs w:val="21"/>
              </w:rPr>
              <w:t>QDII</w:t>
            </w:r>
            <w:r w:rsidRPr="002262A4">
              <w:rPr>
                <w:rFonts w:ascii="宋体" w:hAnsi="宋体" w:cs="宋体" w:hint="eastAsia"/>
                <w:color w:val="000000"/>
                <w:kern w:val="0"/>
                <w:szCs w:val="21"/>
              </w:rPr>
              <w:t>）</w:t>
            </w:r>
          </w:p>
        </w:tc>
        <w:tc>
          <w:tcPr>
            <w:tcW w:w="1559" w:type="dxa"/>
            <w:vAlign w:val="center"/>
          </w:tcPr>
          <w:p w:rsidR="00A12662" w:rsidRDefault="003F7B9D" w:rsidP="00A12662">
            <w:pPr>
              <w:widowControl/>
              <w:jc w:val="righ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07,600</w:t>
            </w:r>
          </w:p>
        </w:tc>
        <w:tc>
          <w:tcPr>
            <w:tcW w:w="1326" w:type="dxa"/>
            <w:shd w:val="clear" w:color="000000" w:fill="FFFFFF"/>
            <w:vAlign w:val="center"/>
            <w:hideMark/>
          </w:tcPr>
          <w:p w:rsidR="00A12662" w:rsidRPr="002262A4" w:rsidRDefault="003F7B9D" w:rsidP="00A12662">
            <w:pPr>
              <w:widowControl/>
              <w:jc w:val="right"/>
              <w:rPr>
                <w:rFonts w:ascii="宋体" w:hAnsi="宋体" w:cs="宋体"/>
                <w:color w:val="000000"/>
                <w:kern w:val="0"/>
                <w:szCs w:val="21"/>
              </w:rPr>
            </w:pPr>
            <w:r>
              <w:rPr>
                <w:rFonts w:ascii="宋体" w:hAnsi="宋体" w:cs="宋体"/>
                <w:color w:val="000000"/>
                <w:kern w:val="0"/>
                <w:szCs w:val="21"/>
              </w:rPr>
              <w:t>232,800</w:t>
            </w:r>
          </w:p>
        </w:tc>
        <w:tc>
          <w:tcPr>
            <w:tcW w:w="1843" w:type="dxa"/>
            <w:shd w:val="clear" w:color="000000" w:fill="FFFFFF"/>
            <w:noWrap/>
            <w:vAlign w:val="center"/>
            <w:hideMark/>
          </w:tcPr>
          <w:p w:rsidR="00A12662" w:rsidRPr="005E5AC3" w:rsidRDefault="003F7B9D" w:rsidP="00A12662">
            <w:pPr>
              <w:widowControl/>
              <w:jc w:val="right"/>
              <w:rPr>
                <w:rFonts w:ascii="宋体" w:hAnsi="宋体" w:cs="宋体"/>
                <w:color w:val="000000"/>
                <w:kern w:val="0"/>
                <w:szCs w:val="21"/>
              </w:rPr>
            </w:pPr>
            <w:r w:rsidRPr="005E5AC3">
              <w:rPr>
                <w:rFonts w:ascii="宋体" w:hAnsi="宋体" w:cs="宋体" w:hint="eastAsia"/>
                <w:color w:val="000000"/>
                <w:kern w:val="0"/>
                <w:szCs w:val="21"/>
              </w:rPr>
              <w:t xml:space="preserve">   6,099,360.00 </w:t>
            </w:r>
          </w:p>
        </w:tc>
      </w:tr>
    </w:tbl>
    <w:p w:rsidR="00141CA4" w:rsidRDefault="003F7B9D" w:rsidP="00141CA4">
      <w:pPr>
        <w:pStyle w:val="Default"/>
        <w:spacing w:line="360" w:lineRule="auto"/>
        <w:ind w:firstLineChars="210" w:firstLine="504"/>
        <w:rPr>
          <w:rFonts w:asciiTheme="majorEastAsia" w:eastAsiaTheme="majorEastAsia" w:hAnsiTheme="majorEastAsia"/>
        </w:rPr>
      </w:pPr>
      <w:r>
        <w:rPr>
          <w:rFonts w:asciiTheme="majorEastAsia" w:eastAsiaTheme="majorEastAsia" w:hAnsiTheme="majorEastAsia" w:hint="eastAsia"/>
        </w:rPr>
        <w:t>二</w:t>
      </w:r>
      <w:r w:rsidRPr="00923081">
        <w:rPr>
          <w:rFonts w:asciiTheme="majorEastAsia" w:eastAsiaTheme="majorEastAsia" w:hAnsiTheme="majorEastAsia" w:hint="eastAsia"/>
        </w:rPr>
        <w:t>、</w:t>
      </w:r>
      <w:r w:rsidR="0058235E">
        <w:t>卖出招商银行股票的情况</w:t>
      </w:r>
    </w:p>
    <w:p w:rsidR="008328C4" w:rsidRDefault="003F7B9D" w:rsidP="008328C4">
      <w:pPr>
        <w:pStyle w:val="Default"/>
        <w:spacing w:line="360" w:lineRule="auto"/>
        <w:ind w:firstLineChars="210" w:firstLine="504"/>
        <w:rPr>
          <w:rFonts w:asciiTheme="majorEastAsia" w:eastAsiaTheme="majorEastAsia" w:hAnsiTheme="majorEastAsia"/>
        </w:rPr>
      </w:pPr>
      <w:r>
        <w:t>本次交易系因易方达优质企业三年持有期混合型证券投资基金持仓招商银行的比例被动超过基金资产净值的</w:t>
      </w:r>
      <w:r>
        <w:t>10</w:t>
      </w:r>
      <w:r>
        <w:t>％而做出相关调整，交易方式为上海证券交易所场内竞价交易，交易价格公允。具体交易情况如下：</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134"/>
        <w:gridCol w:w="1781"/>
        <w:gridCol w:w="1545"/>
        <w:gridCol w:w="1686"/>
      </w:tblGrid>
      <w:tr w:rsidR="00FA3167" w:rsidTr="00030672">
        <w:trPr>
          <w:trHeight w:val="290"/>
        </w:trPr>
        <w:tc>
          <w:tcPr>
            <w:tcW w:w="2268" w:type="dxa"/>
            <w:shd w:val="clear" w:color="auto" w:fill="auto"/>
            <w:noWrap/>
            <w:vAlign w:val="center"/>
            <w:hideMark/>
          </w:tcPr>
          <w:p w:rsidR="0058235E" w:rsidRPr="002262A4" w:rsidRDefault="003F7B9D" w:rsidP="005307E8">
            <w:pPr>
              <w:widowControl/>
              <w:jc w:val="center"/>
              <w:rPr>
                <w:rFonts w:ascii="宋体" w:hAnsi="宋体" w:cs="宋体"/>
                <w:color w:val="000000"/>
                <w:kern w:val="0"/>
                <w:szCs w:val="21"/>
              </w:rPr>
            </w:pPr>
            <w:r w:rsidRPr="002262A4">
              <w:rPr>
                <w:rFonts w:ascii="宋体" w:hAnsi="宋体" w:cs="宋体" w:hint="eastAsia"/>
                <w:color w:val="000000"/>
                <w:kern w:val="0"/>
                <w:szCs w:val="21"/>
              </w:rPr>
              <w:t>基金名称</w:t>
            </w:r>
          </w:p>
        </w:tc>
        <w:tc>
          <w:tcPr>
            <w:tcW w:w="1134" w:type="dxa"/>
            <w:vAlign w:val="center"/>
          </w:tcPr>
          <w:p w:rsidR="0058235E" w:rsidRPr="002262A4" w:rsidRDefault="003F7B9D" w:rsidP="0058235E">
            <w:pPr>
              <w:widowControl/>
              <w:jc w:val="center"/>
              <w:rPr>
                <w:rFonts w:ascii="宋体" w:hAnsi="宋体" w:cs="宋体"/>
                <w:color w:val="000000"/>
                <w:kern w:val="0"/>
                <w:szCs w:val="21"/>
              </w:rPr>
            </w:pPr>
            <w:r>
              <w:rPr>
                <w:rFonts w:ascii="宋体" w:hAnsi="宋体" w:cs="宋体" w:hint="eastAsia"/>
                <w:color w:val="000000"/>
                <w:kern w:val="0"/>
                <w:szCs w:val="21"/>
              </w:rPr>
              <w:t>证券代码及简称</w:t>
            </w:r>
          </w:p>
        </w:tc>
        <w:tc>
          <w:tcPr>
            <w:tcW w:w="1781" w:type="dxa"/>
            <w:vAlign w:val="center"/>
          </w:tcPr>
          <w:p w:rsidR="0058235E" w:rsidRPr="002262A4" w:rsidRDefault="003F7B9D" w:rsidP="0058235E">
            <w:pPr>
              <w:widowControl/>
              <w:jc w:val="center"/>
              <w:rPr>
                <w:rFonts w:ascii="宋体" w:hAnsi="宋体" w:cs="宋体"/>
                <w:color w:val="000000"/>
                <w:kern w:val="0"/>
                <w:szCs w:val="21"/>
              </w:rPr>
            </w:pPr>
            <w:r>
              <w:rPr>
                <w:rFonts w:ascii="宋体" w:hAnsi="宋体" w:cs="宋体" w:hint="eastAsia"/>
                <w:color w:val="000000"/>
                <w:kern w:val="0"/>
                <w:szCs w:val="21"/>
              </w:rPr>
              <w:t>卖出时间</w:t>
            </w:r>
          </w:p>
        </w:tc>
        <w:tc>
          <w:tcPr>
            <w:tcW w:w="1545" w:type="dxa"/>
            <w:shd w:val="clear" w:color="auto" w:fill="auto"/>
            <w:vAlign w:val="center"/>
            <w:hideMark/>
          </w:tcPr>
          <w:p w:rsidR="0058235E" w:rsidRPr="002262A4" w:rsidRDefault="003F7B9D" w:rsidP="0058235E">
            <w:pPr>
              <w:widowControl/>
              <w:rPr>
                <w:rFonts w:ascii="宋体" w:hAnsi="宋体" w:cs="宋体"/>
                <w:color w:val="000000"/>
                <w:kern w:val="0"/>
                <w:szCs w:val="21"/>
              </w:rPr>
            </w:pPr>
            <w:r>
              <w:rPr>
                <w:rFonts w:ascii="宋体" w:hAnsi="宋体" w:cs="宋体" w:hint="eastAsia"/>
                <w:color w:val="000000"/>
                <w:kern w:val="0"/>
                <w:szCs w:val="21"/>
              </w:rPr>
              <w:t>卖出</w:t>
            </w:r>
            <w:r w:rsidRPr="002262A4">
              <w:rPr>
                <w:rFonts w:ascii="宋体" w:hAnsi="宋体" w:cs="宋体" w:hint="eastAsia"/>
                <w:color w:val="000000"/>
                <w:kern w:val="0"/>
                <w:szCs w:val="21"/>
              </w:rPr>
              <w:t>数量（股）</w:t>
            </w:r>
          </w:p>
        </w:tc>
        <w:tc>
          <w:tcPr>
            <w:tcW w:w="1686" w:type="dxa"/>
            <w:shd w:val="clear" w:color="auto" w:fill="auto"/>
            <w:noWrap/>
            <w:vAlign w:val="center"/>
            <w:hideMark/>
          </w:tcPr>
          <w:p w:rsidR="0058235E" w:rsidRPr="002262A4" w:rsidRDefault="003F7B9D" w:rsidP="005307E8">
            <w:pPr>
              <w:widowControl/>
              <w:jc w:val="center"/>
              <w:rPr>
                <w:rFonts w:ascii="宋体" w:hAnsi="宋体" w:cs="宋体"/>
                <w:color w:val="000000"/>
                <w:kern w:val="0"/>
                <w:szCs w:val="21"/>
              </w:rPr>
            </w:pPr>
            <w:r>
              <w:rPr>
                <w:rFonts w:ascii="宋体" w:hAnsi="宋体" w:cs="宋体" w:hint="eastAsia"/>
                <w:color w:val="000000"/>
                <w:kern w:val="0"/>
                <w:szCs w:val="21"/>
              </w:rPr>
              <w:t>卖出金额（</w:t>
            </w:r>
            <w:r w:rsidRPr="002262A4">
              <w:rPr>
                <w:rFonts w:ascii="宋体" w:hAnsi="宋体" w:cs="宋体" w:hint="eastAsia"/>
                <w:color w:val="000000"/>
                <w:kern w:val="0"/>
                <w:szCs w:val="21"/>
              </w:rPr>
              <w:t>元）</w:t>
            </w:r>
          </w:p>
        </w:tc>
      </w:tr>
      <w:tr w:rsidR="00FA3167" w:rsidTr="00030672">
        <w:trPr>
          <w:trHeight w:val="290"/>
        </w:trPr>
        <w:tc>
          <w:tcPr>
            <w:tcW w:w="2268" w:type="dxa"/>
            <w:shd w:val="clear" w:color="auto" w:fill="auto"/>
            <w:noWrap/>
            <w:vAlign w:val="center"/>
            <w:hideMark/>
          </w:tcPr>
          <w:p w:rsidR="0058235E" w:rsidRPr="002262A4" w:rsidRDefault="003F7B9D" w:rsidP="005307E8">
            <w:pPr>
              <w:widowControl/>
              <w:jc w:val="center"/>
              <w:rPr>
                <w:rFonts w:ascii="宋体" w:hAnsi="宋体" w:cs="宋体"/>
                <w:color w:val="000000"/>
                <w:kern w:val="0"/>
                <w:szCs w:val="21"/>
              </w:rPr>
            </w:pPr>
            <w:r w:rsidRPr="002262A4">
              <w:rPr>
                <w:rFonts w:ascii="宋体" w:hAnsi="宋体" w:cs="宋体" w:hint="eastAsia"/>
                <w:color w:val="000000"/>
                <w:kern w:val="0"/>
                <w:szCs w:val="21"/>
              </w:rPr>
              <w:t xml:space="preserve"> </w:t>
            </w:r>
            <w:r>
              <w:t>易方达优质企业三年持有期混合型证券投资基金</w:t>
            </w:r>
          </w:p>
        </w:tc>
        <w:tc>
          <w:tcPr>
            <w:tcW w:w="1134" w:type="dxa"/>
            <w:vAlign w:val="center"/>
          </w:tcPr>
          <w:p w:rsidR="0058235E" w:rsidRPr="002262A4" w:rsidRDefault="003F7B9D" w:rsidP="0058235E">
            <w:pPr>
              <w:widowControl/>
              <w:jc w:val="center"/>
              <w:rPr>
                <w:rFonts w:ascii="宋体" w:hAnsi="宋体" w:cs="宋体"/>
                <w:color w:val="000000"/>
                <w:kern w:val="0"/>
                <w:szCs w:val="21"/>
              </w:rPr>
            </w:pPr>
            <w:r w:rsidRPr="0058235E">
              <w:rPr>
                <w:rFonts w:ascii="宋体" w:hAnsi="宋体" w:cs="宋体"/>
                <w:color w:val="000000"/>
                <w:kern w:val="0"/>
                <w:szCs w:val="21"/>
              </w:rPr>
              <w:t xml:space="preserve">600036 </w:t>
            </w:r>
            <w:r>
              <w:t>招商银行</w:t>
            </w:r>
          </w:p>
        </w:tc>
        <w:tc>
          <w:tcPr>
            <w:tcW w:w="1781" w:type="dxa"/>
            <w:shd w:val="clear" w:color="000000" w:fill="FFFFFF"/>
            <w:vAlign w:val="center"/>
          </w:tcPr>
          <w:p w:rsidR="0058235E" w:rsidRPr="002262A4" w:rsidRDefault="003F7B9D" w:rsidP="00A12662">
            <w:pPr>
              <w:widowControl/>
              <w:jc w:val="center"/>
              <w:rPr>
                <w:rFonts w:ascii="宋体" w:hAnsi="宋体" w:cs="宋体"/>
                <w:color w:val="000000"/>
                <w:kern w:val="0"/>
                <w:szCs w:val="21"/>
              </w:rPr>
            </w:pPr>
            <w:r w:rsidRPr="0058235E">
              <w:rPr>
                <w:rFonts w:ascii="宋体" w:hAnsi="宋体" w:cs="宋体"/>
                <w:color w:val="000000"/>
                <w:kern w:val="0"/>
                <w:szCs w:val="21"/>
              </w:rPr>
              <w:t>2025</w:t>
            </w:r>
            <w:r w:rsidRPr="0058235E">
              <w:rPr>
                <w:rFonts w:ascii="宋体" w:hAnsi="宋体" w:cs="宋体"/>
                <w:color w:val="000000"/>
                <w:kern w:val="0"/>
                <w:szCs w:val="21"/>
              </w:rPr>
              <w:t>年</w:t>
            </w:r>
            <w:r w:rsidRPr="0058235E">
              <w:rPr>
                <w:rFonts w:ascii="宋体" w:hAnsi="宋体" w:cs="宋体"/>
                <w:color w:val="000000"/>
                <w:kern w:val="0"/>
                <w:szCs w:val="21"/>
              </w:rPr>
              <w:t>11</w:t>
            </w:r>
            <w:r w:rsidRPr="0058235E">
              <w:rPr>
                <w:rFonts w:ascii="宋体" w:hAnsi="宋体" w:cs="宋体"/>
                <w:color w:val="000000"/>
                <w:kern w:val="0"/>
                <w:szCs w:val="21"/>
              </w:rPr>
              <w:t>月</w:t>
            </w:r>
            <w:r w:rsidRPr="0058235E">
              <w:rPr>
                <w:rFonts w:ascii="宋体" w:hAnsi="宋体" w:cs="宋体"/>
                <w:color w:val="000000"/>
                <w:kern w:val="0"/>
                <w:szCs w:val="21"/>
              </w:rPr>
              <w:t>6</w:t>
            </w:r>
            <w:r w:rsidRPr="0058235E">
              <w:rPr>
                <w:rFonts w:ascii="宋体" w:hAnsi="宋体" w:cs="宋体"/>
                <w:color w:val="000000"/>
                <w:kern w:val="0"/>
                <w:szCs w:val="21"/>
              </w:rPr>
              <w:t>日</w:t>
            </w:r>
          </w:p>
        </w:tc>
        <w:tc>
          <w:tcPr>
            <w:tcW w:w="1545" w:type="dxa"/>
            <w:shd w:val="clear" w:color="000000" w:fill="FFFFFF"/>
            <w:vAlign w:val="center"/>
            <w:hideMark/>
          </w:tcPr>
          <w:p w:rsidR="0058235E" w:rsidRPr="002262A4" w:rsidRDefault="003F7B9D" w:rsidP="00030672">
            <w:pPr>
              <w:widowControl/>
              <w:jc w:val="right"/>
              <w:rPr>
                <w:rFonts w:ascii="宋体" w:hAnsi="宋体" w:cs="宋体"/>
                <w:color w:val="000000"/>
                <w:kern w:val="0"/>
                <w:szCs w:val="21"/>
              </w:rPr>
            </w:pPr>
            <w:r w:rsidRPr="00030672">
              <w:rPr>
                <w:rFonts w:ascii="宋体" w:hAnsi="宋体" w:cs="宋体"/>
                <w:color w:val="000000"/>
                <w:kern w:val="0"/>
                <w:szCs w:val="21"/>
              </w:rPr>
              <w:t>2,200,000</w:t>
            </w:r>
            <w:r>
              <w:rPr>
                <w:rFonts w:ascii="宋体" w:hAnsi="宋体" w:cs="宋体" w:hint="eastAsia"/>
                <w:color w:val="000000"/>
                <w:kern w:val="0"/>
                <w:szCs w:val="21"/>
              </w:rPr>
              <w:t xml:space="preserve">  </w:t>
            </w:r>
          </w:p>
        </w:tc>
        <w:tc>
          <w:tcPr>
            <w:tcW w:w="1686" w:type="dxa"/>
            <w:shd w:val="clear" w:color="000000" w:fill="FFFFFF"/>
            <w:noWrap/>
            <w:vAlign w:val="center"/>
            <w:hideMark/>
          </w:tcPr>
          <w:p w:rsidR="0058235E" w:rsidRPr="002262A4" w:rsidRDefault="003F7B9D" w:rsidP="005307E8">
            <w:pPr>
              <w:widowControl/>
              <w:jc w:val="right"/>
              <w:rPr>
                <w:rFonts w:ascii="宋体" w:hAnsi="宋体" w:cs="宋体"/>
                <w:color w:val="000000"/>
                <w:kern w:val="0"/>
                <w:szCs w:val="21"/>
              </w:rPr>
            </w:pPr>
            <w:r w:rsidRPr="00030672">
              <w:rPr>
                <w:rFonts w:ascii="宋体" w:hAnsi="宋体" w:cs="宋体"/>
                <w:color w:val="000000"/>
                <w:kern w:val="0"/>
                <w:szCs w:val="21"/>
              </w:rPr>
              <w:t>93,654,416.00</w:t>
            </w:r>
          </w:p>
        </w:tc>
      </w:tr>
    </w:tbl>
    <w:p w:rsidR="00141CA4" w:rsidRPr="00923081" w:rsidRDefault="00141CA4" w:rsidP="00141CA4">
      <w:pPr>
        <w:widowControl/>
        <w:spacing w:line="360" w:lineRule="auto"/>
        <w:jc w:val="left"/>
        <w:rPr>
          <w:rFonts w:asciiTheme="majorEastAsia" w:eastAsiaTheme="majorEastAsia" w:hAnsiTheme="majorEastAsia"/>
          <w:kern w:val="0"/>
          <w:sz w:val="24"/>
          <w:szCs w:val="24"/>
        </w:rPr>
      </w:pPr>
    </w:p>
    <w:p w:rsidR="00141CA4" w:rsidRPr="001F12D1" w:rsidRDefault="003F7B9D" w:rsidP="00141CA4">
      <w:pPr>
        <w:widowControl/>
        <w:spacing w:line="360" w:lineRule="auto"/>
        <w:ind w:firstLine="480"/>
        <w:jc w:val="left"/>
        <w:rPr>
          <w:rFonts w:asciiTheme="majorEastAsia" w:eastAsiaTheme="majorEastAsia" w:hAnsiTheme="majorEastAsia" w:cs="宋体"/>
          <w:kern w:val="0"/>
          <w:sz w:val="24"/>
        </w:rPr>
      </w:pPr>
      <w:r w:rsidRPr="001F12D1">
        <w:rPr>
          <w:rFonts w:asciiTheme="majorEastAsia" w:eastAsiaTheme="majorEastAsia" w:hAnsiTheme="majorEastAsia" w:cs="宋体" w:hint="eastAsia"/>
          <w:kern w:val="0"/>
          <w:sz w:val="24"/>
        </w:rPr>
        <w:t>特此公告。</w:t>
      </w:r>
    </w:p>
    <w:p w:rsidR="00141CA4" w:rsidRPr="002077EF" w:rsidRDefault="003F7B9D" w:rsidP="00141CA4">
      <w:pPr>
        <w:widowControl/>
        <w:spacing w:line="360" w:lineRule="auto"/>
        <w:ind w:firstLine="480"/>
        <w:jc w:val="left"/>
        <w:rPr>
          <w:rFonts w:asciiTheme="majorEastAsia" w:eastAsiaTheme="majorEastAsia" w:hAnsiTheme="majorEastAsia"/>
          <w:kern w:val="0"/>
          <w:sz w:val="24"/>
        </w:rPr>
      </w:pPr>
      <w:r w:rsidRPr="001F12D1">
        <w:rPr>
          <w:rFonts w:asciiTheme="majorEastAsia" w:eastAsiaTheme="majorEastAsia" w:hAnsiTheme="majorEastAsia"/>
          <w:kern w:val="0"/>
          <w:sz w:val="24"/>
        </w:rPr>
        <w:lastRenderedPageBreak/>
        <w:t> </w:t>
      </w:r>
    </w:p>
    <w:p w:rsidR="00141CA4" w:rsidRPr="002077EF" w:rsidRDefault="003F7B9D" w:rsidP="00141CA4">
      <w:pPr>
        <w:widowControl/>
        <w:ind w:firstLineChars="200" w:firstLine="480"/>
        <w:jc w:val="right"/>
        <w:rPr>
          <w:rFonts w:asciiTheme="majorEastAsia" w:eastAsiaTheme="majorEastAsia" w:hAnsiTheme="majorEastAsia" w:cs="宋体"/>
          <w:kern w:val="0"/>
          <w:sz w:val="24"/>
        </w:rPr>
      </w:pPr>
      <w:r w:rsidRPr="002077EF">
        <w:rPr>
          <w:rFonts w:asciiTheme="majorEastAsia" w:eastAsiaTheme="majorEastAsia" w:hAnsiTheme="majorEastAsia"/>
          <w:kern w:val="0"/>
          <w:sz w:val="24"/>
        </w:rPr>
        <w:t xml:space="preserve">    </w:t>
      </w:r>
      <w:r w:rsidRPr="002077EF">
        <w:rPr>
          <w:rFonts w:asciiTheme="majorEastAsia" w:eastAsiaTheme="majorEastAsia" w:hAnsiTheme="majorEastAsia" w:cs="宋体" w:hint="eastAsia"/>
          <w:kern w:val="0"/>
          <w:sz w:val="24"/>
        </w:rPr>
        <w:t xml:space="preserve">　　　　　　　</w:t>
      </w:r>
    </w:p>
    <w:p w:rsidR="00141CA4" w:rsidRPr="002077EF" w:rsidRDefault="003F7B9D" w:rsidP="00141CA4">
      <w:pPr>
        <w:widowControl/>
        <w:ind w:right="723" w:firstLineChars="200" w:firstLine="480"/>
        <w:jc w:val="right"/>
        <w:rPr>
          <w:rFonts w:asciiTheme="majorEastAsia" w:eastAsiaTheme="majorEastAsia" w:hAnsiTheme="majorEastAsia" w:cs="宋体"/>
          <w:kern w:val="0"/>
          <w:sz w:val="24"/>
        </w:rPr>
      </w:pPr>
      <w:r w:rsidRPr="002077EF">
        <w:rPr>
          <w:rFonts w:asciiTheme="majorEastAsia" w:eastAsiaTheme="majorEastAsia" w:hAnsiTheme="majorEastAsia" w:cs="宋体" w:hint="eastAsia"/>
          <w:kern w:val="0"/>
          <w:sz w:val="24"/>
        </w:rPr>
        <w:t>易方达基金管理有限公司</w:t>
      </w:r>
    </w:p>
    <w:p w:rsidR="00141CA4" w:rsidRPr="000B7039" w:rsidRDefault="003F7B9D" w:rsidP="00141CA4">
      <w:pPr>
        <w:widowControl/>
        <w:wordWrap w:val="0"/>
        <w:ind w:right="964"/>
        <w:jc w:val="right"/>
        <w:rPr>
          <w:rFonts w:asciiTheme="majorEastAsia" w:eastAsiaTheme="majorEastAsia" w:hAnsiTheme="majorEastAsia" w:cs="宋体"/>
          <w:kern w:val="0"/>
          <w:sz w:val="24"/>
          <w:szCs w:val="24"/>
        </w:rPr>
      </w:pPr>
      <w:r w:rsidRPr="000B7039">
        <w:rPr>
          <w:rFonts w:asciiTheme="majorEastAsia" w:eastAsiaTheme="majorEastAsia" w:hAnsiTheme="majorEastAsia" w:cs="宋体" w:hint="eastAsia"/>
          <w:bCs/>
          <w:kern w:val="0"/>
          <w:sz w:val="24"/>
          <w:szCs w:val="24"/>
        </w:rPr>
        <w:t>202</w:t>
      </w:r>
      <w:r w:rsidR="003B4F45" w:rsidRPr="000B7039">
        <w:rPr>
          <w:rFonts w:asciiTheme="majorEastAsia" w:eastAsiaTheme="majorEastAsia" w:hAnsiTheme="majorEastAsia" w:cs="宋体"/>
          <w:bCs/>
          <w:kern w:val="0"/>
          <w:sz w:val="24"/>
          <w:szCs w:val="24"/>
        </w:rPr>
        <w:t>5</w:t>
      </w:r>
      <w:r w:rsidRPr="000B7039">
        <w:rPr>
          <w:rFonts w:asciiTheme="majorEastAsia" w:eastAsiaTheme="majorEastAsia" w:hAnsiTheme="majorEastAsia" w:cs="宋体" w:hint="eastAsia"/>
          <w:bCs/>
          <w:kern w:val="0"/>
          <w:sz w:val="24"/>
          <w:szCs w:val="24"/>
        </w:rPr>
        <w:t>年</w:t>
      </w:r>
      <w:r w:rsidR="0058235E">
        <w:rPr>
          <w:rFonts w:asciiTheme="majorEastAsia" w:eastAsiaTheme="majorEastAsia" w:hAnsiTheme="majorEastAsia" w:cs="宋体"/>
          <w:bCs/>
          <w:kern w:val="0"/>
          <w:sz w:val="24"/>
          <w:szCs w:val="24"/>
        </w:rPr>
        <w:t>11</w:t>
      </w:r>
      <w:r w:rsidRPr="000B7039">
        <w:rPr>
          <w:rFonts w:asciiTheme="majorEastAsia" w:eastAsiaTheme="majorEastAsia" w:hAnsiTheme="majorEastAsia" w:cs="宋体" w:hint="eastAsia"/>
          <w:bCs/>
          <w:kern w:val="0"/>
          <w:sz w:val="24"/>
          <w:szCs w:val="24"/>
        </w:rPr>
        <w:t>月</w:t>
      </w:r>
      <w:r w:rsidR="0058235E">
        <w:rPr>
          <w:rFonts w:asciiTheme="majorEastAsia" w:eastAsiaTheme="majorEastAsia" w:hAnsiTheme="majorEastAsia" w:cs="宋体"/>
          <w:bCs/>
          <w:kern w:val="0"/>
          <w:sz w:val="24"/>
          <w:szCs w:val="24"/>
        </w:rPr>
        <w:t>8</w:t>
      </w:r>
      <w:r w:rsidRPr="000B7039">
        <w:rPr>
          <w:rFonts w:asciiTheme="majorEastAsia" w:eastAsiaTheme="majorEastAsia" w:hAnsiTheme="majorEastAsia" w:cs="宋体" w:hint="eastAsia"/>
          <w:bCs/>
          <w:kern w:val="0"/>
          <w:sz w:val="24"/>
          <w:szCs w:val="24"/>
        </w:rPr>
        <w:t>日</w:t>
      </w:r>
    </w:p>
    <w:p w:rsidR="00141CA4" w:rsidRPr="001F12D1" w:rsidRDefault="00141CA4" w:rsidP="00141CA4">
      <w:pPr>
        <w:rPr>
          <w:rFonts w:asciiTheme="majorEastAsia" w:eastAsiaTheme="majorEastAsia" w:hAnsiTheme="majorEastAsia"/>
        </w:rPr>
      </w:pPr>
    </w:p>
    <w:p w:rsidR="00141CA4" w:rsidRPr="001F12D1" w:rsidRDefault="00141CA4" w:rsidP="00141CA4">
      <w:pPr>
        <w:rPr>
          <w:rFonts w:asciiTheme="majorEastAsia" w:eastAsiaTheme="majorEastAsia" w:hAnsiTheme="majorEastAsia"/>
        </w:rPr>
      </w:pPr>
    </w:p>
    <w:p w:rsidR="00141CA4" w:rsidRPr="00177B3B" w:rsidRDefault="00141CA4" w:rsidP="00141CA4"/>
    <w:p w:rsidR="00F561F7" w:rsidRPr="00141CA4" w:rsidRDefault="00F561F7" w:rsidP="00141CA4"/>
    <w:sectPr w:rsidR="00F561F7" w:rsidRPr="00141CA4" w:rsidSect="006D05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颜鹏">
    <w15:presenceInfo w15:providerId="None" w15:userId="颜鹏"/>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0F64"/>
    <w:rsid w:val="00030672"/>
    <w:rsid w:val="00037F8D"/>
    <w:rsid w:val="000B7039"/>
    <w:rsid w:val="000F1B3C"/>
    <w:rsid w:val="00135C8A"/>
    <w:rsid w:val="00141CA4"/>
    <w:rsid w:val="00177B3B"/>
    <w:rsid w:val="0018047E"/>
    <w:rsid w:val="00186C8C"/>
    <w:rsid w:val="001E31BA"/>
    <w:rsid w:val="001F12D1"/>
    <w:rsid w:val="002077EF"/>
    <w:rsid w:val="00225437"/>
    <w:rsid w:val="002262A4"/>
    <w:rsid w:val="002553A4"/>
    <w:rsid w:val="00282BB5"/>
    <w:rsid w:val="002A29D3"/>
    <w:rsid w:val="002A4CF4"/>
    <w:rsid w:val="002C3E12"/>
    <w:rsid w:val="002E42F7"/>
    <w:rsid w:val="002F12C4"/>
    <w:rsid w:val="00304C1B"/>
    <w:rsid w:val="003177A3"/>
    <w:rsid w:val="00351EB9"/>
    <w:rsid w:val="003A7524"/>
    <w:rsid w:val="003B4F45"/>
    <w:rsid w:val="003C4A13"/>
    <w:rsid w:val="003C560F"/>
    <w:rsid w:val="003F0261"/>
    <w:rsid w:val="003F48D2"/>
    <w:rsid w:val="003F7B9D"/>
    <w:rsid w:val="0041754A"/>
    <w:rsid w:val="0042083E"/>
    <w:rsid w:val="00420DAD"/>
    <w:rsid w:val="00425E3F"/>
    <w:rsid w:val="00434C61"/>
    <w:rsid w:val="00445FC6"/>
    <w:rsid w:val="00495D57"/>
    <w:rsid w:val="004D6C30"/>
    <w:rsid w:val="004E5A83"/>
    <w:rsid w:val="004F1B0A"/>
    <w:rsid w:val="005036B8"/>
    <w:rsid w:val="005116B8"/>
    <w:rsid w:val="005307E8"/>
    <w:rsid w:val="0058235E"/>
    <w:rsid w:val="00583174"/>
    <w:rsid w:val="005972B2"/>
    <w:rsid w:val="005A69BF"/>
    <w:rsid w:val="005D572F"/>
    <w:rsid w:val="005E5AC3"/>
    <w:rsid w:val="00630D17"/>
    <w:rsid w:val="00632910"/>
    <w:rsid w:val="00636371"/>
    <w:rsid w:val="0069506F"/>
    <w:rsid w:val="0069676A"/>
    <w:rsid w:val="006B006F"/>
    <w:rsid w:val="006B6352"/>
    <w:rsid w:val="006C066C"/>
    <w:rsid w:val="006C16EF"/>
    <w:rsid w:val="006D05F5"/>
    <w:rsid w:val="006E11B3"/>
    <w:rsid w:val="00701E70"/>
    <w:rsid w:val="007124FD"/>
    <w:rsid w:val="0077544C"/>
    <w:rsid w:val="007A3C4F"/>
    <w:rsid w:val="007A5436"/>
    <w:rsid w:val="007A66EB"/>
    <w:rsid w:val="008328C4"/>
    <w:rsid w:val="00923081"/>
    <w:rsid w:val="00937D43"/>
    <w:rsid w:val="00954324"/>
    <w:rsid w:val="00973DD4"/>
    <w:rsid w:val="009A6634"/>
    <w:rsid w:val="009A7BB1"/>
    <w:rsid w:val="009E1630"/>
    <w:rsid w:val="009F5D05"/>
    <w:rsid w:val="00A12662"/>
    <w:rsid w:val="00A30E14"/>
    <w:rsid w:val="00A528BA"/>
    <w:rsid w:val="00A54315"/>
    <w:rsid w:val="00AD1CEF"/>
    <w:rsid w:val="00B20F09"/>
    <w:rsid w:val="00B56F95"/>
    <w:rsid w:val="00B64B98"/>
    <w:rsid w:val="00B72DE4"/>
    <w:rsid w:val="00BD2B93"/>
    <w:rsid w:val="00C251FE"/>
    <w:rsid w:val="00C35CB6"/>
    <w:rsid w:val="00C40BE1"/>
    <w:rsid w:val="00C72EF5"/>
    <w:rsid w:val="00C85A50"/>
    <w:rsid w:val="00D11E8C"/>
    <w:rsid w:val="00D34298"/>
    <w:rsid w:val="00D40F64"/>
    <w:rsid w:val="00D576A8"/>
    <w:rsid w:val="00D75BCE"/>
    <w:rsid w:val="00D84C87"/>
    <w:rsid w:val="00DC013A"/>
    <w:rsid w:val="00DC053C"/>
    <w:rsid w:val="00DC1388"/>
    <w:rsid w:val="00DF5CDD"/>
    <w:rsid w:val="00E00FAE"/>
    <w:rsid w:val="00E35D9A"/>
    <w:rsid w:val="00E372B4"/>
    <w:rsid w:val="00E43A11"/>
    <w:rsid w:val="00E905FC"/>
    <w:rsid w:val="00EB7357"/>
    <w:rsid w:val="00EE1D32"/>
    <w:rsid w:val="00EF58BF"/>
    <w:rsid w:val="00EF791A"/>
    <w:rsid w:val="00F254EC"/>
    <w:rsid w:val="00F431E2"/>
    <w:rsid w:val="00F561F7"/>
    <w:rsid w:val="00F649D0"/>
    <w:rsid w:val="00F7041A"/>
    <w:rsid w:val="00F830F1"/>
    <w:rsid w:val="00F83A04"/>
    <w:rsid w:val="00FA3167"/>
    <w:rsid w:val="00FB3A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4C61"/>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434C61"/>
    <w:rPr>
      <w:sz w:val="18"/>
      <w:szCs w:val="18"/>
    </w:rPr>
  </w:style>
  <w:style w:type="paragraph" w:styleId="a4">
    <w:name w:val="footer"/>
    <w:basedOn w:val="a"/>
    <w:link w:val="Char0"/>
    <w:uiPriority w:val="99"/>
    <w:unhideWhenUsed/>
    <w:rsid w:val="00434C61"/>
    <w:pPr>
      <w:tabs>
        <w:tab w:val="center" w:pos="4153"/>
        <w:tab w:val="right" w:pos="8306"/>
      </w:tabs>
      <w:snapToGrid w:val="0"/>
      <w:jc w:val="left"/>
    </w:pPr>
    <w:rPr>
      <w:kern w:val="0"/>
      <w:sz w:val="18"/>
      <w:szCs w:val="18"/>
    </w:rPr>
  </w:style>
  <w:style w:type="character" w:customStyle="1" w:styleId="Char0">
    <w:name w:val="页脚 Char"/>
    <w:link w:val="a4"/>
    <w:uiPriority w:val="99"/>
    <w:rsid w:val="00434C61"/>
    <w:rPr>
      <w:sz w:val="18"/>
      <w:szCs w:val="18"/>
    </w:rPr>
  </w:style>
  <w:style w:type="character" w:styleId="a5">
    <w:name w:val="annotation reference"/>
    <w:semiHidden/>
    <w:rsid w:val="00434C61"/>
    <w:rPr>
      <w:rFonts w:cs="Times New Roman"/>
      <w:sz w:val="21"/>
      <w:szCs w:val="21"/>
    </w:rPr>
  </w:style>
  <w:style w:type="paragraph" w:styleId="a6">
    <w:name w:val="annotation text"/>
    <w:basedOn w:val="a"/>
    <w:link w:val="Char1"/>
    <w:semiHidden/>
    <w:rsid w:val="00434C61"/>
    <w:pPr>
      <w:jc w:val="left"/>
    </w:pPr>
    <w:rPr>
      <w:kern w:val="0"/>
      <w:sz w:val="20"/>
      <w:szCs w:val="20"/>
    </w:rPr>
  </w:style>
  <w:style w:type="character" w:customStyle="1" w:styleId="Char1">
    <w:name w:val="批注文字 Char"/>
    <w:link w:val="a6"/>
    <w:semiHidden/>
    <w:rsid w:val="00434C61"/>
    <w:rPr>
      <w:rFonts w:ascii="Calibri" w:eastAsia="宋体" w:hAnsi="Calibri" w:cs="Times New Roman"/>
    </w:rPr>
  </w:style>
  <w:style w:type="paragraph" w:styleId="a7">
    <w:name w:val="Balloon Text"/>
    <w:basedOn w:val="a"/>
    <w:link w:val="Char2"/>
    <w:uiPriority w:val="99"/>
    <w:semiHidden/>
    <w:unhideWhenUsed/>
    <w:rsid w:val="00434C61"/>
    <w:rPr>
      <w:kern w:val="0"/>
      <w:sz w:val="18"/>
      <w:szCs w:val="18"/>
    </w:rPr>
  </w:style>
  <w:style w:type="character" w:customStyle="1" w:styleId="Char2">
    <w:name w:val="批注框文本 Char"/>
    <w:link w:val="a7"/>
    <w:uiPriority w:val="99"/>
    <w:semiHidden/>
    <w:rsid w:val="00434C61"/>
    <w:rPr>
      <w:rFonts w:ascii="Calibri" w:eastAsia="宋体" w:hAnsi="Calibri" w:cs="Times New Roman"/>
      <w:sz w:val="18"/>
      <w:szCs w:val="18"/>
    </w:rPr>
  </w:style>
  <w:style w:type="character" w:styleId="a8">
    <w:name w:val="Strong"/>
    <w:uiPriority w:val="99"/>
    <w:qFormat/>
    <w:rsid w:val="006B006F"/>
    <w:rPr>
      <w:rFonts w:ascii="Times New Roman" w:hAnsi="Times New Roman" w:cs="Times New Roman" w:hint="default"/>
      <w:b/>
      <w:bCs/>
    </w:rPr>
  </w:style>
  <w:style w:type="paragraph" w:customStyle="1" w:styleId="font14">
    <w:name w:val="font14"/>
    <w:basedOn w:val="a"/>
    <w:uiPriority w:val="99"/>
    <w:rsid w:val="006B006F"/>
    <w:pPr>
      <w:widowControl/>
      <w:spacing w:before="100" w:beforeAutospacing="1" w:after="100" w:afterAutospacing="1" w:line="360" w:lineRule="auto"/>
      <w:jc w:val="left"/>
    </w:pPr>
    <w:rPr>
      <w:rFonts w:ascii="宋体" w:hAnsi="宋体" w:cs="宋体"/>
      <w:kern w:val="0"/>
      <w:sz w:val="19"/>
      <w:szCs w:val="19"/>
    </w:rPr>
  </w:style>
  <w:style w:type="paragraph" w:customStyle="1" w:styleId="Default">
    <w:name w:val="Default"/>
    <w:rsid w:val="006B006F"/>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08216-D45B-4D28-85E2-9E879EE34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787</Characters>
  <Application>Microsoft Office Word</Application>
  <DocSecurity>4</DocSecurity>
  <Lines>6</Lines>
  <Paragraphs>1</Paragraphs>
  <ScaleCrop>false</ScaleCrop>
  <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2025-11-07T16:01:00Z</dcterms:created>
  <dcterms:modified xsi:type="dcterms:W3CDTF">2025-11-07T16:01:00Z</dcterms:modified>
</cp:coreProperties>
</file>