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6BD1" w:rsidRDefault="00156BD1">
      <w:pPr>
        <w:pStyle w:val="XBRL2"/>
        <w:spacing w:before="156"/>
        <w:rPr>
          <w:lang w:eastAsia="zh-CN"/>
        </w:rPr>
      </w:pPr>
      <w:bookmarkStart w:id="0" w:name="_Toc348410291"/>
      <w:bookmarkEnd w:id="0"/>
      <w:r>
        <w:rPr>
          <w:lang w:eastAsia="zh-CN"/>
        </w:rPr>
        <w:t xml:space="preserve">　</w:t>
      </w:r>
      <w:r>
        <w:rPr>
          <w:lang w:eastAsia="zh-CN"/>
        </w:rPr>
        <w:t xml:space="preserve"> </w:t>
      </w:r>
    </w:p>
    <w:p w:rsidR="00156BD1" w:rsidRDefault="00156BD1">
      <w:pPr>
        <w:jc w:val="center"/>
      </w:pPr>
      <w:r>
        <w:rPr>
          <w:rFonts w:cs="Times New Roman" w:hint="eastAsia"/>
          <w:b/>
          <w:sz w:val="48"/>
          <w:szCs w:val="48"/>
        </w:rPr>
        <w:t>关于华泰柏瑞量化对冲稳健收益定期开放混合型发起式证券投资基金第</w:t>
      </w:r>
      <w:r w:rsidR="00454725">
        <w:rPr>
          <w:rFonts w:cs="Times New Roman" w:hint="eastAsia"/>
          <w:b/>
          <w:sz w:val="48"/>
          <w:szCs w:val="48"/>
        </w:rPr>
        <w:t>十</w:t>
      </w:r>
      <w:r w:rsidR="004A2BB3">
        <w:rPr>
          <w:rFonts w:cs="Times New Roman" w:hint="eastAsia"/>
          <w:b/>
          <w:sz w:val="48"/>
          <w:szCs w:val="48"/>
        </w:rPr>
        <w:t>九</w:t>
      </w:r>
      <w:r>
        <w:rPr>
          <w:rFonts w:cs="Times New Roman" w:hint="eastAsia"/>
          <w:b/>
          <w:sz w:val="48"/>
          <w:szCs w:val="48"/>
        </w:rPr>
        <w:t>个开放期开放日常申购、赎回、转换业务的公告</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sz w:val="24"/>
          <w:szCs w:val="30"/>
        </w:rPr>
      </w:pPr>
      <w:r>
        <w:rPr>
          <w:rFonts w:hint="eastAsia"/>
          <w:sz w:val="24"/>
          <w:szCs w:val="30"/>
        </w:rPr>
        <w:t xml:space="preserve">　 </w:t>
      </w:r>
    </w:p>
    <w:p w:rsidR="00156BD1" w:rsidRDefault="00156BD1">
      <w:pPr>
        <w:spacing w:line="360" w:lineRule="auto"/>
        <w:jc w:val="center"/>
        <w:rPr>
          <w:rFonts w:hint="eastAsia"/>
        </w:rPr>
      </w:pPr>
      <w:r>
        <w:rPr>
          <w:rFonts w:hint="eastAsia"/>
          <w:b/>
          <w:bCs/>
          <w:sz w:val="24"/>
          <w:szCs w:val="30"/>
        </w:rPr>
        <w:t>公告送出日期：</w:t>
      </w:r>
      <w:bookmarkStart w:id="1" w:name="_Hlk213341574"/>
      <w:r>
        <w:rPr>
          <w:rFonts w:hint="eastAsia"/>
          <w:b/>
          <w:bCs/>
          <w:sz w:val="24"/>
          <w:szCs w:val="30"/>
        </w:rPr>
        <w:t>202</w:t>
      </w:r>
      <w:r w:rsidR="00781831">
        <w:rPr>
          <w:b/>
          <w:bCs/>
          <w:sz w:val="24"/>
          <w:szCs w:val="30"/>
        </w:rPr>
        <w:t>5</w:t>
      </w:r>
      <w:r>
        <w:rPr>
          <w:rFonts w:hint="eastAsia"/>
          <w:b/>
          <w:bCs/>
          <w:sz w:val="24"/>
          <w:szCs w:val="30"/>
        </w:rPr>
        <w:t>年</w:t>
      </w:r>
      <w:r w:rsidR="004A2BB3">
        <w:rPr>
          <w:b/>
          <w:bCs/>
          <w:sz w:val="24"/>
          <w:szCs w:val="30"/>
        </w:rPr>
        <w:t>11</w:t>
      </w:r>
      <w:r>
        <w:rPr>
          <w:rFonts w:hint="eastAsia"/>
          <w:b/>
          <w:bCs/>
          <w:sz w:val="24"/>
          <w:szCs w:val="30"/>
        </w:rPr>
        <w:t>月</w:t>
      </w:r>
      <w:r w:rsidR="004A2BB3">
        <w:rPr>
          <w:b/>
          <w:bCs/>
          <w:sz w:val="24"/>
          <w:szCs w:val="30"/>
        </w:rPr>
        <w:t>8</w:t>
      </w:r>
      <w:r>
        <w:rPr>
          <w:rFonts w:hint="eastAsia"/>
          <w:b/>
          <w:bCs/>
          <w:sz w:val="24"/>
          <w:szCs w:val="30"/>
        </w:rPr>
        <w:t>日</w:t>
      </w:r>
      <w:bookmarkEnd w:id="1"/>
    </w:p>
    <w:p w:rsidR="00156BD1" w:rsidRDefault="00156BD1">
      <w:pPr>
        <w:pStyle w:val="TOC1"/>
        <w:rPr>
          <w:rFonts w:hint="eastAsia"/>
          <w:vanish/>
        </w:rPr>
      </w:pPr>
      <w:r>
        <w:rPr>
          <w:rFonts w:hint="eastAsia"/>
          <w:color w:val="404040"/>
          <w:kern w:val="0"/>
        </w:rPr>
        <w:br w:type="page"/>
      </w:r>
      <w:hyperlink w:anchor="_Toc348410291" w:history="1">
        <w:r>
          <w:rPr>
            <w:rStyle w:val="a3"/>
            <w:rFonts w:hint="eastAsia"/>
            <w:vanish/>
          </w:rPr>
          <w:t>0、公告标题</w:t>
        </w:r>
      </w:hyperlink>
      <w:r w:rsidRPr="007D3B8F">
        <w:rPr>
          <w:rFonts w:ascii="Calibri" w:hAnsi="Calibri" w:cs="Times New Roman"/>
          <w:vanish/>
          <w:szCs w:val="22"/>
        </w:rPr>
        <w:t xml:space="preserve"> </w:t>
      </w:r>
    </w:p>
    <w:bookmarkStart w:id="2" w:name="m01_01"/>
    <w:bookmarkStart w:id="3" w:name="_Toc194311890"/>
    <w:p w:rsidR="00156BD1" w:rsidRDefault="00156BD1">
      <w:pPr>
        <w:pStyle w:val="TOC1"/>
        <w:rPr>
          <w:rFonts w:hint="eastAsia"/>
          <w:vanish/>
        </w:rPr>
      </w:pPr>
      <w:r>
        <w:rPr>
          <w:vanish/>
        </w:rPr>
        <w:fldChar w:fldCharType="begin"/>
      </w:r>
      <w:r>
        <w:rPr>
          <w:vanish/>
        </w:rPr>
        <w:instrText xml:space="preserve"> HYPERLINK "" \l "_Toc34841028" </w:instrText>
      </w:r>
      <w:r>
        <w:rPr>
          <w:vanish/>
        </w:rPr>
        <w:fldChar w:fldCharType="separate"/>
      </w:r>
      <w:r>
        <w:rPr>
          <w:rStyle w:val="a3"/>
          <w:rFonts w:hint="eastAsia"/>
          <w:vanish/>
        </w:rPr>
        <w:t>1 公告基本信息</w:t>
      </w:r>
      <w:r>
        <w:rPr>
          <w:vanish/>
        </w:rPr>
        <w:fldChar w:fldCharType="end"/>
      </w:r>
      <w:r w:rsidRPr="007D3B8F">
        <w:rPr>
          <w:rFonts w:ascii="Calibri" w:hAnsi="Calibri" w:cs="Times New Roman"/>
          <w:vanish/>
          <w:szCs w:val="22"/>
        </w:rPr>
        <w:t xml:space="preserve"> </w:t>
      </w:r>
    </w:p>
    <w:p w:rsidR="00156BD1" w:rsidRDefault="00156BD1">
      <w:pPr>
        <w:pStyle w:val="TOC1"/>
        <w:rPr>
          <w:rFonts w:hint="eastAsia"/>
          <w:vanish/>
        </w:rPr>
      </w:pPr>
      <w:hyperlink w:anchor="_Toc34841029" w:history="1">
        <w:r>
          <w:rPr>
            <w:rStyle w:val="a3"/>
            <w:rFonts w:hint="eastAsia"/>
            <w:vanish/>
          </w:rPr>
          <w:t>2 日常申购、赎回(转换、定期定额投资)业务的办理时间</w:t>
        </w:r>
      </w:hyperlink>
      <w:r w:rsidRPr="007D3B8F">
        <w:rPr>
          <w:rFonts w:ascii="Calibri" w:hAnsi="Calibri" w:cs="Times New Roman"/>
          <w:vanish/>
          <w:szCs w:val="22"/>
        </w:rPr>
        <w:t xml:space="preserve"> </w:t>
      </w:r>
    </w:p>
    <w:p w:rsidR="00156BD1" w:rsidRDefault="00156BD1">
      <w:pPr>
        <w:pStyle w:val="TOC1"/>
        <w:rPr>
          <w:rFonts w:hint="eastAsia"/>
          <w:vanish/>
        </w:rPr>
      </w:pPr>
      <w:hyperlink w:anchor="_Toc34841030" w:history="1">
        <w:r>
          <w:rPr>
            <w:rStyle w:val="a3"/>
            <w:rFonts w:hint="eastAsia"/>
            <w:vanish/>
          </w:rPr>
          <w:t>3 日常申购业务</w:t>
        </w:r>
      </w:hyperlink>
      <w:r w:rsidRPr="007D3B8F">
        <w:rPr>
          <w:rFonts w:ascii="Calibri" w:hAnsi="Calibri" w:cs="Times New Roman"/>
          <w:vanish/>
          <w:szCs w:val="22"/>
        </w:rPr>
        <w:t xml:space="preserve"> </w:t>
      </w:r>
    </w:p>
    <w:p w:rsidR="00156BD1" w:rsidRDefault="00156BD1">
      <w:pPr>
        <w:pStyle w:val="TOC3"/>
        <w:tabs>
          <w:tab w:val="right" w:leader="dot" w:pos="8835"/>
        </w:tabs>
        <w:rPr>
          <w:rFonts w:hint="eastAsia"/>
          <w:vanish/>
        </w:rPr>
      </w:pPr>
      <w:hyperlink w:anchor="_Toc34841031" w:history="1">
        <w:r>
          <w:rPr>
            <w:rStyle w:val="a3"/>
            <w:rFonts w:hint="eastAsia"/>
            <w:noProof/>
            <w:vanish/>
          </w:rPr>
          <w:t>3.1 申购金额限制</w:t>
        </w:r>
      </w:hyperlink>
      <w:r w:rsidRPr="007D3B8F">
        <w:rPr>
          <w:rFonts w:ascii="Calibri" w:hAnsi="Calibri" w:cs="Times New Roman"/>
          <w:noProof/>
          <w:vanish/>
          <w:szCs w:val="22"/>
        </w:rPr>
        <w:t xml:space="preserve"> </w:t>
      </w:r>
    </w:p>
    <w:p w:rsidR="00156BD1" w:rsidRDefault="00156BD1">
      <w:pPr>
        <w:pStyle w:val="TOC3"/>
        <w:tabs>
          <w:tab w:val="right" w:leader="dot" w:pos="8835"/>
        </w:tabs>
        <w:rPr>
          <w:rFonts w:hint="eastAsia"/>
          <w:vanish/>
        </w:rPr>
      </w:pPr>
      <w:hyperlink w:anchor="_Toc513465658" w:history="1">
        <w:r>
          <w:rPr>
            <w:rStyle w:val="a3"/>
            <w:rFonts w:hint="eastAsia"/>
            <w:noProof/>
            <w:vanish/>
          </w:rPr>
          <w:t>3.2 申购费率</w:t>
        </w:r>
      </w:hyperlink>
      <w:r w:rsidRPr="007D3B8F">
        <w:rPr>
          <w:rFonts w:ascii="Calibri" w:hAnsi="Calibri" w:cs="Times New Roman"/>
          <w:noProof/>
          <w:vanish/>
          <w:szCs w:val="22"/>
        </w:rPr>
        <w:t xml:space="preserve"> </w:t>
      </w:r>
    </w:p>
    <w:p w:rsidR="00156BD1" w:rsidRDefault="00156BD1">
      <w:pPr>
        <w:pStyle w:val="TOC3"/>
        <w:tabs>
          <w:tab w:val="right" w:leader="dot" w:pos="8835"/>
        </w:tabs>
        <w:rPr>
          <w:rFonts w:hint="eastAsia"/>
          <w:vanish/>
        </w:rPr>
      </w:pPr>
      <w:hyperlink w:anchor="_Toc513465659" w:history="1">
        <w:r>
          <w:rPr>
            <w:rStyle w:val="a3"/>
            <w:rFonts w:hint="eastAsia"/>
            <w:noProof/>
            <w:vanish/>
          </w:rPr>
          <w:t>3.2.1 前端收费</w:t>
        </w:r>
      </w:hyperlink>
      <w:r w:rsidRPr="007D3B8F">
        <w:rPr>
          <w:rFonts w:ascii="Calibri" w:hAnsi="Calibri" w:cs="Times New Roman"/>
          <w:noProof/>
          <w:vanish/>
          <w:szCs w:val="22"/>
        </w:rPr>
        <w:t xml:space="preserve"> </w:t>
      </w:r>
    </w:p>
    <w:p w:rsidR="00156BD1" w:rsidRDefault="00156BD1">
      <w:pPr>
        <w:pStyle w:val="TOC3"/>
        <w:tabs>
          <w:tab w:val="right" w:leader="dot" w:pos="8835"/>
        </w:tabs>
        <w:rPr>
          <w:rFonts w:hint="eastAsia"/>
          <w:vanish/>
        </w:rPr>
      </w:pPr>
      <w:hyperlink w:anchor="_Toc513465660" w:history="1">
        <w:r>
          <w:rPr>
            <w:rStyle w:val="a3"/>
            <w:rFonts w:hint="eastAsia"/>
            <w:noProof/>
            <w:vanish/>
          </w:rPr>
          <w:t>3.2.2 后端收费</w:t>
        </w:r>
      </w:hyperlink>
      <w:r w:rsidRPr="007D3B8F">
        <w:rPr>
          <w:rFonts w:ascii="Calibri" w:hAnsi="Calibri" w:cs="Times New Roman"/>
          <w:noProof/>
          <w:vanish/>
          <w:szCs w:val="22"/>
        </w:rPr>
        <w:t xml:space="preserve"> </w:t>
      </w:r>
    </w:p>
    <w:p w:rsidR="00156BD1" w:rsidRDefault="00156BD1">
      <w:pPr>
        <w:pStyle w:val="TOC3"/>
        <w:tabs>
          <w:tab w:val="right" w:leader="dot" w:pos="8835"/>
        </w:tabs>
        <w:rPr>
          <w:rFonts w:hint="eastAsia"/>
          <w:vanish/>
        </w:rPr>
      </w:pPr>
      <w:hyperlink w:anchor="_Toc34841033" w:history="1">
        <w:r>
          <w:rPr>
            <w:rStyle w:val="a3"/>
            <w:rFonts w:hint="eastAsia"/>
            <w:noProof/>
            <w:vanish/>
          </w:rPr>
          <w:t>3.3 其他与申购相关的事项</w:t>
        </w:r>
      </w:hyperlink>
      <w:r w:rsidRPr="007D3B8F">
        <w:rPr>
          <w:rFonts w:ascii="Calibri" w:hAnsi="Calibri" w:cs="Times New Roman"/>
          <w:noProof/>
          <w:vanish/>
          <w:szCs w:val="22"/>
        </w:rPr>
        <w:t xml:space="preserve"> </w:t>
      </w:r>
    </w:p>
    <w:p w:rsidR="00156BD1" w:rsidRDefault="00156BD1">
      <w:pPr>
        <w:pStyle w:val="TOC1"/>
        <w:rPr>
          <w:rFonts w:hint="eastAsia"/>
          <w:vanish/>
        </w:rPr>
      </w:pPr>
      <w:hyperlink w:anchor="_Toc34841034" w:history="1">
        <w:r>
          <w:rPr>
            <w:rStyle w:val="a3"/>
            <w:rFonts w:hint="eastAsia"/>
            <w:vanish/>
          </w:rPr>
          <w:t>4 日常赎回业务</w:t>
        </w:r>
      </w:hyperlink>
      <w:r w:rsidRPr="007D3B8F">
        <w:rPr>
          <w:rFonts w:ascii="Calibri" w:hAnsi="Calibri" w:cs="Times New Roman"/>
          <w:vanish/>
          <w:szCs w:val="22"/>
        </w:rPr>
        <w:t xml:space="preserve"> </w:t>
      </w:r>
    </w:p>
    <w:p w:rsidR="00156BD1" w:rsidRDefault="00156BD1">
      <w:pPr>
        <w:pStyle w:val="TOC2"/>
        <w:tabs>
          <w:tab w:val="right" w:leader="dot" w:pos="8835"/>
        </w:tabs>
        <w:rPr>
          <w:rFonts w:hint="eastAsia"/>
          <w:vanish/>
        </w:rPr>
      </w:pPr>
      <w:hyperlink w:anchor="_Toc34841035" w:history="1">
        <w:r>
          <w:rPr>
            <w:rStyle w:val="a3"/>
            <w:rFonts w:hint="eastAsia"/>
            <w:noProof/>
            <w:vanish/>
          </w:rPr>
          <w:t>4.1 赎回份额限制</w:t>
        </w:r>
      </w:hyperlink>
      <w:r w:rsidRPr="007D3B8F">
        <w:rPr>
          <w:rFonts w:ascii="Calibri" w:hAnsi="Calibri" w:cs="Times New Roman"/>
          <w:noProof/>
          <w:vanish/>
          <w:szCs w:val="22"/>
        </w:rPr>
        <w:t xml:space="preserve"> </w:t>
      </w:r>
    </w:p>
    <w:p w:rsidR="00156BD1" w:rsidRDefault="00156BD1">
      <w:pPr>
        <w:pStyle w:val="TOC2"/>
        <w:tabs>
          <w:tab w:val="right" w:leader="dot" w:pos="8835"/>
        </w:tabs>
        <w:rPr>
          <w:rFonts w:hint="eastAsia"/>
          <w:vanish/>
        </w:rPr>
      </w:pPr>
      <w:hyperlink w:anchor="_Toc34841036" w:history="1">
        <w:r>
          <w:rPr>
            <w:rStyle w:val="a3"/>
            <w:rFonts w:hint="eastAsia"/>
            <w:noProof/>
            <w:vanish/>
          </w:rPr>
          <w:t>4.2 赎回费率</w:t>
        </w:r>
      </w:hyperlink>
      <w:r w:rsidRPr="007D3B8F">
        <w:rPr>
          <w:rFonts w:ascii="Calibri" w:hAnsi="Calibri" w:cs="Times New Roman"/>
          <w:noProof/>
          <w:vanish/>
          <w:szCs w:val="22"/>
        </w:rPr>
        <w:t xml:space="preserve"> </w:t>
      </w:r>
    </w:p>
    <w:p w:rsidR="00156BD1" w:rsidRDefault="00156BD1">
      <w:pPr>
        <w:pStyle w:val="TOC2"/>
        <w:tabs>
          <w:tab w:val="right" w:leader="dot" w:pos="8835"/>
        </w:tabs>
        <w:rPr>
          <w:rFonts w:hint="eastAsia"/>
          <w:vanish/>
        </w:rPr>
      </w:pPr>
      <w:hyperlink w:anchor="_Toc34841037" w:history="1">
        <w:r>
          <w:rPr>
            <w:rStyle w:val="a3"/>
            <w:rFonts w:hint="eastAsia"/>
            <w:noProof/>
            <w:vanish/>
          </w:rPr>
          <w:t>4.3 其他与赎回相关的事项</w:t>
        </w:r>
      </w:hyperlink>
      <w:r w:rsidRPr="007D3B8F">
        <w:rPr>
          <w:rFonts w:ascii="Calibri" w:hAnsi="Calibri" w:cs="Times New Roman"/>
          <w:noProof/>
          <w:vanish/>
          <w:szCs w:val="22"/>
        </w:rPr>
        <w:t xml:space="preserve"> </w:t>
      </w:r>
    </w:p>
    <w:p w:rsidR="00156BD1" w:rsidRDefault="00156BD1">
      <w:pPr>
        <w:pStyle w:val="TOC1"/>
        <w:rPr>
          <w:rFonts w:hint="eastAsia"/>
          <w:vanish/>
        </w:rPr>
      </w:pPr>
      <w:hyperlink w:anchor="_Toc34841038" w:history="1">
        <w:r>
          <w:rPr>
            <w:rStyle w:val="a3"/>
            <w:rFonts w:hint="eastAsia"/>
            <w:vanish/>
          </w:rPr>
          <w:t>5 日常转换业务</w:t>
        </w:r>
      </w:hyperlink>
      <w:r w:rsidRPr="007D3B8F">
        <w:rPr>
          <w:rFonts w:ascii="Calibri" w:hAnsi="Calibri" w:cs="Times New Roman"/>
          <w:vanish/>
          <w:szCs w:val="22"/>
        </w:rPr>
        <w:t xml:space="preserve"> </w:t>
      </w:r>
    </w:p>
    <w:p w:rsidR="00156BD1" w:rsidRDefault="00156BD1">
      <w:pPr>
        <w:pStyle w:val="TOC2"/>
        <w:tabs>
          <w:tab w:val="right" w:leader="dot" w:pos="8835"/>
        </w:tabs>
        <w:rPr>
          <w:rFonts w:hint="eastAsia"/>
          <w:vanish/>
        </w:rPr>
      </w:pPr>
      <w:hyperlink w:anchor="_Toc34841039" w:history="1">
        <w:r>
          <w:rPr>
            <w:rStyle w:val="a3"/>
            <w:rFonts w:hint="eastAsia"/>
            <w:noProof/>
            <w:vanish/>
          </w:rPr>
          <w:t>5.1 转换费率</w:t>
        </w:r>
      </w:hyperlink>
      <w:r w:rsidRPr="007D3B8F">
        <w:rPr>
          <w:rFonts w:ascii="Calibri" w:hAnsi="Calibri" w:cs="Times New Roman"/>
          <w:noProof/>
          <w:vanish/>
          <w:szCs w:val="22"/>
        </w:rPr>
        <w:t xml:space="preserve"> </w:t>
      </w:r>
    </w:p>
    <w:p w:rsidR="00156BD1" w:rsidRDefault="00156BD1">
      <w:pPr>
        <w:pStyle w:val="TOC2"/>
        <w:tabs>
          <w:tab w:val="right" w:leader="dot" w:pos="8835"/>
        </w:tabs>
        <w:rPr>
          <w:rFonts w:hint="eastAsia"/>
          <w:vanish/>
        </w:rPr>
      </w:pPr>
      <w:hyperlink w:anchor="_Toc34841040" w:history="1">
        <w:r>
          <w:rPr>
            <w:rStyle w:val="a3"/>
            <w:rFonts w:hint="eastAsia"/>
            <w:noProof/>
            <w:vanish/>
          </w:rPr>
          <w:t>5.2 其他与转换相关的事项</w:t>
        </w:r>
      </w:hyperlink>
      <w:r w:rsidRPr="007D3B8F">
        <w:rPr>
          <w:rFonts w:ascii="Calibri" w:hAnsi="Calibri" w:cs="Times New Roman"/>
          <w:noProof/>
          <w:vanish/>
          <w:szCs w:val="22"/>
        </w:rPr>
        <w:t xml:space="preserve"> </w:t>
      </w:r>
    </w:p>
    <w:p w:rsidR="00156BD1" w:rsidRDefault="00156BD1">
      <w:pPr>
        <w:pStyle w:val="TOC1"/>
        <w:rPr>
          <w:rFonts w:hint="eastAsia"/>
          <w:vanish/>
        </w:rPr>
      </w:pPr>
      <w:hyperlink w:anchor="_Toc34841041" w:history="1">
        <w:r>
          <w:rPr>
            <w:rStyle w:val="a3"/>
            <w:rFonts w:hint="eastAsia"/>
            <w:vanish/>
          </w:rPr>
          <w:t>6 定期定额投资业务</w:t>
        </w:r>
      </w:hyperlink>
      <w:r w:rsidRPr="007D3B8F">
        <w:rPr>
          <w:rFonts w:ascii="Calibri" w:hAnsi="Calibri" w:cs="Times New Roman"/>
          <w:vanish/>
          <w:szCs w:val="22"/>
        </w:rPr>
        <w:t xml:space="preserve"> </w:t>
      </w:r>
    </w:p>
    <w:p w:rsidR="00156BD1" w:rsidRDefault="00156BD1">
      <w:pPr>
        <w:pStyle w:val="TOC1"/>
        <w:rPr>
          <w:rFonts w:hint="eastAsia"/>
          <w:vanish/>
        </w:rPr>
      </w:pPr>
      <w:hyperlink w:anchor="_Toc34841042" w:history="1">
        <w:r>
          <w:rPr>
            <w:rStyle w:val="a3"/>
            <w:rFonts w:hint="eastAsia"/>
            <w:vanish/>
          </w:rPr>
          <w:t>7 基金销售机构</w:t>
        </w:r>
      </w:hyperlink>
      <w:r w:rsidRPr="007D3B8F">
        <w:rPr>
          <w:rFonts w:ascii="Calibri" w:hAnsi="Calibri" w:cs="Times New Roman"/>
          <w:vanish/>
          <w:szCs w:val="22"/>
        </w:rPr>
        <w:t xml:space="preserve"> </w:t>
      </w:r>
    </w:p>
    <w:p w:rsidR="00156BD1" w:rsidRDefault="00156BD1">
      <w:pPr>
        <w:pStyle w:val="TOC2"/>
        <w:tabs>
          <w:tab w:val="right" w:leader="dot" w:pos="8835"/>
        </w:tabs>
        <w:rPr>
          <w:rFonts w:hint="eastAsia"/>
          <w:vanish/>
        </w:rPr>
      </w:pPr>
      <w:hyperlink w:anchor="_Toc51346565811" w:history="1">
        <w:r>
          <w:rPr>
            <w:rStyle w:val="a3"/>
            <w:rFonts w:hint="eastAsia"/>
            <w:noProof/>
            <w:vanish/>
          </w:rPr>
          <w:t>7.1 场外销售机构</w:t>
        </w:r>
      </w:hyperlink>
      <w:r w:rsidRPr="007D3B8F">
        <w:rPr>
          <w:rFonts w:ascii="Calibri" w:hAnsi="Calibri" w:cs="Times New Roman"/>
          <w:noProof/>
          <w:vanish/>
          <w:szCs w:val="22"/>
        </w:rPr>
        <w:t xml:space="preserve"> </w:t>
      </w:r>
    </w:p>
    <w:p w:rsidR="00156BD1" w:rsidRDefault="00156BD1">
      <w:pPr>
        <w:pStyle w:val="TOC3"/>
        <w:tabs>
          <w:tab w:val="right" w:leader="dot" w:pos="8835"/>
        </w:tabs>
        <w:rPr>
          <w:rFonts w:hint="eastAsia"/>
          <w:vanish/>
        </w:rPr>
      </w:pPr>
      <w:hyperlink w:anchor="_Toc51346565911" w:history="1">
        <w:r>
          <w:rPr>
            <w:rStyle w:val="a3"/>
            <w:rFonts w:hint="eastAsia"/>
            <w:noProof/>
            <w:vanish/>
          </w:rPr>
          <w:t>7.1.1 直销机构</w:t>
        </w:r>
      </w:hyperlink>
      <w:r w:rsidRPr="007D3B8F">
        <w:rPr>
          <w:rFonts w:ascii="Calibri" w:hAnsi="Calibri" w:cs="Times New Roman"/>
          <w:noProof/>
          <w:vanish/>
          <w:szCs w:val="22"/>
        </w:rPr>
        <w:t xml:space="preserve"> </w:t>
      </w:r>
    </w:p>
    <w:p w:rsidR="00156BD1" w:rsidRDefault="00156BD1">
      <w:pPr>
        <w:pStyle w:val="TOC3"/>
        <w:tabs>
          <w:tab w:val="right" w:leader="dot" w:pos="8835"/>
        </w:tabs>
        <w:rPr>
          <w:rFonts w:hint="eastAsia"/>
          <w:vanish/>
        </w:rPr>
      </w:pPr>
      <w:hyperlink w:anchor="_Toc51346566011" w:history="1">
        <w:r>
          <w:rPr>
            <w:rStyle w:val="a3"/>
            <w:rFonts w:hint="eastAsia"/>
            <w:noProof/>
            <w:vanish/>
          </w:rPr>
          <w:t>7.1.2 场外非直销机构</w:t>
        </w:r>
      </w:hyperlink>
      <w:r w:rsidRPr="007D3B8F">
        <w:rPr>
          <w:rFonts w:ascii="Calibri" w:hAnsi="Calibri" w:cs="Times New Roman"/>
          <w:noProof/>
          <w:vanish/>
          <w:szCs w:val="22"/>
        </w:rPr>
        <w:t xml:space="preserve"> </w:t>
      </w:r>
    </w:p>
    <w:p w:rsidR="00156BD1" w:rsidRDefault="00156BD1">
      <w:pPr>
        <w:pStyle w:val="TOC2"/>
        <w:tabs>
          <w:tab w:val="right" w:leader="dot" w:pos="8835"/>
        </w:tabs>
        <w:rPr>
          <w:rFonts w:hint="eastAsia"/>
          <w:vanish/>
        </w:rPr>
      </w:pPr>
      <w:hyperlink w:anchor="_Toc34841044" w:history="1">
        <w:r>
          <w:rPr>
            <w:rStyle w:val="a3"/>
            <w:rFonts w:hint="eastAsia"/>
            <w:noProof/>
            <w:vanish/>
          </w:rPr>
          <w:t>7.2 场内销售机构</w:t>
        </w:r>
      </w:hyperlink>
      <w:r w:rsidRPr="007D3B8F">
        <w:rPr>
          <w:rFonts w:ascii="Calibri" w:hAnsi="Calibri" w:cs="Times New Roman"/>
          <w:noProof/>
          <w:vanish/>
          <w:szCs w:val="22"/>
        </w:rPr>
        <w:t xml:space="preserve"> </w:t>
      </w:r>
    </w:p>
    <w:p w:rsidR="00156BD1" w:rsidRDefault="00156BD1">
      <w:pPr>
        <w:pStyle w:val="TOC1"/>
        <w:rPr>
          <w:rFonts w:hint="eastAsia"/>
          <w:vanish/>
        </w:rPr>
      </w:pPr>
      <w:hyperlink w:anchor="_Toc34841045" w:history="1">
        <w:r>
          <w:rPr>
            <w:rStyle w:val="a3"/>
            <w:rFonts w:hint="eastAsia"/>
            <w:vanish/>
          </w:rPr>
          <w:t>8 基金份额净值公告/基金收益公告的披露安排</w:t>
        </w:r>
      </w:hyperlink>
      <w:r w:rsidRPr="007D3B8F">
        <w:rPr>
          <w:rFonts w:ascii="Calibri" w:hAnsi="Calibri" w:cs="Times New Roman"/>
          <w:vanish/>
          <w:szCs w:val="22"/>
        </w:rPr>
        <w:t xml:space="preserve"> </w:t>
      </w:r>
    </w:p>
    <w:p w:rsidR="00156BD1" w:rsidRDefault="00156BD1">
      <w:pPr>
        <w:pStyle w:val="TOC1"/>
        <w:rPr>
          <w:rFonts w:hint="eastAsia"/>
          <w:vanish/>
        </w:rPr>
      </w:pPr>
      <w:hyperlink w:anchor="_Toc34841046" w:history="1">
        <w:r>
          <w:rPr>
            <w:rStyle w:val="a3"/>
            <w:rFonts w:hint="eastAsia"/>
            <w:vanish/>
          </w:rPr>
          <w:t>9 其他需要提示的事项</w:t>
        </w:r>
      </w:hyperlink>
      <w:r w:rsidRPr="007D3B8F">
        <w:rPr>
          <w:rFonts w:ascii="Calibri" w:hAnsi="Calibri" w:cs="Times New Roman"/>
          <w:vanish/>
          <w:szCs w:val="22"/>
        </w:rPr>
        <w:t xml:space="preserve"> </w:t>
      </w:r>
    </w:p>
    <w:p w:rsidR="00156BD1" w:rsidRDefault="00156BD1">
      <w:pPr>
        <w:pStyle w:val="XBRLTitle1"/>
        <w:spacing w:before="156" w:line="360" w:lineRule="auto"/>
        <w:ind w:left="425"/>
        <w:rPr>
          <w:rFonts w:hint="eastAsia"/>
        </w:rPr>
      </w:pPr>
      <w:bookmarkStart w:id="4" w:name="_Toc34758519"/>
      <w:bookmarkStart w:id="5" w:name="_Toc513295892"/>
      <w:bookmarkStart w:id="6" w:name="_Toc513295846"/>
      <w:bookmarkStart w:id="7" w:name="_Toc490050000"/>
      <w:bookmarkStart w:id="8" w:name="_Toc438646451"/>
      <w:bookmarkStart w:id="9" w:name="_Toc481075046"/>
      <w:bookmarkStart w:id="10" w:name="_Toc512519480"/>
      <w:bookmarkStart w:id="11" w:name="_Toc17897936"/>
      <w:bookmarkStart w:id="12" w:name="_Toc17898178"/>
      <w:bookmarkStart w:id="13" w:name="_Toc34841028"/>
      <w:bookmarkStart w:id="14" w:name="m101"/>
      <w:r>
        <w:rPr>
          <w:rFonts w:hAnsi="宋体" w:hint="eastAsia"/>
        </w:rPr>
        <w:t>公告基本信息</w:t>
      </w:r>
      <w:bookmarkEnd w:id="4"/>
      <w:bookmarkEnd w:id="5"/>
      <w:bookmarkEnd w:id="6"/>
      <w:bookmarkEnd w:id="7"/>
      <w:bookmarkEnd w:id="8"/>
      <w:bookmarkEnd w:id="9"/>
      <w:bookmarkEnd w:id="10"/>
      <w:bookmarkEnd w:id="11"/>
      <w:bookmarkEnd w:id="12"/>
      <w:bookmarkEnd w:id="13"/>
      <w:r>
        <w:rPr>
          <w:rFonts w:hAnsi="宋体" w:hint="eastAsia"/>
          <w:szCs w:val="4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rsidP="007D3B8F">
            <w:pPr>
              <w:rPr>
                <w:rFonts w:hint="eastAsia"/>
              </w:rPr>
            </w:pPr>
            <w:r w:rsidRPr="007D3B8F">
              <w:rPr>
                <w:rFonts w:hint="eastAsia"/>
              </w:rPr>
              <w:t xml:space="preserve">基金名称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华泰柏瑞量化对冲稳健收益定期开放混合型发起式证券投资基金</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基金简称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华泰柏瑞量化对冲混合</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基金主代码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002804</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基金运作方式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契约型开放式</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基金合同生效日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2016年5月26日</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基金管理人名称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华泰柏瑞基金管理有限公司</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基金托管人名称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中国银行股份有限公司</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基金注册登记机构名称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华泰柏瑞基金管理有限公司</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公告依据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中华人民共和国证券投资基金法》、《公开募集证券投资基金运作管理办法》等法律法规、《华泰柏瑞量化对冲稳健收益定期开放混合型发起式证券投资基金基金合同》、《华泰柏瑞量化对冲稳健收益定期开放混合型发起式证券投资基金招募说明书》</w:t>
            </w:r>
          </w:p>
        </w:tc>
      </w:tr>
      <w:tr w:rsidR="00156BD1" w:rsidRPr="007D3B8F" w:rsidTr="007D3B8F">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156BD1">
            <w:pPr>
              <w:rPr>
                <w:rFonts w:hint="eastAsia"/>
              </w:rPr>
            </w:pPr>
            <w:r w:rsidRPr="007D3B8F">
              <w:rPr>
                <w:rFonts w:hint="eastAsia"/>
              </w:rPr>
              <w:t xml:space="preserve">申购起始日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6BD1" w:rsidRDefault="008B34D3">
            <w:pPr>
              <w:rPr>
                <w:rFonts w:hint="eastAsia"/>
              </w:rPr>
            </w:pPr>
            <w:r w:rsidRPr="008B34D3">
              <w:rPr>
                <w:rFonts w:hint="eastAsia"/>
              </w:rPr>
              <w:t>202</w:t>
            </w:r>
            <w:r w:rsidR="00AC3B90">
              <w:t>5</w:t>
            </w:r>
            <w:r w:rsidRPr="008B34D3">
              <w:rPr>
                <w:rFonts w:hint="eastAsia"/>
              </w:rPr>
              <w:t>年</w:t>
            </w:r>
            <w:r w:rsidR="004A2BB3">
              <w:t>11</w:t>
            </w:r>
            <w:r w:rsidR="00454725" w:rsidRPr="00454725">
              <w:rPr>
                <w:rFonts w:hint="eastAsia"/>
              </w:rPr>
              <w:t>月</w:t>
            </w:r>
            <w:r w:rsidR="004A2BB3">
              <w:t>14</w:t>
            </w:r>
            <w:r w:rsidR="00454725" w:rsidRPr="00454725">
              <w:rPr>
                <w:rFonts w:hint="eastAsia"/>
              </w:rPr>
              <w:t>日</w:t>
            </w:r>
          </w:p>
        </w:tc>
      </w:tr>
      <w:tr w:rsidR="004A2BB3" w:rsidRPr="007D3B8F" w:rsidTr="00BA6412">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BB3" w:rsidRDefault="004A2BB3" w:rsidP="004A2BB3">
            <w:pPr>
              <w:rPr>
                <w:rFonts w:hint="eastAsia"/>
              </w:rPr>
            </w:pPr>
            <w:r w:rsidRPr="007D3B8F">
              <w:rPr>
                <w:rFonts w:hint="eastAsia"/>
              </w:rPr>
              <w:t xml:space="preserve">赎回起始日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hideMark/>
          </w:tcPr>
          <w:p w:rsidR="004A2BB3" w:rsidRDefault="004A2BB3" w:rsidP="004A2BB3">
            <w:pPr>
              <w:rPr>
                <w:rFonts w:hint="eastAsia"/>
              </w:rPr>
            </w:pPr>
            <w:r w:rsidRPr="00DC7DC6">
              <w:t>2025年11月14日</w:t>
            </w:r>
          </w:p>
        </w:tc>
      </w:tr>
      <w:tr w:rsidR="004A2BB3" w:rsidRPr="007D3B8F" w:rsidTr="00BA6412">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BB3" w:rsidRDefault="004A2BB3" w:rsidP="004A2BB3">
            <w:pPr>
              <w:rPr>
                <w:rFonts w:hint="eastAsia"/>
              </w:rPr>
            </w:pPr>
            <w:r w:rsidRPr="007D3B8F">
              <w:rPr>
                <w:rFonts w:hint="eastAsia"/>
              </w:rPr>
              <w:t xml:space="preserve">转换转入起始日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hideMark/>
          </w:tcPr>
          <w:p w:rsidR="004A2BB3" w:rsidRDefault="004A2BB3" w:rsidP="004A2BB3">
            <w:pPr>
              <w:rPr>
                <w:rFonts w:hint="eastAsia"/>
              </w:rPr>
            </w:pPr>
            <w:r w:rsidRPr="00DC7DC6">
              <w:t>2025年11月14日</w:t>
            </w:r>
          </w:p>
        </w:tc>
      </w:tr>
      <w:tr w:rsidR="004A2BB3" w:rsidRPr="007D3B8F" w:rsidTr="00BA6412">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A2BB3" w:rsidRDefault="004A2BB3" w:rsidP="004A2BB3">
            <w:pPr>
              <w:rPr>
                <w:rFonts w:hint="eastAsia"/>
              </w:rPr>
            </w:pPr>
            <w:r w:rsidRPr="007D3B8F">
              <w:rPr>
                <w:rFonts w:hint="eastAsia"/>
              </w:rPr>
              <w:t xml:space="preserve">转换转出起始日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hideMark/>
          </w:tcPr>
          <w:p w:rsidR="004A2BB3" w:rsidRDefault="004A2BB3" w:rsidP="004A2BB3">
            <w:pPr>
              <w:rPr>
                <w:rFonts w:hint="eastAsia"/>
              </w:rPr>
            </w:pPr>
            <w:r w:rsidRPr="00DC7DC6">
              <w:t>2025年11月14日</w:t>
            </w:r>
          </w:p>
        </w:tc>
      </w:tr>
    </w:tbl>
    <w:p w:rsidR="00156BD1" w:rsidRDefault="00156BD1">
      <w:pPr>
        <w:spacing w:line="360" w:lineRule="auto"/>
        <w:jc w:val="left"/>
        <w:rPr>
          <w:rFonts w:hint="eastAsia"/>
        </w:rPr>
      </w:pPr>
      <w:r>
        <w:rPr>
          <w:rFonts w:hint="eastAsia"/>
          <w:szCs w:val="21"/>
        </w:rPr>
        <w:t>注：投资者范围：符合法律法规规定的可投资于证券投资基金的个人投资者、机构投资者和合格境外机构投资者以及法律法规或中国证监会允许购买证券投资基金的其他投资人。</w:t>
      </w:r>
    </w:p>
    <w:p w:rsidR="00156BD1" w:rsidRDefault="00156BD1">
      <w:pPr>
        <w:pStyle w:val="XBRLTitle1"/>
        <w:spacing w:before="156" w:line="360" w:lineRule="auto"/>
        <w:ind w:left="425"/>
        <w:rPr>
          <w:rFonts w:hint="eastAsia"/>
        </w:rPr>
      </w:pPr>
      <w:bookmarkStart w:id="15" w:name="_Toc34758520"/>
      <w:bookmarkStart w:id="16" w:name="_Toc34841029"/>
      <w:bookmarkStart w:id="17" w:name="_Toc513295893"/>
      <w:bookmarkStart w:id="18" w:name="_Toc513295847"/>
      <w:bookmarkStart w:id="19" w:name="_Toc490050001"/>
      <w:bookmarkStart w:id="20" w:name="_Toc438646452"/>
      <w:bookmarkStart w:id="21" w:name="_Toc481075047"/>
      <w:bookmarkStart w:id="22" w:name="_Toc512519481"/>
      <w:bookmarkStart w:id="23" w:name="_Toc17897937"/>
      <w:bookmarkStart w:id="24" w:name="_Toc17898179"/>
      <w:r>
        <w:rPr>
          <w:rFonts w:hAnsi="宋体" w:hint="eastAsia"/>
        </w:rPr>
        <w:t>日常申购、赎回</w:t>
      </w:r>
      <w:r w:rsidR="00155DC7">
        <w:rPr>
          <w:rFonts w:hAnsi="宋体" w:hint="eastAsia"/>
          <w:lang w:eastAsia="zh-CN"/>
        </w:rPr>
        <w:t>、</w:t>
      </w:r>
      <w:r>
        <w:rPr>
          <w:rFonts w:hAnsi="宋体" w:hint="eastAsia"/>
        </w:rPr>
        <w:t>转换业务的办理时间</w:t>
      </w:r>
      <w:bookmarkEnd w:id="15"/>
      <w:bookmarkEnd w:id="16"/>
      <w:r>
        <w:rPr>
          <w:rFonts w:hAnsi="宋体" w:hint="eastAsia"/>
        </w:rPr>
        <w:t xml:space="preserve"> </w:t>
      </w:r>
    </w:p>
    <w:p w:rsidR="00156BD1" w:rsidRDefault="00156BD1">
      <w:pPr>
        <w:spacing w:line="360" w:lineRule="auto"/>
        <w:ind w:firstLineChars="200" w:firstLine="420"/>
        <w:rPr>
          <w:rFonts w:hint="eastAsia"/>
        </w:rPr>
      </w:pPr>
      <w:bookmarkStart w:id="25" w:name="m07_04_07_09"/>
      <w:bookmarkStart w:id="26" w:name="m07_04_07_09_tab"/>
      <w:bookmarkStart w:id="27" w:name="m201"/>
      <w:bookmarkStart w:id="28" w:name="m07_04_13_00"/>
      <w:bookmarkStart w:id="29" w:name="m201_01"/>
      <w:r>
        <w:rPr>
          <w:rFonts w:hint="eastAsia"/>
          <w:lang/>
        </w:rPr>
        <w:t>1、开放日及开放时间</w:t>
      </w:r>
      <w:r>
        <w:rPr>
          <w:rFonts w:hint="eastAsia"/>
          <w:lang/>
        </w:rPr>
        <w:br/>
        <w:t xml:space="preserve">　　投资人在开放日办理基金份额的申购、赎回与转换，开放日为开放期内的每个工作日。</w:t>
      </w:r>
      <w:r w:rsidR="004A2BB3" w:rsidRPr="004A2BB3">
        <w:rPr>
          <w:lang/>
        </w:rPr>
        <w:t>2025年11月14日</w:t>
      </w:r>
      <w:r>
        <w:rPr>
          <w:rFonts w:hint="eastAsia"/>
          <w:lang/>
        </w:rPr>
        <w:t xml:space="preserve">（含该日)至 </w:t>
      </w:r>
      <w:r w:rsidR="004A2BB3" w:rsidRPr="004A2BB3">
        <w:rPr>
          <w:lang/>
        </w:rPr>
        <w:t>2025年11月</w:t>
      </w:r>
      <w:r w:rsidR="004A2BB3">
        <w:rPr>
          <w:lang/>
        </w:rPr>
        <w:t>20</w:t>
      </w:r>
      <w:r w:rsidR="004A2BB3" w:rsidRPr="004A2BB3">
        <w:rPr>
          <w:lang/>
        </w:rPr>
        <w:t>日</w:t>
      </w:r>
      <w:r>
        <w:rPr>
          <w:rFonts w:hint="eastAsia"/>
          <w:lang/>
        </w:rPr>
        <w:t>（含该日)为本基金第十</w:t>
      </w:r>
      <w:r w:rsidR="004A2BB3">
        <w:rPr>
          <w:rFonts w:hint="eastAsia"/>
          <w:lang/>
        </w:rPr>
        <w:t>九</w:t>
      </w:r>
      <w:r>
        <w:rPr>
          <w:rFonts w:hint="eastAsia"/>
          <w:lang/>
        </w:rPr>
        <w:t>个开放期，具体办理时间为上海证券交易所、深圳证券交易所的正常交易日的交易时间，但基金管理人根据法律法规、中国证监会的要求或基金合同的规定公告暂停申购、赎回与转换时除外。</w:t>
      </w:r>
      <w:r>
        <w:rPr>
          <w:rFonts w:hint="eastAsia"/>
          <w:lang/>
        </w:rPr>
        <w:br/>
        <w:t xml:space="preserve">　　2、基金合同生效后，若出现新的证券交易市场、证券交易所交易时间变更或其他特殊情况，基金管理人将视情况对前述开放日及开放时间进行相应的调整，但应在实施日前依照《公开募集证券投资基金信息披露管理办法》（以下简称《信息披露办法》）的有关规定在指定媒介上公告。</w:t>
      </w:r>
    </w:p>
    <w:p w:rsidR="00156BD1" w:rsidRDefault="00156BD1">
      <w:pPr>
        <w:pStyle w:val="XBRLTitle1"/>
        <w:spacing w:before="156" w:line="360" w:lineRule="auto"/>
        <w:ind w:left="425"/>
        <w:rPr>
          <w:rFonts w:hint="eastAsia"/>
        </w:rPr>
      </w:pPr>
      <w:bookmarkStart w:id="30" w:name="_Toc34758521"/>
      <w:bookmarkStart w:id="31" w:name="_Toc34841030"/>
      <w:bookmarkStart w:id="32" w:name="_Toc513295894"/>
      <w:bookmarkStart w:id="33" w:name="_Toc513295848"/>
      <w:bookmarkStart w:id="34" w:name="_Toc490050003"/>
      <w:bookmarkStart w:id="35" w:name="_Toc438646455"/>
      <w:bookmarkStart w:id="36" w:name="_Toc481075049"/>
      <w:bookmarkStart w:id="37" w:name="_Toc512519482"/>
      <w:bookmarkStart w:id="38" w:name="_Toc17897938"/>
      <w:bookmarkStart w:id="39" w:name="_Toc17898180"/>
      <w:bookmarkStart w:id="40" w:name="m401"/>
      <w:bookmarkStart w:id="41" w:name="m401_tab"/>
      <w:r>
        <w:rPr>
          <w:rFonts w:hAnsi="宋体" w:hint="eastAsia"/>
        </w:rPr>
        <w:t>日常申购业务</w:t>
      </w:r>
      <w:bookmarkEnd w:id="30"/>
      <w:bookmarkEnd w:id="31"/>
      <w:r>
        <w:rPr>
          <w:rFonts w:hAnsi="宋体" w:hint="eastAsia"/>
        </w:rPr>
        <w:t xml:space="preserve"> </w:t>
      </w:r>
    </w:p>
    <w:p w:rsidR="00156BD1" w:rsidRDefault="00156BD1">
      <w:pPr>
        <w:pStyle w:val="XBRLTitle2"/>
        <w:spacing w:before="156" w:line="360" w:lineRule="auto"/>
        <w:ind w:left="454"/>
        <w:rPr>
          <w:rFonts w:hint="eastAsia"/>
        </w:rPr>
      </w:pPr>
      <w:bookmarkStart w:id="42" w:name="_Toc34758522"/>
      <w:bookmarkStart w:id="43" w:name="_Toc513295895"/>
      <w:bookmarkStart w:id="44" w:name="_Toc513295849"/>
      <w:bookmarkStart w:id="45" w:name="_Toc490050004"/>
      <w:bookmarkStart w:id="46" w:name="_Toc438646456"/>
      <w:bookmarkStart w:id="47" w:name="_Toc481075050"/>
      <w:bookmarkStart w:id="48" w:name="_Toc512519483"/>
      <w:bookmarkStart w:id="49" w:name="_Toc17897939"/>
      <w:bookmarkStart w:id="50" w:name="_Toc17898181"/>
      <w:bookmarkStart w:id="51" w:name="_Toc34841031"/>
      <w:r>
        <w:rPr>
          <w:rFonts w:hAnsi="宋体" w:hint="eastAsia"/>
        </w:rPr>
        <w:t>申购金额限制</w:t>
      </w:r>
      <w:bookmarkEnd w:id="42"/>
      <w:bookmarkEnd w:id="43"/>
      <w:bookmarkEnd w:id="44"/>
      <w:bookmarkEnd w:id="45"/>
      <w:bookmarkEnd w:id="46"/>
      <w:bookmarkEnd w:id="47"/>
      <w:bookmarkEnd w:id="48"/>
      <w:bookmarkEnd w:id="49"/>
      <w:bookmarkEnd w:id="50"/>
      <w:bookmarkEnd w:id="51"/>
      <w:r>
        <w:rPr>
          <w:rFonts w:hAnsi="宋体" w:hint="eastAsia"/>
        </w:rPr>
        <w:t xml:space="preserve"> </w:t>
      </w:r>
    </w:p>
    <w:p w:rsidR="00156BD1" w:rsidRDefault="00156BD1">
      <w:pPr>
        <w:spacing w:line="360" w:lineRule="auto"/>
        <w:ind w:firstLineChars="200" w:firstLine="420"/>
        <w:rPr>
          <w:rFonts w:hint="eastAsia"/>
        </w:rPr>
      </w:pPr>
      <w:r>
        <w:rPr>
          <w:rFonts w:hint="eastAsia"/>
          <w:lang/>
        </w:rPr>
        <w:t>1、基金管理人的网上交易系统每个账户首次申购的最低金额为 10 元人民币，单笔申购的最低金额为 10 元人民币；直销柜台每个账户首次申购的最低金额为 50,000 元人民币，已在直销柜台有认/申购本公司旗下基金记录的投资者不受首次申购最低金额的限制，单笔申购的最低金额为 10 元人民币；</w:t>
      </w:r>
      <w:r>
        <w:rPr>
          <w:rFonts w:hint="eastAsia"/>
          <w:lang/>
        </w:rPr>
        <w:br/>
        <w:t xml:space="preserve">　　2、除上述情况及另有公告外，基金管理人规定每个基金账户单笔最低申购金额为人民币 1 元、单笔最低追加申购金额为人民币 1 元，各销售机构可根据情况设定最低申购金额，但不得低于本基金管理人设定的最低限制，具体以销售机构公布的为准，投资者需遵循销售机构的相关规定；</w:t>
      </w:r>
      <w:r>
        <w:rPr>
          <w:rFonts w:hint="eastAsia"/>
          <w:lang/>
        </w:rPr>
        <w:br/>
        <w:t xml:space="preserve">　　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r>
        <w:rPr>
          <w:rFonts w:hint="eastAsia"/>
          <w:lang/>
        </w:rPr>
        <w:br/>
        <w:t xml:space="preserve">　　4、基金管理人可在法律法规允许的情况下，根据市场情况，合理调整对申购金额的数量限制，基金管理人进行前述调整必须在调整前依照《信息披露办法》的有关规定在指定媒介上公告。</w:t>
      </w:r>
    </w:p>
    <w:p w:rsidR="00156BD1" w:rsidRDefault="00156BD1">
      <w:pPr>
        <w:pStyle w:val="XBRLTitle2"/>
        <w:spacing w:before="156" w:line="360" w:lineRule="auto"/>
        <w:ind w:left="454"/>
        <w:rPr>
          <w:rFonts w:hint="eastAsia"/>
        </w:rPr>
      </w:pPr>
      <w:bookmarkStart w:id="52" w:name="_Toc513465658"/>
      <w:bookmarkStart w:id="53" w:name="_Toc512519484"/>
      <w:bookmarkStart w:id="54" w:name="_Toc481075051"/>
      <w:bookmarkStart w:id="55" w:name="_Toc438646457"/>
      <w:bookmarkStart w:id="56" w:name="_Toc490050005"/>
      <w:r>
        <w:rPr>
          <w:rFonts w:hAnsi="宋体" w:hint="eastAsia"/>
        </w:rPr>
        <w:t>申购费率</w:t>
      </w:r>
      <w:bookmarkEnd w:id="52"/>
      <w:r>
        <w:rPr>
          <w:rFonts w:hAnsi="宋体" w:hint="eastAsia"/>
        </w:rPr>
        <w:t xml:space="preserve"> </w:t>
      </w:r>
    </w:p>
    <w:p w:rsidR="00156BD1" w:rsidRDefault="00156BD1">
      <w:pPr>
        <w:pStyle w:val="XBRLTitle3"/>
        <w:spacing w:before="156"/>
        <w:ind w:left="0"/>
        <w:divId w:val="1612937094"/>
        <w:rPr>
          <w:rFonts w:hint="eastAsia"/>
        </w:rPr>
      </w:pPr>
      <w:bookmarkStart w:id="57" w:name="_Toc513465659"/>
      <w:bookmarkStart w:id="58" w:name="_Toc512519485"/>
      <w:bookmarkStart w:id="59" w:name="_Toc481075052"/>
      <w:bookmarkStart w:id="60" w:name="_Toc490050006"/>
      <w:r>
        <w:rPr>
          <w:rFonts w:hint="eastAsia"/>
        </w:rPr>
        <w:t>前端收费</w:t>
      </w:r>
      <w:bookmarkEnd w:id="57"/>
      <w:r>
        <w:rPr>
          <w:rFonts w:hint="eastAsia"/>
          <w:lang w:eastAsia="zh-CN"/>
        </w:rPr>
        <w:t xml:space="preserve">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3369"/>
        <w:gridCol w:w="2551"/>
      </w:tblGrid>
      <w:tr w:rsidR="00170851" w:rsidTr="007D3B8F">
        <w:trPr>
          <w:divId w:val="1612937094"/>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 xml:space="preserve">申购费率 </w:t>
            </w:r>
          </w:p>
        </w:tc>
      </w:tr>
      <w:tr w:rsidR="00170851" w:rsidTr="00170851">
        <w:trPr>
          <w:divId w:val="1612937094"/>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M&lt;1,000,000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1.5%</w:t>
            </w:r>
          </w:p>
        </w:tc>
      </w:tr>
      <w:tr w:rsidR="00170851" w:rsidTr="00170851">
        <w:trPr>
          <w:divId w:val="1612937094"/>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1,000,000≤M＜2,000,000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1%</w:t>
            </w:r>
          </w:p>
        </w:tc>
      </w:tr>
      <w:tr w:rsidR="00170851" w:rsidTr="00170851">
        <w:trPr>
          <w:divId w:val="1612937094"/>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2,000,000≤M＜5,000,000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0.8%</w:t>
            </w:r>
          </w:p>
        </w:tc>
      </w:tr>
      <w:tr w:rsidR="00170851" w:rsidTr="00170851">
        <w:trPr>
          <w:divId w:val="1612937094"/>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M≥5,000,000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70851" w:rsidRDefault="00170851">
            <w:pPr>
              <w:jc w:val="center"/>
              <w:rPr>
                <w:rFonts w:hint="eastAsia"/>
              </w:rPr>
            </w:pPr>
            <w:r w:rsidRPr="007D3B8F">
              <w:rPr>
                <w:rFonts w:hint="eastAsia"/>
              </w:rPr>
              <w:t>1,000元/笔</w:t>
            </w:r>
          </w:p>
        </w:tc>
      </w:tr>
    </w:tbl>
    <w:p w:rsidR="00156BD1" w:rsidRDefault="00156BD1" w:rsidP="00170851">
      <w:pPr>
        <w:spacing w:line="360" w:lineRule="auto"/>
        <w:jc w:val="left"/>
        <w:divId w:val="1612937094"/>
        <w:rPr>
          <w:rFonts w:hint="eastAsia"/>
        </w:rPr>
      </w:pPr>
      <w:r>
        <w:rPr>
          <w:rFonts w:hint="eastAsia"/>
          <w:szCs w:val="21"/>
        </w:rPr>
        <w:t>注：在申购费按金额分档的情况下，如果投资者多次申购，申购费适用单笔申购金额所对应的费率。本基金的申购费用由申购人承担，主要用于本基金的市场推广、销售、注册登记等各项费用，不列入基金财产。</w:t>
      </w:r>
      <w:bookmarkStart w:id="61" w:name="_Toc512519486"/>
      <w:bookmarkStart w:id="62" w:name="_Toc481075053"/>
      <w:bookmarkStart w:id="63" w:name="_Toc490050007"/>
      <w:bookmarkStart w:id="64" w:name="m03_03"/>
      <w:bookmarkStart w:id="65" w:name="_Toc454983260"/>
      <w:bookmarkStart w:id="66" w:name="_Toc452398732"/>
      <w:bookmarkStart w:id="67" w:name="_Toc453852604"/>
      <w:bookmarkStart w:id="68" w:name="_Toc485300223"/>
      <w:bookmarkStart w:id="69" w:name="_Toc244948694"/>
      <w:bookmarkStart w:id="70" w:name="_Toc245003735"/>
      <w:bookmarkStart w:id="71" w:name="_Toc247616208"/>
      <w:bookmarkStart w:id="72" w:name="_Toc433036679"/>
      <w:bookmarkStart w:id="73" w:name="_Toc506208214"/>
      <w:bookmarkStart w:id="74" w:name="_Toc497398101"/>
      <w:bookmarkStart w:id="75" w:name="_Toc17897941"/>
      <w:bookmarkStart w:id="76" w:name="_Toc17898185"/>
    </w:p>
    <w:p w:rsidR="00156BD1" w:rsidRDefault="00156BD1">
      <w:pPr>
        <w:pStyle w:val="XBRLTitle1"/>
        <w:spacing w:before="156" w:line="360" w:lineRule="auto"/>
        <w:ind w:left="425"/>
        <w:rPr>
          <w:rFonts w:hint="eastAsia"/>
        </w:rPr>
      </w:pPr>
      <w:bookmarkStart w:id="77" w:name="_Toc34758525"/>
      <w:bookmarkStart w:id="78" w:name="_Toc513295899"/>
      <w:bookmarkStart w:id="79" w:name="_Toc513295851"/>
      <w:bookmarkStart w:id="80" w:name="_Toc512519487"/>
      <w:bookmarkStart w:id="81" w:name="_Toc490050008"/>
      <w:bookmarkStart w:id="82" w:name="_Toc438646458"/>
      <w:bookmarkStart w:id="83" w:name="_Toc481075054"/>
      <w:bookmarkStart w:id="84" w:name="_Toc17897942"/>
      <w:bookmarkStart w:id="85" w:name="_Toc17898186"/>
      <w:bookmarkStart w:id="86" w:name="_Toc34841034"/>
      <w:r>
        <w:rPr>
          <w:rFonts w:hAnsi="宋体" w:hint="eastAsia"/>
        </w:rPr>
        <w:t>日常赎回业务</w:t>
      </w:r>
      <w:bookmarkEnd w:id="77"/>
      <w:bookmarkEnd w:id="78"/>
      <w:bookmarkEnd w:id="79"/>
      <w:bookmarkEnd w:id="80"/>
      <w:bookmarkEnd w:id="81"/>
      <w:bookmarkEnd w:id="82"/>
      <w:bookmarkEnd w:id="83"/>
      <w:bookmarkEnd w:id="84"/>
      <w:bookmarkEnd w:id="85"/>
      <w:bookmarkEnd w:id="86"/>
      <w:r>
        <w:rPr>
          <w:rFonts w:hAnsi="宋体" w:hint="eastAsia"/>
          <w:szCs w:val="44"/>
        </w:rPr>
        <w:t xml:space="preserve"> </w:t>
      </w:r>
    </w:p>
    <w:p w:rsidR="00156BD1" w:rsidRDefault="00156BD1">
      <w:pPr>
        <w:pStyle w:val="XBRLTitle2"/>
        <w:spacing w:before="156" w:line="360" w:lineRule="auto"/>
        <w:ind w:left="454"/>
        <w:rPr>
          <w:rFonts w:hint="eastAsia"/>
        </w:rPr>
      </w:pPr>
      <w:bookmarkStart w:id="87" w:name="_Toc34758526"/>
      <w:bookmarkStart w:id="88" w:name="_Toc513295900"/>
      <w:bookmarkStart w:id="89" w:name="_Toc513295852"/>
      <w:bookmarkStart w:id="90" w:name="_Toc512519488"/>
      <w:bookmarkStart w:id="91" w:name="_Toc490050009"/>
      <w:bookmarkStart w:id="92" w:name="_Toc438646459"/>
      <w:bookmarkStart w:id="93" w:name="_Toc481075055"/>
      <w:bookmarkStart w:id="94" w:name="_Toc17897943"/>
      <w:bookmarkStart w:id="95" w:name="_Toc17898187"/>
      <w:bookmarkStart w:id="96" w:name="_Toc34841035"/>
      <w:r>
        <w:rPr>
          <w:rFonts w:hAnsi="宋体" w:hint="eastAsia"/>
        </w:rPr>
        <w:t>赎回份额限制</w:t>
      </w:r>
      <w:bookmarkEnd w:id="87"/>
      <w:bookmarkEnd w:id="88"/>
      <w:bookmarkEnd w:id="89"/>
      <w:bookmarkEnd w:id="90"/>
      <w:bookmarkEnd w:id="91"/>
      <w:bookmarkEnd w:id="92"/>
      <w:bookmarkEnd w:id="93"/>
      <w:bookmarkEnd w:id="94"/>
      <w:bookmarkEnd w:id="95"/>
      <w:bookmarkEnd w:id="96"/>
      <w:r>
        <w:rPr>
          <w:rFonts w:hAnsi="宋体" w:hint="eastAsia"/>
        </w:rPr>
        <w:t xml:space="preserve"> </w:t>
      </w:r>
    </w:p>
    <w:p w:rsidR="00156BD1" w:rsidRDefault="00156BD1">
      <w:pPr>
        <w:spacing w:line="360" w:lineRule="auto"/>
        <w:ind w:firstLineChars="200" w:firstLine="420"/>
        <w:rPr>
          <w:rFonts w:hint="eastAsia"/>
        </w:rPr>
      </w:pPr>
      <w:r>
        <w:rPr>
          <w:rFonts w:hint="eastAsia"/>
          <w:lang/>
        </w:rPr>
        <w:t>1、基金份额持有人可将其全部或部分基金份额赎回，但某笔赎回导致单个基金账户的基金份额余额少于 1 份时，余额部分基金份额必须一同赎回；基金管理人的网上交易系统和直销柜台赎回申请的最低份额为 10 份，但基金份额持有人单个基金账户内的基金份额余额少于 10 份并申请全部赎回时，可不受前述最低 10 份的申请限制；赎回申请的具体处理结果以注册登记中心确认结果为准；</w:t>
      </w:r>
      <w:r>
        <w:rPr>
          <w:rFonts w:hint="eastAsia"/>
          <w:lang/>
        </w:rPr>
        <w:br/>
        <w:t xml:space="preserve">　　2、除上述情况及另有公告外，基金管理人规定每个基金账户单笔最低赎回份额为 1 份、单个基金账户最低持有份额为 1 份，各销售机构可根据情况设定最低赎回份额以及最低持有份额，但不得低于本基金管理人设定的最低限制，具体以销售机构公布的为准，投资者需遵循销售机构的相关规定；</w:t>
      </w:r>
      <w:r>
        <w:rPr>
          <w:rFonts w:hint="eastAsia"/>
          <w:lang/>
        </w:rPr>
        <w:br/>
        <w:t xml:space="preserve">　　3、基金管理人可在法律法规允许的情况下，根据市场情况，合理调整对赎回份额的数量限制，基金管理人进行前述调整必须在调整前依照《信息披露办法》的有关规定在指定媒介上公告。</w:t>
      </w:r>
    </w:p>
    <w:p w:rsidR="00156BD1" w:rsidRDefault="00156BD1">
      <w:pPr>
        <w:pStyle w:val="XBRLTitle2"/>
        <w:spacing w:before="156" w:line="360" w:lineRule="auto"/>
        <w:ind w:left="454"/>
        <w:rPr>
          <w:rFonts w:hint="eastAsia"/>
        </w:rPr>
      </w:pPr>
      <w:bookmarkStart w:id="97" w:name="_Toc34758527"/>
      <w:bookmarkStart w:id="98" w:name="_Toc513295901"/>
      <w:bookmarkStart w:id="99" w:name="_Toc513295853"/>
      <w:bookmarkStart w:id="100" w:name="_Toc512519489"/>
      <w:bookmarkStart w:id="101" w:name="_Toc490050010"/>
      <w:bookmarkStart w:id="102" w:name="_Toc438646460"/>
      <w:bookmarkStart w:id="103" w:name="_Toc481075056"/>
      <w:bookmarkStart w:id="104" w:name="_Toc17897944"/>
      <w:bookmarkStart w:id="105" w:name="_Toc17898188"/>
      <w:bookmarkStart w:id="106" w:name="_Toc34841036"/>
      <w:bookmarkStart w:id="107" w:name="m402"/>
      <w:r>
        <w:rPr>
          <w:rFonts w:hAnsi="宋体" w:hint="eastAsia"/>
        </w:rPr>
        <w:t>赎回费率</w:t>
      </w:r>
      <w:bookmarkEnd w:id="97"/>
      <w:bookmarkEnd w:id="98"/>
      <w:bookmarkEnd w:id="99"/>
      <w:bookmarkEnd w:id="100"/>
      <w:bookmarkEnd w:id="101"/>
      <w:bookmarkEnd w:id="102"/>
      <w:bookmarkEnd w:id="103"/>
      <w:bookmarkEnd w:id="104"/>
      <w:bookmarkEnd w:id="105"/>
      <w:bookmarkEnd w:id="106"/>
      <w:r>
        <w:rPr>
          <w:rFonts w:hAnsi="宋体" w:hint="eastAsia"/>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4335"/>
        <w:gridCol w:w="4726"/>
      </w:tblGrid>
      <w:tr w:rsidR="00156BD1" w:rsidTr="007D3B8F">
        <w:tc>
          <w:tcPr>
            <w:tcW w:w="4077" w:type="dxa"/>
            <w:tcBorders>
              <w:top w:val="single" w:sz="4" w:space="0" w:color="000000"/>
              <w:left w:val="single" w:sz="4" w:space="0" w:color="000000"/>
              <w:bottom w:val="single" w:sz="4" w:space="0" w:color="000000"/>
              <w:right w:val="single" w:sz="4" w:space="0" w:color="000000"/>
            </w:tcBorders>
            <w:hideMark/>
          </w:tcPr>
          <w:bookmarkEnd w:id="107"/>
          <w:p w:rsidR="00156BD1" w:rsidRDefault="00156BD1">
            <w:pPr>
              <w:jc w:val="center"/>
              <w:rPr>
                <w:rFonts w:hint="eastAsia"/>
              </w:rPr>
            </w:pPr>
            <w:r w:rsidRPr="007D3B8F">
              <w:rPr>
                <w:rFonts w:hint="eastAsia"/>
              </w:rPr>
              <w:t xml:space="preserve">持有期限(N) </w:t>
            </w:r>
          </w:p>
        </w:tc>
        <w:tc>
          <w:tcPr>
            <w:tcW w:w="4445"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 xml:space="preserve">赎回费率 </w:t>
            </w:r>
          </w:p>
        </w:tc>
      </w:tr>
      <w:tr w:rsidR="00156BD1" w:rsidTr="007D3B8F">
        <w:tc>
          <w:tcPr>
            <w:tcW w:w="1101"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N＜7天</w:t>
            </w:r>
          </w:p>
        </w:tc>
        <w:tc>
          <w:tcPr>
            <w:tcW w:w="2268"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1.5%</w:t>
            </w:r>
          </w:p>
        </w:tc>
      </w:tr>
      <w:tr w:rsidR="00156BD1" w:rsidTr="007D3B8F">
        <w:tc>
          <w:tcPr>
            <w:tcW w:w="1101"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7天≤N＜180天</w:t>
            </w:r>
          </w:p>
        </w:tc>
        <w:tc>
          <w:tcPr>
            <w:tcW w:w="2268"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0.75%</w:t>
            </w:r>
          </w:p>
        </w:tc>
      </w:tr>
      <w:tr w:rsidR="00156BD1" w:rsidTr="007D3B8F">
        <w:tc>
          <w:tcPr>
            <w:tcW w:w="1101"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180天≤N＜330天</w:t>
            </w:r>
          </w:p>
        </w:tc>
        <w:tc>
          <w:tcPr>
            <w:tcW w:w="2268"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0.5%</w:t>
            </w:r>
          </w:p>
        </w:tc>
      </w:tr>
      <w:tr w:rsidR="00156BD1" w:rsidTr="007D3B8F">
        <w:tc>
          <w:tcPr>
            <w:tcW w:w="1101"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N≥330天</w:t>
            </w:r>
          </w:p>
        </w:tc>
        <w:tc>
          <w:tcPr>
            <w:tcW w:w="2268" w:type="dxa"/>
            <w:tcBorders>
              <w:top w:val="single" w:sz="4" w:space="0" w:color="000000"/>
              <w:left w:val="single" w:sz="4" w:space="0" w:color="000000"/>
              <w:bottom w:val="single" w:sz="4" w:space="0" w:color="000000"/>
              <w:right w:val="single" w:sz="4" w:space="0" w:color="000000"/>
            </w:tcBorders>
            <w:hideMark/>
          </w:tcPr>
          <w:p w:rsidR="00156BD1" w:rsidRDefault="00156BD1">
            <w:pPr>
              <w:jc w:val="center"/>
              <w:rPr>
                <w:rFonts w:hint="eastAsia"/>
              </w:rPr>
            </w:pPr>
            <w:r w:rsidRPr="007D3B8F">
              <w:rPr>
                <w:rFonts w:hint="eastAsia"/>
              </w:rPr>
              <w:t>0%</w:t>
            </w:r>
          </w:p>
        </w:tc>
      </w:tr>
    </w:tbl>
    <w:p w:rsidR="00156BD1" w:rsidRDefault="00156BD1">
      <w:pPr>
        <w:spacing w:line="360" w:lineRule="auto"/>
        <w:jc w:val="left"/>
        <w:rPr>
          <w:rFonts w:hint="eastAsia"/>
        </w:rPr>
      </w:pPr>
      <w:r>
        <w:rPr>
          <w:rFonts w:hint="eastAsia"/>
          <w:szCs w:val="21"/>
        </w:rPr>
        <w:t>注：本基金的赎回费用由基金份额持有人承担，其中持有期少于 30 日的赎回费用全部归入基金财产，持有期不少于 30 日但少于 90 日的赎回费用 75%归入基金财产，持有期不少于 90日但少于 180 日的赎回费用 50%归入基金财产，持有期不少于 180 日的赎回费用 25%的部分归入基金财产，其余部分用于支付注册登记费等相关手续费。</w:t>
      </w:r>
    </w:p>
    <w:p w:rsidR="00156BD1" w:rsidRDefault="00156BD1">
      <w:pPr>
        <w:pStyle w:val="XBRLTitle2"/>
        <w:spacing w:before="156" w:line="360" w:lineRule="auto"/>
        <w:ind w:left="454"/>
        <w:rPr>
          <w:rFonts w:hint="eastAsia"/>
        </w:rPr>
      </w:pPr>
      <w:bookmarkStart w:id="108" w:name="m403"/>
      <w:bookmarkStart w:id="109" w:name="_Toc34841037"/>
      <w:bookmarkStart w:id="110" w:name="_Toc17898192"/>
      <w:bookmarkStart w:id="111" w:name="_Toc17897946"/>
      <w:bookmarkStart w:id="112" w:name="_Toc481075061"/>
      <w:bookmarkStart w:id="113" w:name="_Toc490050014"/>
      <w:bookmarkStart w:id="114" w:name="_Toc512519493"/>
      <w:bookmarkStart w:id="115" w:name="_Toc513295855"/>
      <w:bookmarkStart w:id="116" w:name="_Toc513295905"/>
      <w:bookmarkStart w:id="117" w:name="_Toc34758528"/>
      <w:bookmarkStart w:id="118" w:name="m405_01_2550"/>
      <w:bookmarkEnd w:id="108"/>
      <w:r>
        <w:rPr>
          <w:rFonts w:hAnsi="宋体" w:hint="eastAsia"/>
        </w:rPr>
        <w:t>其他与赎回相关的事项</w:t>
      </w:r>
      <w:bookmarkEnd w:id="109"/>
      <w:bookmarkEnd w:id="110"/>
      <w:bookmarkEnd w:id="111"/>
      <w:bookmarkEnd w:id="112"/>
      <w:bookmarkEnd w:id="113"/>
      <w:bookmarkEnd w:id="114"/>
      <w:bookmarkEnd w:id="115"/>
      <w:bookmarkEnd w:id="116"/>
      <w:bookmarkEnd w:id="117"/>
      <w:r>
        <w:rPr>
          <w:rFonts w:hAnsi="宋体" w:hint="eastAsia"/>
        </w:rPr>
        <w:t xml:space="preserve"> </w:t>
      </w:r>
    </w:p>
    <w:p w:rsidR="00156BD1" w:rsidRDefault="00156BD1">
      <w:pPr>
        <w:spacing w:line="360" w:lineRule="auto"/>
        <w:ind w:firstLineChars="200" w:firstLine="420"/>
        <w:rPr>
          <w:rFonts w:hint="eastAsia"/>
        </w:rPr>
      </w:pPr>
      <w:r>
        <w:rPr>
          <w:rFonts w:hint="eastAsia"/>
          <w:lang/>
        </w:rPr>
        <w:t>基金管理人可以在法律法规和基金合同规定范围内调整申购费率和赎回费率，调整后的申购费率和赎回费率在更新的招募说明书中列示。费率如发生变更，基金管理人应在调整实施前依照《信息披露办法》的有关规定在指定媒介上刊登公告。</w:t>
      </w:r>
      <w:r>
        <w:rPr>
          <w:rFonts w:hint="eastAsia"/>
          <w:lang/>
        </w:rPr>
        <w:br/>
        <w:t xml:space="preserve">　　基金管理人可以在不违背法律法规规定及基金合同约定的情形下根据市场情况制定基金促销计划，针对基金投资者定期或不定期地开展基金促销活动。在基金促销活动期间，基金管理人可以适当调低基金的销售费率。</w:t>
      </w:r>
    </w:p>
    <w:p w:rsidR="00156BD1" w:rsidRDefault="00156BD1" w:rsidP="00170851">
      <w:pPr>
        <w:pStyle w:val="XBRLTitle1"/>
        <w:spacing w:before="156" w:line="360" w:lineRule="auto"/>
        <w:ind w:left="425"/>
        <w:divId w:val="1089157215"/>
        <w:rPr>
          <w:rFonts w:hint="eastAsia"/>
        </w:rPr>
      </w:pPr>
      <w:bookmarkStart w:id="119" w:name="_Toc34758529"/>
      <w:bookmarkStart w:id="120" w:name="_Toc513295908"/>
      <w:bookmarkStart w:id="121" w:name="_Toc513295858"/>
      <w:bookmarkStart w:id="122" w:name="_Toc490050017"/>
      <w:bookmarkStart w:id="123" w:name="_Toc438646466"/>
      <w:bookmarkStart w:id="124" w:name="_Toc481075064"/>
      <w:bookmarkStart w:id="125" w:name="_Toc512519496"/>
      <w:bookmarkStart w:id="126" w:name="_Toc17897949"/>
      <w:bookmarkStart w:id="127" w:name="_Toc17898195"/>
      <w:bookmarkStart w:id="128" w:name="_Toc34841038"/>
      <w:bookmarkEnd w:id="118"/>
      <w:r>
        <w:rPr>
          <w:rFonts w:hAnsi="宋体" w:hint="eastAsia"/>
        </w:rPr>
        <w:t>日常转换业务</w:t>
      </w:r>
      <w:bookmarkEnd w:id="119"/>
      <w:bookmarkEnd w:id="120"/>
      <w:bookmarkEnd w:id="121"/>
      <w:bookmarkEnd w:id="122"/>
      <w:bookmarkEnd w:id="123"/>
      <w:bookmarkEnd w:id="124"/>
      <w:bookmarkEnd w:id="125"/>
      <w:bookmarkEnd w:id="126"/>
      <w:bookmarkEnd w:id="127"/>
      <w:bookmarkEnd w:id="128"/>
      <w:r>
        <w:rPr>
          <w:rFonts w:hAnsi="宋体" w:hint="eastAsia"/>
        </w:rPr>
        <w:t xml:space="preserve"> </w:t>
      </w:r>
      <w:bookmarkStart w:id="129" w:name="m501"/>
    </w:p>
    <w:p w:rsidR="00156BD1" w:rsidRDefault="00156BD1">
      <w:pPr>
        <w:pStyle w:val="XBRLTitle2"/>
        <w:spacing w:before="156" w:line="360" w:lineRule="auto"/>
        <w:ind w:left="454"/>
        <w:divId w:val="734205898"/>
        <w:rPr>
          <w:rFonts w:hint="eastAsia"/>
        </w:rPr>
      </w:pPr>
      <w:bookmarkStart w:id="130" w:name="m502"/>
      <w:bookmarkStart w:id="131" w:name="_Toc438646470"/>
      <w:bookmarkStart w:id="132" w:name="m504"/>
      <w:bookmarkStart w:id="133" w:name="_Toc34758531"/>
      <w:bookmarkStart w:id="134" w:name="_Toc513295913"/>
      <w:bookmarkStart w:id="135" w:name="_Toc513295861"/>
      <w:bookmarkStart w:id="136" w:name="_Toc512519501"/>
      <w:bookmarkStart w:id="137" w:name="_Toc490050022"/>
      <w:bookmarkStart w:id="138" w:name="_Toc481075069"/>
      <w:bookmarkStart w:id="139" w:name="_Toc17897952"/>
      <w:bookmarkStart w:id="140" w:name="_Toc17898200"/>
      <w:bookmarkStart w:id="141" w:name="_Toc34841040"/>
      <w:bookmarkEnd w:id="129"/>
      <w:r>
        <w:rPr>
          <w:rFonts w:hAnsi="宋体" w:hint="eastAsia"/>
        </w:rPr>
        <w:t>其他与转换相关的事项</w:t>
      </w:r>
      <w:bookmarkEnd w:id="130"/>
      <w:bookmarkEnd w:id="131"/>
      <w:bookmarkEnd w:id="132"/>
      <w:bookmarkEnd w:id="133"/>
      <w:bookmarkEnd w:id="134"/>
      <w:bookmarkEnd w:id="135"/>
      <w:bookmarkEnd w:id="136"/>
      <w:bookmarkEnd w:id="137"/>
      <w:bookmarkEnd w:id="138"/>
      <w:bookmarkEnd w:id="139"/>
      <w:bookmarkEnd w:id="140"/>
      <w:bookmarkEnd w:id="141"/>
      <w:r>
        <w:rPr>
          <w:rFonts w:hAnsi="宋体" w:hint="eastAsia"/>
        </w:rPr>
        <w:t xml:space="preserve"> </w:t>
      </w:r>
    </w:p>
    <w:p w:rsidR="00156BD1" w:rsidRDefault="00156BD1" w:rsidP="00170851">
      <w:pPr>
        <w:spacing w:line="360" w:lineRule="auto"/>
        <w:ind w:firstLineChars="200" w:firstLine="420"/>
        <w:divId w:val="734205898"/>
        <w:rPr>
          <w:rFonts w:hint="eastAsia"/>
        </w:rPr>
      </w:pPr>
      <w:r>
        <w:rPr>
          <w:rFonts w:hint="eastAsia"/>
          <w:kern w:val="0"/>
          <w:szCs w:val="21"/>
          <w:lang/>
        </w:rPr>
        <w:t>（1）可转换基金</w:t>
      </w:r>
      <w:r>
        <w:rPr>
          <w:rFonts w:hint="eastAsia"/>
          <w:kern w:val="0"/>
          <w:szCs w:val="21"/>
          <w:lang/>
        </w:rPr>
        <w:br/>
        <w:t xml:space="preserve">　　本基金开通与本公司旗下其它开放式基金（由同一注册登记机构办理注册登记的、且已公告开通基金转换业务）之间的转换业务，各基金转换业务的开放状态及交易限制详见各基金相关公告。</w:t>
      </w:r>
      <w:r>
        <w:rPr>
          <w:rFonts w:hint="eastAsia"/>
          <w:kern w:val="0"/>
          <w:szCs w:val="21"/>
          <w:lang/>
        </w:rPr>
        <w:br/>
        <w:t xml:space="preserve">　　（2）转换业务办理地点</w:t>
      </w:r>
      <w:r>
        <w:rPr>
          <w:rFonts w:hint="eastAsia"/>
          <w:kern w:val="0"/>
          <w:szCs w:val="21"/>
          <w:lang/>
        </w:rPr>
        <w:br/>
        <w:t xml:space="preserve">　　本公司直销机构开通本基金的转换转出业务。其他销售机构开通本基金的转换转出业务敬请投资者关注各销售机构的开通情况或垂询相关销售机构。</w:t>
      </w:r>
      <w:r>
        <w:rPr>
          <w:rFonts w:hint="eastAsia"/>
          <w:kern w:val="0"/>
          <w:sz w:val="24"/>
        </w:rPr>
        <w:t xml:space="preserve"> </w:t>
      </w:r>
    </w:p>
    <w:p w:rsidR="00156BD1" w:rsidRDefault="00156BD1">
      <w:pPr>
        <w:pStyle w:val="XBRLTitle1"/>
        <w:spacing w:before="156" w:line="360" w:lineRule="auto"/>
        <w:ind w:left="425"/>
        <w:rPr>
          <w:rFonts w:hint="eastAsia"/>
        </w:rPr>
      </w:pPr>
      <w:bookmarkStart w:id="142" w:name="_Toc3475852111"/>
      <w:bookmarkStart w:id="143" w:name="_Toc34841042"/>
      <w:r>
        <w:rPr>
          <w:rFonts w:hAnsi="宋体" w:hint="eastAsia"/>
        </w:rPr>
        <w:t>基金销售机构</w:t>
      </w:r>
      <w:bookmarkEnd w:id="32"/>
      <w:bookmarkEnd w:id="33"/>
      <w:bookmarkEnd w:id="34"/>
      <w:bookmarkEnd w:id="35"/>
      <w:bookmarkEnd w:id="36"/>
      <w:bookmarkEnd w:id="37"/>
      <w:bookmarkEnd w:id="38"/>
      <w:bookmarkEnd w:id="39"/>
      <w:bookmarkEnd w:id="142"/>
      <w:bookmarkEnd w:id="143"/>
      <w:r>
        <w:rPr>
          <w:rFonts w:hAnsi="宋体" w:hint="eastAsia"/>
        </w:rPr>
        <w:t xml:space="preserve"> </w:t>
      </w:r>
    </w:p>
    <w:p w:rsidR="00156BD1" w:rsidRDefault="00156BD1">
      <w:pPr>
        <w:pStyle w:val="XBRLTitle2"/>
        <w:spacing w:before="156" w:line="360" w:lineRule="auto"/>
        <w:ind w:left="454"/>
        <w:rPr>
          <w:rFonts w:hint="eastAsia"/>
        </w:rPr>
      </w:pPr>
      <w:bookmarkStart w:id="144" w:name="_Toc51346565811"/>
      <w:r>
        <w:rPr>
          <w:rFonts w:hAnsi="宋体" w:hint="eastAsia"/>
        </w:rPr>
        <w:t>场外销售机构</w:t>
      </w:r>
      <w:bookmarkEnd w:id="53"/>
      <w:bookmarkEnd w:id="54"/>
      <w:bookmarkEnd w:id="55"/>
      <w:bookmarkEnd w:id="56"/>
      <w:bookmarkEnd w:id="144"/>
      <w:r>
        <w:rPr>
          <w:rFonts w:hAnsi="宋体" w:hint="eastAsia"/>
        </w:rPr>
        <w:t xml:space="preserve"> </w:t>
      </w:r>
    </w:p>
    <w:p w:rsidR="00156BD1" w:rsidRDefault="00156BD1">
      <w:pPr>
        <w:pStyle w:val="XBRLTitle3"/>
        <w:spacing w:before="156"/>
        <w:ind w:left="0"/>
        <w:rPr>
          <w:rFonts w:hint="eastAsia"/>
        </w:rPr>
      </w:pPr>
      <w:bookmarkStart w:id="145" w:name="_Toc51346565911"/>
      <w:r>
        <w:rPr>
          <w:rFonts w:hint="eastAsia"/>
        </w:rPr>
        <w:t>直销机构</w:t>
      </w:r>
      <w:bookmarkEnd w:id="58"/>
      <w:bookmarkEnd w:id="59"/>
      <w:bookmarkEnd w:id="60"/>
      <w:bookmarkEnd w:id="145"/>
      <w:r>
        <w:rPr>
          <w:rFonts w:hint="eastAsia"/>
          <w:lang w:eastAsia="zh-CN"/>
        </w:rPr>
        <w:t xml:space="preserve"> </w:t>
      </w:r>
    </w:p>
    <w:p w:rsidR="00156BD1" w:rsidRDefault="00156BD1">
      <w:pPr>
        <w:spacing w:line="360" w:lineRule="auto"/>
        <w:ind w:firstLineChars="200" w:firstLine="420"/>
        <w:rPr>
          <w:rFonts w:hint="eastAsia"/>
        </w:rPr>
      </w:pPr>
      <w:r>
        <w:rPr>
          <w:rFonts w:hint="eastAsia"/>
          <w:lang/>
        </w:rPr>
        <w:t>名 称：华泰柏瑞基金管理有限公司</w:t>
      </w:r>
      <w:r>
        <w:rPr>
          <w:rFonts w:hint="eastAsia"/>
          <w:lang/>
        </w:rPr>
        <w:br/>
        <w:t xml:space="preserve">　　办公地址：中国（上海）自由贸易试验区民生路1199弄证大五道口广场1号楼17层</w:t>
      </w:r>
      <w:r>
        <w:rPr>
          <w:rFonts w:hint="eastAsia"/>
          <w:lang/>
        </w:rPr>
        <w:br/>
        <w:t xml:space="preserve">　　注册地址：中国（上海）自由贸易试验区民生路1199弄证大五道口广场1号楼17层</w:t>
      </w:r>
      <w:r>
        <w:rPr>
          <w:rFonts w:hint="eastAsia"/>
          <w:lang/>
        </w:rPr>
        <w:br/>
        <w:t xml:space="preserve">　　法定代表人：贾波</w:t>
      </w:r>
      <w:r>
        <w:rPr>
          <w:rFonts w:hint="eastAsia"/>
          <w:lang/>
        </w:rPr>
        <w:br/>
        <w:t xml:space="preserve">　　客户服务电话：021-38784638</w:t>
      </w:r>
      <w:r>
        <w:rPr>
          <w:rFonts w:hint="eastAsia"/>
          <w:lang/>
        </w:rPr>
        <w:br/>
        <w:t xml:space="preserve">　　全国统一客户服务电话：400-888-0001</w:t>
      </w:r>
      <w:r>
        <w:rPr>
          <w:rFonts w:hint="eastAsia"/>
          <w:lang/>
        </w:rPr>
        <w:br/>
        <w:t xml:space="preserve">　　传真：021-50103016</w:t>
      </w:r>
      <w:r>
        <w:rPr>
          <w:rFonts w:hint="eastAsia"/>
          <w:lang/>
        </w:rPr>
        <w:br/>
        <w:t xml:space="preserve">　　联系人：汪莹白</w:t>
      </w:r>
      <w:r>
        <w:rPr>
          <w:rFonts w:hint="eastAsia"/>
          <w:lang/>
        </w:rPr>
        <w:br/>
        <w:t xml:space="preserve">　　公司网站：www.huatai-pb.com</w:t>
      </w:r>
      <w:r>
        <w:rPr>
          <w:rFonts w:hint="eastAsia"/>
          <w:lang/>
        </w:rPr>
        <w:br/>
        <w:t xml:space="preserve">　　投资者还可通过本公司网上直销开户、交易本基金，网上直销网址：www.huatai-pb.com。</w:t>
      </w:r>
    </w:p>
    <w:p w:rsidR="00156BD1" w:rsidRDefault="00156BD1">
      <w:pPr>
        <w:pStyle w:val="XBRLTitle3"/>
        <w:spacing w:before="156"/>
        <w:ind w:left="0"/>
        <w:rPr>
          <w:rFonts w:hint="eastAsia"/>
        </w:rPr>
      </w:pPr>
      <w:bookmarkStart w:id="146" w:name="_Toc51346566011"/>
      <w:r>
        <w:rPr>
          <w:rFonts w:hint="eastAsia"/>
        </w:rPr>
        <w:t>场外非直销机构</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146"/>
    </w:p>
    <w:p w:rsidR="00156BD1" w:rsidRDefault="00156BD1">
      <w:pPr>
        <w:spacing w:line="360" w:lineRule="auto"/>
        <w:ind w:firstLineChars="200" w:firstLine="420"/>
        <w:rPr>
          <w:rFonts w:hint="eastAsia"/>
        </w:rPr>
      </w:pPr>
      <w:r>
        <w:rPr>
          <w:rFonts w:hint="eastAsia"/>
          <w:kern w:val="0"/>
          <w:szCs w:val="21"/>
          <w:lang/>
        </w:rPr>
        <w:t xml:space="preserve">本基金非直销销售机构信息详见基金管理人网站公示，敬请投资者留意。 </w:t>
      </w:r>
    </w:p>
    <w:p w:rsidR="00156BD1" w:rsidRDefault="00156BD1">
      <w:pPr>
        <w:pStyle w:val="XBRLTitle1"/>
        <w:spacing w:before="156" w:line="360" w:lineRule="auto"/>
        <w:ind w:left="425"/>
        <w:rPr>
          <w:rFonts w:hint="eastAsia"/>
        </w:rPr>
      </w:pPr>
      <w:bookmarkStart w:id="147" w:name="_Toc3475853211"/>
      <w:bookmarkStart w:id="148" w:name="_Toc34841045"/>
      <w:r>
        <w:rPr>
          <w:rFonts w:hAnsi="宋体" w:hint="eastAsia"/>
        </w:rPr>
        <w:t>基金份额净值公告/基金收益公告的披露安排</w:t>
      </w:r>
      <w:bookmarkEnd w:id="147"/>
      <w:bookmarkEnd w:id="148"/>
      <w:r>
        <w:rPr>
          <w:rFonts w:hAnsi="宋体" w:hint="eastAsia"/>
        </w:rPr>
        <w:t xml:space="preserve"> </w:t>
      </w:r>
    </w:p>
    <w:p w:rsidR="00156BD1" w:rsidRDefault="00156BD1">
      <w:pPr>
        <w:spacing w:line="360" w:lineRule="auto"/>
        <w:ind w:firstLineChars="200" w:firstLine="420"/>
        <w:rPr>
          <w:lang/>
        </w:rPr>
      </w:pPr>
      <w:r>
        <w:rPr>
          <w:rFonts w:hint="eastAsia"/>
          <w:lang/>
        </w:rPr>
        <w:t>在开放期内，基金管理人应当在不晚于每个开放日的次日，通过指定网站、基金销售机构网站或者营业网点披露开放日的基金份额净值和基金份额累计净值。</w:t>
      </w:r>
      <w:r>
        <w:rPr>
          <w:rFonts w:hint="eastAsia"/>
          <w:lang/>
        </w:rPr>
        <w:br/>
        <w:t xml:space="preserve">　　基金管理人应当在不晚于半年度和年度最后一日的次日，在指定网站披露半年度和年度最后一日的基金份额净值和基金份额累计净值。</w:t>
      </w:r>
    </w:p>
    <w:p w:rsidR="000F2312" w:rsidRDefault="000F2312">
      <w:pPr>
        <w:spacing w:line="360" w:lineRule="auto"/>
        <w:ind w:firstLineChars="200" w:firstLine="420"/>
        <w:rPr>
          <w:rFonts w:hint="eastAsia"/>
        </w:rPr>
      </w:pPr>
      <w:r w:rsidRPr="000F2312">
        <w:rPr>
          <w:rFonts w:hint="eastAsia"/>
        </w:rPr>
        <w:t>本基金收益分配方案由基金管理人拟定，并由基金托管人复核，依照《信息披露办法》的</w:t>
      </w:r>
      <w:r>
        <w:t>有关规定在在指定媒介公告。</w:t>
      </w:r>
    </w:p>
    <w:p w:rsidR="00156BD1" w:rsidRDefault="00156BD1">
      <w:pPr>
        <w:pStyle w:val="XBRLTitle1"/>
        <w:spacing w:before="156" w:line="360" w:lineRule="auto"/>
        <w:ind w:left="425"/>
        <w:rPr>
          <w:rFonts w:hint="eastAsia"/>
        </w:rPr>
      </w:pPr>
      <w:bookmarkStart w:id="149" w:name="_Toc3475853212"/>
      <w:bookmarkStart w:id="150" w:name="_Toc34841046"/>
      <w:r>
        <w:rPr>
          <w:rFonts w:hAnsi="宋体" w:hint="eastAsia"/>
        </w:rPr>
        <w:t>其他需要提示的事项</w:t>
      </w:r>
      <w:bookmarkEnd w:id="17"/>
      <w:bookmarkEnd w:id="18"/>
      <w:bookmarkEnd w:id="19"/>
      <w:bookmarkEnd w:id="20"/>
      <w:bookmarkEnd w:id="21"/>
      <w:bookmarkEnd w:id="22"/>
      <w:bookmarkEnd w:id="23"/>
      <w:bookmarkEnd w:id="24"/>
      <w:bookmarkEnd w:id="40"/>
      <w:bookmarkEnd w:id="41"/>
      <w:bookmarkEnd w:id="149"/>
      <w:bookmarkEnd w:id="150"/>
      <w:r>
        <w:rPr>
          <w:rFonts w:hAnsi="宋体" w:hint="eastAsia"/>
        </w:rPr>
        <w:t xml:space="preserve"> </w:t>
      </w:r>
    </w:p>
    <w:bookmarkEnd w:id="14"/>
    <w:p w:rsidR="00156BD1" w:rsidRDefault="00156BD1">
      <w:pPr>
        <w:spacing w:line="360" w:lineRule="auto"/>
        <w:ind w:firstLineChars="200" w:firstLine="420"/>
        <w:rPr>
          <w:rFonts w:hint="eastAsia"/>
        </w:rPr>
      </w:pPr>
      <w:r>
        <w:rPr>
          <w:rFonts w:hint="eastAsia"/>
          <w:lang/>
        </w:rPr>
        <w:t>一）申购和赎回申请的确认</w:t>
      </w:r>
      <w:r>
        <w:rPr>
          <w:rFonts w:hint="eastAsia"/>
          <w:lang/>
        </w:rPr>
        <w:br/>
        <w:t xml:space="preserve">　　基金管理人应以交易时间结束前受理有效申购和赎回申请的当天作为申购或赎回申请日(T 日)，在正常情况下，本基金登记机构在 T+1 日内对该交易的有效性进行确认。T 日提交的有效申请，投资人可在 T+2 日后(包括该日)到销售网点柜台或以销售机构规定的其他方式查询申请的确认情况。若申购不成功或无效，则申购款项本金退还给投资人。</w:t>
      </w:r>
      <w:r>
        <w:rPr>
          <w:rFonts w:hint="eastAsia"/>
          <w:lang/>
        </w:rPr>
        <w:br/>
        <w:t xml:space="preserve">　　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r>
        <w:rPr>
          <w:rFonts w:hint="eastAsia"/>
          <w:lang/>
        </w:rPr>
        <w:br/>
        <w:t xml:space="preserve">　　二）如有任何疑问，欢迎与我们联系：</w:t>
      </w:r>
      <w:r>
        <w:rPr>
          <w:rFonts w:hint="eastAsia"/>
          <w:lang/>
        </w:rPr>
        <w:br/>
        <w:t xml:space="preserve">　　客户服务中心电话：400-888-0001（免长途费），021-38784638</w:t>
      </w:r>
      <w:r>
        <w:rPr>
          <w:rFonts w:hint="eastAsia"/>
          <w:lang/>
        </w:rPr>
        <w:br/>
        <w:t xml:space="preserve">　　电子邮件地址：cs4008880001@huatai-pb.com</w:t>
      </w:r>
      <w:r>
        <w:rPr>
          <w:rFonts w:hint="eastAsia"/>
          <w:lang/>
        </w:rPr>
        <w:br/>
        <w:t xml:space="preserve">　　三）风险提示：基金管理人承诺以诚实信用、勤勉尽责的原则管理和运用基金财产，但不保证基金一定盈利，也不保证最低收益。敬请投资者于投资前认真阅读本基金的《基金合同》和《招募说明书》。</w:t>
      </w:r>
      <w:bookmarkEnd w:id="2"/>
      <w:bookmarkEnd w:id="3"/>
      <w:bookmarkEnd w:id="25"/>
      <w:bookmarkEnd w:id="26"/>
      <w:bookmarkEnd w:id="27"/>
      <w:bookmarkEnd w:id="28"/>
      <w:r>
        <w:rPr>
          <w:rFonts w:hint="eastAsia"/>
          <w:lang/>
        </w:rPr>
        <w:t xml:space="preserve"> </w:t>
      </w:r>
    </w:p>
    <w:p w:rsidR="00156BD1" w:rsidRDefault="00156BD1">
      <w:pPr>
        <w:spacing w:line="360" w:lineRule="auto"/>
        <w:ind w:firstLineChars="600" w:firstLine="1446"/>
        <w:jc w:val="left"/>
        <w:rPr>
          <w:rFonts w:hint="eastAsia"/>
        </w:rPr>
      </w:pPr>
      <w:r>
        <w:rPr>
          <w:rFonts w:hint="eastAsia"/>
          <w:b/>
          <w:bCs/>
          <w:sz w:val="24"/>
          <w:szCs w:val="30"/>
        </w:rPr>
        <w:t xml:space="preserve">　 </w:t>
      </w:r>
    </w:p>
    <w:p w:rsidR="00156BD1" w:rsidRDefault="00156BD1">
      <w:pPr>
        <w:spacing w:line="360" w:lineRule="auto"/>
        <w:ind w:firstLineChars="600" w:firstLine="1446"/>
        <w:jc w:val="left"/>
        <w:rPr>
          <w:rFonts w:hint="eastAsia"/>
        </w:rPr>
      </w:pPr>
      <w:r>
        <w:rPr>
          <w:rFonts w:hint="eastAsia"/>
          <w:b/>
          <w:bCs/>
          <w:sz w:val="24"/>
          <w:szCs w:val="30"/>
        </w:rPr>
        <w:t xml:space="preserve">　 </w:t>
      </w:r>
    </w:p>
    <w:p w:rsidR="00156BD1" w:rsidRDefault="00156BD1">
      <w:pPr>
        <w:spacing w:line="360" w:lineRule="auto"/>
        <w:ind w:firstLineChars="600" w:firstLine="1446"/>
        <w:jc w:val="right"/>
        <w:rPr>
          <w:rFonts w:hint="eastAsia"/>
        </w:rPr>
      </w:pPr>
      <w:r>
        <w:rPr>
          <w:rFonts w:hint="eastAsia"/>
          <w:b/>
          <w:bCs/>
          <w:sz w:val="24"/>
          <w:szCs w:val="24"/>
        </w:rPr>
        <w:t>华泰柏瑞基金管理有限公司</w:t>
      </w:r>
    </w:p>
    <w:bookmarkEnd w:id="29"/>
    <w:p w:rsidR="00156BD1" w:rsidRPr="004A2BB3" w:rsidRDefault="004A2BB3">
      <w:pPr>
        <w:spacing w:line="360" w:lineRule="auto"/>
        <w:ind w:firstLineChars="600" w:firstLine="1446"/>
        <w:jc w:val="right"/>
        <w:rPr>
          <w:rFonts w:hint="eastAsia"/>
          <w:b/>
          <w:bCs/>
          <w:sz w:val="24"/>
          <w:szCs w:val="24"/>
        </w:rPr>
      </w:pPr>
      <w:r w:rsidRPr="004A2BB3">
        <w:rPr>
          <w:b/>
          <w:bCs/>
          <w:sz w:val="24"/>
          <w:szCs w:val="24"/>
        </w:rPr>
        <w:t>2025年11月8日</w:t>
      </w:r>
      <w:r w:rsidR="00454725" w:rsidRPr="004A2BB3">
        <w:rPr>
          <w:rFonts w:hint="eastAsia"/>
          <w:b/>
          <w:bCs/>
          <w:sz w:val="24"/>
          <w:szCs w:val="24"/>
        </w:rPr>
        <w:t xml:space="preserve"> </w:t>
      </w:r>
    </w:p>
    <w:sectPr w:rsidR="00156BD1" w:rsidRPr="004A2BB3">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CFB" w:rsidRDefault="005B4CF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5B4CFB" w:rsidRDefault="005B4CF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D1" w:rsidRDefault="00156BD1">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92966">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92966">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D1" w:rsidRDefault="00156BD1">
    <w:pPr>
      <w:pStyle w:val="aa"/>
      <w:rPr>
        <w:rFonts w:hint="eastAsia"/>
      </w:rPr>
    </w:pPr>
  </w:p>
  <w:p w:rsidR="00156BD1" w:rsidRDefault="00156BD1">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92966">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92966">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156BD1" w:rsidRDefault="00156BD1">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CFB" w:rsidRDefault="005B4CFB">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5B4CFB" w:rsidRDefault="005B4CFB">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D1" w:rsidRDefault="00156BD1">
    <w:pPr>
      <w:pStyle w:val="a8"/>
      <w:jc w:val="right"/>
    </w:pPr>
    <w:r>
      <w:rPr>
        <w:rFonts w:hint="eastAsia"/>
      </w:rPr>
      <w:t>关于华泰柏瑞量化对冲稳健收益定期开放混合型发起式证券投资基金第十</w:t>
    </w:r>
    <w:r w:rsidR="004A2BB3">
      <w:rPr>
        <w:rFonts w:hint="eastAsia"/>
      </w:rPr>
      <w:t>九</w:t>
    </w:r>
    <w:r>
      <w:rPr>
        <w:rFonts w:hint="eastAsia"/>
      </w:rPr>
      <w:t>个开放期开放日常申购、赎回、转换业务的公告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D1" w:rsidRDefault="00156BD1">
    <w:pPr>
      <w:pStyle w:val="a8"/>
      <w:jc w:val="right"/>
      <w:rPr>
        <w:rFonts w:hint="eastAsia"/>
      </w:rPr>
    </w:pPr>
    <w:r>
      <w:rPr>
        <w:rFonts w:hint="eastAsia"/>
      </w:rPr>
      <w:t>关于华泰柏瑞量化对冲稳健收益定期开放混合型发起式证券投资基金第十</w:t>
    </w:r>
    <w:r w:rsidR="004A2BB3">
      <w:rPr>
        <w:rFonts w:hint="eastAsia"/>
      </w:rPr>
      <w:t>九</w:t>
    </w:r>
    <w:r>
      <w:rPr>
        <w:rFonts w:hint="eastAsia"/>
      </w:rPr>
      <w:t>个开放期开放日常申购、赎回、转换业务的公告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3B8F"/>
    <w:rsid w:val="000725EE"/>
    <w:rsid w:val="000F2312"/>
    <w:rsid w:val="00155DC7"/>
    <w:rsid w:val="00156BD1"/>
    <w:rsid w:val="00170851"/>
    <w:rsid w:val="002E3B8C"/>
    <w:rsid w:val="003209E4"/>
    <w:rsid w:val="00454725"/>
    <w:rsid w:val="00471870"/>
    <w:rsid w:val="00477FF7"/>
    <w:rsid w:val="004A2BB3"/>
    <w:rsid w:val="005B4CFB"/>
    <w:rsid w:val="005B5BE3"/>
    <w:rsid w:val="005D36F1"/>
    <w:rsid w:val="00653050"/>
    <w:rsid w:val="00690012"/>
    <w:rsid w:val="00781831"/>
    <w:rsid w:val="007D3B8F"/>
    <w:rsid w:val="00853FE4"/>
    <w:rsid w:val="00892966"/>
    <w:rsid w:val="008B34D3"/>
    <w:rsid w:val="00A041E2"/>
    <w:rsid w:val="00AC3B90"/>
    <w:rsid w:val="00BA6412"/>
    <w:rsid w:val="00BD6B93"/>
    <w:rsid w:val="00D0523C"/>
    <w:rsid w:val="00DC55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200" w:left="420"/>
    </w:pPr>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left"/>
    </w:pPr>
    <w:rPr>
      <w:rFonts w:hAnsi="Cambria"/>
      <w:sz w:val="24"/>
      <w:szCs w:val="32"/>
    </w:rPr>
  </w:style>
  <w:style w:type="paragraph" w:customStyle="1" w:styleId="XBRLTitle2">
    <w:name w:val="XBRLTitle2"/>
    <w:basedOn w:val="ae"/>
    <w:next w:val="4"/>
    <w:qFormat/>
    <w:pPr>
      <w:keepNext w:val="0"/>
      <w:keepLines w:val="0"/>
      <w:numPr>
        <w:ilvl w:val="1"/>
        <w:numId w:val="2"/>
      </w:numPr>
      <w:spacing w:beforeLines="50" w:after="0" w:line="240" w:lineRule="auto"/>
      <w:ind w:left="908"/>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 w:type="character" w:styleId="af9">
    <w:name w:val="annotation reference"/>
    <w:uiPriority w:val="99"/>
    <w:semiHidden/>
    <w:unhideWhenUsed/>
    <w:rsid w:val="00477FF7"/>
    <w:rPr>
      <w:sz w:val="21"/>
      <w:szCs w:val="21"/>
    </w:rPr>
  </w:style>
  <w:style w:type="paragraph" w:styleId="afa">
    <w:name w:val="annotation text"/>
    <w:basedOn w:val="a"/>
    <w:link w:val="afb"/>
    <w:uiPriority w:val="99"/>
    <w:semiHidden/>
    <w:unhideWhenUsed/>
    <w:rsid w:val="00477FF7"/>
    <w:pPr>
      <w:jc w:val="left"/>
    </w:pPr>
  </w:style>
  <w:style w:type="character" w:customStyle="1" w:styleId="afb">
    <w:name w:val="批注文字 字符"/>
    <w:link w:val="afa"/>
    <w:uiPriority w:val="99"/>
    <w:semiHidden/>
    <w:rsid w:val="00477FF7"/>
    <w:rPr>
      <w:rFonts w:cs="宋体"/>
      <w:kern w:val="2"/>
      <w:sz w:val="21"/>
    </w:rPr>
  </w:style>
  <w:style w:type="paragraph" w:styleId="afc">
    <w:name w:val="annotation subject"/>
    <w:basedOn w:val="afa"/>
    <w:next w:val="afa"/>
    <w:link w:val="afd"/>
    <w:uiPriority w:val="99"/>
    <w:semiHidden/>
    <w:unhideWhenUsed/>
    <w:rsid w:val="00477FF7"/>
    <w:rPr>
      <w:b/>
      <w:bCs/>
    </w:rPr>
  </w:style>
  <w:style w:type="character" w:customStyle="1" w:styleId="afd">
    <w:name w:val="批注主题 字符"/>
    <w:link w:val="afc"/>
    <w:uiPriority w:val="99"/>
    <w:semiHidden/>
    <w:rsid w:val="00477FF7"/>
    <w:rPr>
      <w:rFonts w:cs="宋体"/>
      <w:b/>
      <w:bCs/>
      <w:kern w:val="2"/>
      <w:sz w:val="21"/>
    </w:rPr>
  </w:style>
</w:styles>
</file>

<file path=word/webSettings.xml><?xml version="1.0" encoding="utf-8"?>
<w:webSettings xmlns:r="http://schemas.openxmlformats.org/officeDocument/2006/relationships" xmlns:w="http://schemas.openxmlformats.org/wordprocessingml/2006/main">
  <w:divs>
    <w:div w:id="867521856">
      <w:marLeft w:val="0"/>
      <w:marRight w:val="0"/>
      <w:marTop w:val="0"/>
      <w:marBottom w:val="0"/>
      <w:divBdr>
        <w:top w:val="none" w:sz="0" w:space="0" w:color="auto"/>
        <w:left w:val="none" w:sz="0" w:space="0" w:color="auto"/>
        <w:bottom w:val="none" w:sz="0" w:space="0" w:color="auto"/>
        <w:right w:val="none" w:sz="0" w:space="0" w:color="auto"/>
      </w:divBdr>
    </w:div>
    <w:div w:id="1089157215">
      <w:marLeft w:val="0"/>
      <w:marRight w:val="0"/>
      <w:marTop w:val="0"/>
      <w:marBottom w:val="0"/>
      <w:divBdr>
        <w:top w:val="none" w:sz="0" w:space="0" w:color="auto"/>
        <w:left w:val="none" w:sz="0" w:space="0" w:color="auto"/>
        <w:bottom w:val="none" w:sz="0" w:space="0" w:color="auto"/>
        <w:right w:val="none" w:sz="0" w:space="0" w:color="auto"/>
      </w:divBdr>
      <w:divsChild>
        <w:div w:id="734205898">
          <w:marLeft w:val="0"/>
          <w:marRight w:val="0"/>
          <w:marTop w:val="0"/>
          <w:marBottom w:val="0"/>
          <w:divBdr>
            <w:top w:val="none" w:sz="0" w:space="0" w:color="auto"/>
            <w:left w:val="none" w:sz="0" w:space="0" w:color="auto"/>
            <w:bottom w:val="none" w:sz="0" w:space="0" w:color="auto"/>
            <w:right w:val="none" w:sz="0" w:space="0" w:color="auto"/>
          </w:divBdr>
        </w:div>
      </w:divsChild>
    </w:div>
    <w:div w:id="16129370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B7F5F-F456-4142-BC91-9CC123A8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4199</Characters>
  <Application>Microsoft Office Word</Application>
  <DocSecurity>4</DocSecurity>
  <Lines>34</Lines>
  <Paragraphs>9</Paragraphs>
  <ScaleCrop>false</ScaleCrop>
  <Company/>
  <LinksUpToDate>false</LinksUpToDate>
  <CharactersWithSpaces>4926</CharactersWithSpaces>
  <SharedDoc>false</SharedDoc>
  <HLinks>
    <vt:vector size="144" baseType="variant">
      <vt:variant>
        <vt:i4>1114174</vt:i4>
      </vt:variant>
      <vt:variant>
        <vt:i4>69</vt:i4>
      </vt:variant>
      <vt:variant>
        <vt:i4>0</vt:i4>
      </vt:variant>
      <vt:variant>
        <vt:i4>5</vt:i4>
      </vt:variant>
      <vt:variant>
        <vt:lpwstr/>
      </vt:variant>
      <vt:variant>
        <vt:lpwstr>_Toc34841046</vt:lpwstr>
      </vt:variant>
      <vt:variant>
        <vt:i4>1179710</vt:i4>
      </vt:variant>
      <vt:variant>
        <vt:i4>66</vt:i4>
      </vt:variant>
      <vt:variant>
        <vt:i4>0</vt:i4>
      </vt:variant>
      <vt:variant>
        <vt:i4>5</vt:i4>
      </vt:variant>
      <vt:variant>
        <vt:lpwstr/>
      </vt:variant>
      <vt:variant>
        <vt:lpwstr>_Toc34841045</vt:lpwstr>
      </vt:variant>
      <vt:variant>
        <vt:i4>1245246</vt:i4>
      </vt:variant>
      <vt:variant>
        <vt:i4>63</vt:i4>
      </vt:variant>
      <vt:variant>
        <vt:i4>0</vt:i4>
      </vt:variant>
      <vt:variant>
        <vt:i4>5</vt:i4>
      </vt:variant>
      <vt:variant>
        <vt:lpwstr/>
      </vt:variant>
      <vt:variant>
        <vt:lpwstr>_Toc34841044</vt:lpwstr>
      </vt:variant>
      <vt:variant>
        <vt:i4>2097158</vt:i4>
      </vt:variant>
      <vt:variant>
        <vt:i4>60</vt:i4>
      </vt:variant>
      <vt:variant>
        <vt:i4>0</vt:i4>
      </vt:variant>
      <vt:variant>
        <vt:i4>5</vt:i4>
      </vt:variant>
      <vt:variant>
        <vt:lpwstr/>
      </vt:variant>
      <vt:variant>
        <vt:lpwstr>_Toc51346566011</vt:lpwstr>
      </vt:variant>
      <vt:variant>
        <vt:i4>2293775</vt:i4>
      </vt:variant>
      <vt:variant>
        <vt:i4>57</vt:i4>
      </vt:variant>
      <vt:variant>
        <vt:i4>0</vt:i4>
      </vt:variant>
      <vt:variant>
        <vt:i4>5</vt:i4>
      </vt:variant>
      <vt:variant>
        <vt:lpwstr/>
      </vt:variant>
      <vt:variant>
        <vt:lpwstr>_Toc51346565911</vt:lpwstr>
      </vt:variant>
      <vt:variant>
        <vt:i4>2293774</vt:i4>
      </vt:variant>
      <vt:variant>
        <vt:i4>54</vt:i4>
      </vt:variant>
      <vt:variant>
        <vt:i4>0</vt:i4>
      </vt:variant>
      <vt:variant>
        <vt:i4>5</vt:i4>
      </vt:variant>
      <vt:variant>
        <vt:lpwstr/>
      </vt:variant>
      <vt:variant>
        <vt:lpwstr>_Toc51346565811</vt:lpwstr>
      </vt:variant>
      <vt:variant>
        <vt:i4>1376318</vt:i4>
      </vt:variant>
      <vt:variant>
        <vt:i4>51</vt:i4>
      </vt:variant>
      <vt:variant>
        <vt:i4>0</vt:i4>
      </vt:variant>
      <vt:variant>
        <vt:i4>5</vt:i4>
      </vt:variant>
      <vt:variant>
        <vt:lpwstr/>
      </vt:variant>
      <vt:variant>
        <vt:lpwstr>_Toc34841042</vt:lpwstr>
      </vt:variant>
      <vt:variant>
        <vt:i4>1441854</vt:i4>
      </vt:variant>
      <vt:variant>
        <vt:i4>48</vt:i4>
      </vt:variant>
      <vt:variant>
        <vt:i4>0</vt:i4>
      </vt:variant>
      <vt:variant>
        <vt:i4>5</vt:i4>
      </vt:variant>
      <vt:variant>
        <vt:lpwstr/>
      </vt:variant>
      <vt:variant>
        <vt:lpwstr>_Toc34841041</vt:lpwstr>
      </vt:variant>
      <vt:variant>
        <vt:i4>1507390</vt:i4>
      </vt:variant>
      <vt:variant>
        <vt:i4>45</vt:i4>
      </vt:variant>
      <vt:variant>
        <vt:i4>0</vt:i4>
      </vt:variant>
      <vt:variant>
        <vt:i4>5</vt:i4>
      </vt:variant>
      <vt:variant>
        <vt:lpwstr/>
      </vt:variant>
      <vt:variant>
        <vt:lpwstr>_Toc34841040</vt:lpwstr>
      </vt:variant>
      <vt:variant>
        <vt:i4>1966137</vt:i4>
      </vt:variant>
      <vt:variant>
        <vt:i4>42</vt:i4>
      </vt:variant>
      <vt:variant>
        <vt:i4>0</vt:i4>
      </vt:variant>
      <vt:variant>
        <vt:i4>5</vt:i4>
      </vt:variant>
      <vt:variant>
        <vt:lpwstr/>
      </vt:variant>
      <vt:variant>
        <vt:lpwstr>_Toc34841039</vt:lpwstr>
      </vt:variant>
      <vt:variant>
        <vt:i4>2031673</vt:i4>
      </vt:variant>
      <vt:variant>
        <vt:i4>39</vt:i4>
      </vt:variant>
      <vt:variant>
        <vt:i4>0</vt:i4>
      </vt:variant>
      <vt:variant>
        <vt:i4>5</vt:i4>
      </vt:variant>
      <vt:variant>
        <vt:lpwstr/>
      </vt:variant>
      <vt:variant>
        <vt:lpwstr>_Toc34841038</vt:lpwstr>
      </vt:variant>
      <vt:variant>
        <vt:i4>1048633</vt:i4>
      </vt:variant>
      <vt:variant>
        <vt:i4>36</vt:i4>
      </vt:variant>
      <vt:variant>
        <vt:i4>0</vt:i4>
      </vt:variant>
      <vt:variant>
        <vt:i4>5</vt:i4>
      </vt:variant>
      <vt:variant>
        <vt:lpwstr/>
      </vt:variant>
      <vt:variant>
        <vt:lpwstr>_Toc34841037</vt:lpwstr>
      </vt:variant>
      <vt:variant>
        <vt:i4>1114169</vt:i4>
      </vt:variant>
      <vt:variant>
        <vt:i4>33</vt:i4>
      </vt:variant>
      <vt:variant>
        <vt:i4>0</vt:i4>
      </vt:variant>
      <vt:variant>
        <vt:i4>5</vt:i4>
      </vt:variant>
      <vt:variant>
        <vt:lpwstr/>
      </vt:variant>
      <vt:variant>
        <vt:lpwstr>_Toc34841036</vt:lpwstr>
      </vt:variant>
      <vt:variant>
        <vt:i4>1179705</vt:i4>
      </vt:variant>
      <vt:variant>
        <vt:i4>30</vt:i4>
      </vt:variant>
      <vt:variant>
        <vt:i4>0</vt:i4>
      </vt:variant>
      <vt:variant>
        <vt:i4>5</vt:i4>
      </vt:variant>
      <vt:variant>
        <vt:lpwstr/>
      </vt:variant>
      <vt:variant>
        <vt:lpwstr>_Toc34841035</vt:lpwstr>
      </vt:variant>
      <vt:variant>
        <vt:i4>1245241</vt:i4>
      </vt:variant>
      <vt:variant>
        <vt:i4>27</vt:i4>
      </vt:variant>
      <vt:variant>
        <vt:i4>0</vt:i4>
      </vt:variant>
      <vt:variant>
        <vt:i4>5</vt:i4>
      </vt:variant>
      <vt:variant>
        <vt:lpwstr/>
      </vt:variant>
      <vt:variant>
        <vt:lpwstr>_Toc34841034</vt:lpwstr>
      </vt:variant>
      <vt:variant>
        <vt:i4>1310777</vt:i4>
      </vt:variant>
      <vt:variant>
        <vt:i4>24</vt:i4>
      </vt:variant>
      <vt:variant>
        <vt:i4>0</vt:i4>
      </vt:variant>
      <vt:variant>
        <vt:i4>5</vt:i4>
      </vt:variant>
      <vt:variant>
        <vt:lpwstr/>
      </vt:variant>
      <vt:variant>
        <vt:lpwstr>_Toc34841033</vt:lpwstr>
      </vt:variant>
      <vt:variant>
        <vt:i4>1114166</vt:i4>
      </vt:variant>
      <vt:variant>
        <vt:i4>21</vt:i4>
      </vt:variant>
      <vt:variant>
        <vt:i4>0</vt:i4>
      </vt:variant>
      <vt:variant>
        <vt:i4>5</vt:i4>
      </vt:variant>
      <vt:variant>
        <vt:lpwstr/>
      </vt:variant>
      <vt:variant>
        <vt:lpwstr>_Toc513465660</vt:lpwstr>
      </vt:variant>
      <vt:variant>
        <vt:i4>1179702</vt:i4>
      </vt:variant>
      <vt:variant>
        <vt:i4>18</vt:i4>
      </vt:variant>
      <vt:variant>
        <vt:i4>0</vt:i4>
      </vt:variant>
      <vt:variant>
        <vt:i4>5</vt:i4>
      </vt:variant>
      <vt:variant>
        <vt:lpwstr/>
      </vt:variant>
      <vt:variant>
        <vt:lpwstr>_Toc513465659</vt:lpwstr>
      </vt:variant>
      <vt:variant>
        <vt:i4>1179702</vt:i4>
      </vt:variant>
      <vt:variant>
        <vt:i4>15</vt:i4>
      </vt:variant>
      <vt:variant>
        <vt:i4>0</vt:i4>
      </vt:variant>
      <vt:variant>
        <vt:i4>5</vt:i4>
      </vt:variant>
      <vt:variant>
        <vt:lpwstr/>
      </vt:variant>
      <vt:variant>
        <vt:lpwstr>_Toc513465658</vt:lpwstr>
      </vt:variant>
      <vt:variant>
        <vt:i4>1441849</vt:i4>
      </vt:variant>
      <vt:variant>
        <vt:i4>12</vt:i4>
      </vt:variant>
      <vt:variant>
        <vt:i4>0</vt:i4>
      </vt:variant>
      <vt:variant>
        <vt:i4>5</vt:i4>
      </vt:variant>
      <vt:variant>
        <vt:lpwstr/>
      </vt:variant>
      <vt:variant>
        <vt:lpwstr>_Toc34841031</vt:lpwstr>
      </vt:variant>
      <vt:variant>
        <vt:i4>1507385</vt:i4>
      </vt:variant>
      <vt:variant>
        <vt:i4>9</vt:i4>
      </vt:variant>
      <vt:variant>
        <vt:i4>0</vt:i4>
      </vt:variant>
      <vt:variant>
        <vt:i4>5</vt:i4>
      </vt:variant>
      <vt:variant>
        <vt:lpwstr/>
      </vt:variant>
      <vt:variant>
        <vt:lpwstr>_Toc34841030</vt:lpwstr>
      </vt:variant>
      <vt:variant>
        <vt:i4>1966136</vt:i4>
      </vt:variant>
      <vt:variant>
        <vt:i4>6</vt:i4>
      </vt:variant>
      <vt:variant>
        <vt:i4>0</vt:i4>
      </vt:variant>
      <vt:variant>
        <vt:i4>5</vt:i4>
      </vt:variant>
      <vt:variant>
        <vt:lpwstr/>
      </vt:variant>
      <vt:variant>
        <vt:lpwstr>_Toc34841029</vt:lpwstr>
      </vt:variant>
      <vt:variant>
        <vt:i4>2031672</vt:i4>
      </vt:variant>
      <vt:variant>
        <vt:i4>3</vt:i4>
      </vt:variant>
      <vt:variant>
        <vt:i4>0</vt:i4>
      </vt:variant>
      <vt:variant>
        <vt:i4>5</vt:i4>
      </vt:variant>
      <vt:variant>
        <vt:lpwstr/>
      </vt:variant>
      <vt:variant>
        <vt:lpwstr>_Toc34841028</vt:lpwstr>
      </vt:variant>
      <vt:variant>
        <vt:i4>1966136</vt:i4>
      </vt:variant>
      <vt:variant>
        <vt:i4>0</vt:i4>
      </vt:variant>
      <vt:variant>
        <vt:i4>0</vt:i4>
      </vt:variant>
      <vt:variant>
        <vt:i4>5</vt:i4>
      </vt:variant>
      <vt:variant>
        <vt:lpwstr/>
      </vt:variant>
      <vt:variant>
        <vt:lpwstr>_Toc348410291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2025-11-07T16:01:00Z</dcterms:created>
  <dcterms:modified xsi:type="dcterms:W3CDTF">2025-11-07T16:01:00Z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