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9A" w:rsidRPr="00191A44" w:rsidRDefault="002C0F69" w:rsidP="009A4644">
      <w:pPr>
        <w:widowControl/>
        <w:spacing w:line="360" w:lineRule="auto"/>
        <w:jc w:val="center"/>
        <w:rPr>
          <w:rFonts w:eastAsiaTheme="minorEastAsia"/>
          <w:b/>
          <w:kern w:val="0"/>
          <w:sz w:val="24"/>
          <w:szCs w:val="24"/>
        </w:rPr>
      </w:pPr>
      <w:bookmarkStart w:id="0" w:name="_GoBack"/>
      <w:bookmarkEnd w:id="0"/>
      <w:r w:rsidRPr="00191A44">
        <w:rPr>
          <w:rFonts w:eastAsiaTheme="minorEastAsia"/>
          <w:b/>
          <w:kern w:val="0"/>
          <w:sz w:val="24"/>
          <w:szCs w:val="24"/>
        </w:rPr>
        <w:t>华夏上证</w:t>
      </w:r>
      <w:r w:rsidRPr="00191A44">
        <w:rPr>
          <w:rFonts w:eastAsiaTheme="minorEastAsia"/>
          <w:b/>
          <w:kern w:val="0"/>
          <w:sz w:val="24"/>
          <w:szCs w:val="24"/>
        </w:rPr>
        <w:t>180</w:t>
      </w:r>
      <w:r w:rsidRPr="00191A44">
        <w:rPr>
          <w:rFonts w:eastAsiaTheme="minorEastAsia"/>
          <w:b/>
          <w:kern w:val="0"/>
          <w:sz w:val="24"/>
          <w:szCs w:val="24"/>
        </w:rPr>
        <w:t>交易型开放式指数证券投资基金联接基金基金合同生效公告</w:t>
      </w:r>
    </w:p>
    <w:p w:rsidR="001A5D9A" w:rsidRPr="00191A44" w:rsidRDefault="002C0F69" w:rsidP="009A4644">
      <w:pPr>
        <w:spacing w:line="360" w:lineRule="auto"/>
        <w:jc w:val="center"/>
        <w:rPr>
          <w:rFonts w:eastAsiaTheme="minorEastAsia"/>
          <w:b/>
          <w:bCs/>
          <w:kern w:val="0"/>
          <w:sz w:val="24"/>
          <w:szCs w:val="24"/>
        </w:rPr>
      </w:pPr>
      <w:r w:rsidRPr="00191A44">
        <w:rPr>
          <w:rFonts w:eastAsiaTheme="minorEastAsia"/>
          <w:b/>
          <w:bCs/>
          <w:color w:val="000000"/>
          <w:sz w:val="24"/>
          <w:szCs w:val="24"/>
        </w:rPr>
        <w:t>公告送出日期：</w:t>
      </w:r>
      <w:r w:rsidRPr="00191A44">
        <w:rPr>
          <w:rFonts w:eastAsiaTheme="minorEastAsia"/>
          <w:b/>
          <w:bCs/>
          <w:sz w:val="24"/>
          <w:szCs w:val="24"/>
        </w:rPr>
        <w:t>2025</w:t>
      </w:r>
      <w:r w:rsidRPr="00191A44">
        <w:rPr>
          <w:rFonts w:eastAsiaTheme="minorEastAsia"/>
          <w:b/>
          <w:bCs/>
          <w:sz w:val="24"/>
          <w:szCs w:val="24"/>
        </w:rPr>
        <w:t>年</w:t>
      </w:r>
      <w:r w:rsidRPr="00191A44">
        <w:rPr>
          <w:rFonts w:eastAsiaTheme="minorEastAsia"/>
          <w:b/>
          <w:bCs/>
          <w:sz w:val="24"/>
          <w:szCs w:val="24"/>
        </w:rPr>
        <w:t>11</w:t>
      </w:r>
      <w:r w:rsidRPr="00191A44">
        <w:rPr>
          <w:rFonts w:eastAsiaTheme="minorEastAsia"/>
          <w:b/>
          <w:bCs/>
          <w:sz w:val="24"/>
          <w:szCs w:val="24"/>
        </w:rPr>
        <w:t>月</w:t>
      </w:r>
      <w:r w:rsidRPr="00191A44">
        <w:rPr>
          <w:rFonts w:eastAsiaTheme="minorEastAsia"/>
          <w:b/>
          <w:bCs/>
          <w:sz w:val="24"/>
          <w:szCs w:val="24"/>
        </w:rPr>
        <w:t>7</w:t>
      </w:r>
      <w:r w:rsidRPr="00191A44">
        <w:rPr>
          <w:rFonts w:eastAsiaTheme="minorEastAsia"/>
          <w:b/>
          <w:bCs/>
          <w:sz w:val="24"/>
          <w:szCs w:val="24"/>
        </w:rPr>
        <w:t>日</w:t>
      </w:r>
    </w:p>
    <w:p w:rsidR="001A5D9A" w:rsidRDefault="001A5D9A">
      <w:pPr>
        <w:spacing w:line="560" w:lineRule="exact"/>
        <w:rPr>
          <w:rFonts w:asciiTheme="minorEastAsia" w:eastAsiaTheme="minorEastAsia" w:hAnsiTheme="minorEastAsia"/>
          <w:color w:val="000000"/>
          <w:sz w:val="24"/>
          <w:szCs w:val="24"/>
        </w:rPr>
      </w:pPr>
    </w:p>
    <w:p w:rsidR="001A5D9A" w:rsidRPr="00191A44" w:rsidRDefault="002C0F69">
      <w:pPr>
        <w:pStyle w:val="2"/>
        <w:spacing w:line="360" w:lineRule="auto"/>
        <w:rPr>
          <w:rFonts w:ascii="Times New Roman" w:eastAsiaTheme="minorEastAsia" w:hAnsi="Times New Roman"/>
          <w:bCs w:val="0"/>
          <w:color w:val="000000"/>
          <w:sz w:val="24"/>
          <w:szCs w:val="24"/>
        </w:rPr>
      </w:pPr>
      <w:bookmarkStart w:id="1" w:name="_Toc275961391"/>
      <w:r w:rsidRPr="00191A44">
        <w:rPr>
          <w:rFonts w:ascii="Times New Roman" w:eastAsiaTheme="minorEastAsia" w:hAnsi="Times New Roman"/>
          <w:bCs w:val="0"/>
          <w:color w:val="000000"/>
          <w:sz w:val="24"/>
          <w:szCs w:val="24"/>
        </w:rPr>
        <w:t xml:space="preserve">1 </w:t>
      </w:r>
      <w:r w:rsidRPr="00191A44">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
        <w:gridCol w:w="3207"/>
        <w:gridCol w:w="3213"/>
      </w:tblGrid>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华夏上证</w:t>
            </w:r>
            <w:r w:rsidRPr="00176AEA">
              <w:rPr>
                <w:rFonts w:eastAsia="宋体"/>
                <w:sz w:val="21"/>
                <w:szCs w:val="21"/>
              </w:rPr>
              <w:t>180</w:t>
            </w:r>
            <w:r w:rsidRPr="00176AEA">
              <w:rPr>
                <w:rFonts w:eastAsia="宋体"/>
                <w:sz w:val="21"/>
                <w:szCs w:val="21"/>
              </w:rPr>
              <w:t>交易型开放式指数证券投资基金联接基金</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基金简称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华夏上证</w:t>
            </w:r>
            <w:r w:rsidRPr="00176AEA">
              <w:rPr>
                <w:rFonts w:eastAsia="宋体"/>
                <w:sz w:val="21"/>
                <w:szCs w:val="21"/>
              </w:rPr>
              <w:t>180ETF</w:t>
            </w:r>
            <w:r w:rsidRPr="00176AEA">
              <w:rPr>
                <w:rFonts w:eastAsia="宋体"/>
                <w:sz w:val="21"/>
                <w:szCs w:val="21"/>
              </w:rPr>
              <w:t>联接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基金主代码</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025478</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基金运作方式</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契约型开放式</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基金合同生效日</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11</w:t>
            </w:r>
            <w:r w:rsidRPr="00176AEA">
              <w:rPr>
                <w:rFonts w:eastAsia="宋体"/>
                <w:sz w:val="21"/>
                <w:szCs w:val="21"/>
              </w:rPr>
              <w:t>月</w:t>
            </w:r>
            <w:r w:rsidRPr="00176AEA">
              <w:rPr>
                <w:rFonts w:eastAsia="宋体"/>
                <w:sz w:val="21"/>
                <w:szCs w:val="21"/>
              </w:rPr>
              <w:t>6</w:t>
            </w:r>
            <w:r w:rsidRPr="00176AEA">
              <w:rPr>
                <w:rFonts w:eastAsia="宋体"/>
                <w:sz w:val="21"/>
                <w:szCs w:val="21"/>
              </w:rPr>
              <w:t>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基金管理人名称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华夏基金管理有限公司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基金托管人名称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中国银行股份有限公司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公告依据</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《中华人民共和国证券投资基金法》《公开募集证券投资基金信息披露管理办法》《公开募集证券投资基金运作管理办法》《华夏上证</w:t>
            </w:r>
            <w:r w:rsidRPr="00176AEA">
              <w:rPr>
                <w:rFonts w:eastAsia="宋体"/>
                <w:sz w:val="21"/>
                <w:szCs w:val="21"/>
              </w:rPr>
              <w:t>180</w:t>
            </w:r>
            <w:r w:rsidRPr="00176AEA">
              <w:rPr>
                <w:rFonts w:eastAsia="宋体"/>
                <w:sz w:val="21"/>
                <w:szCs w:val="21"/>
              </w:rPr>
              <w:t>交易型开放式指数证券投资基金联接基金基金合同》《华夏上证</w:t>
            </w:r>
            <w:r w:rsidRPr="00176AEA">
              <w:rPr>
                <w:rFonts w:eastAsia="宋体"/>
                <w:sz w:val="21"/>
                <w:szCs w:val="21"/>
              </w:rPr>
              <w:t>180</w:t>
            </w:r>
            <w:r w:rsidRPr="00176AEA">
              <w:rPr>
                <w:rFonts w:eastAsia="宋体"/>
                <w:sz w:val="21"/>
                <w:szCs w:val="21"/>
              </w:rPr>
              <w:t>交易型开放式指数证券投资基金联接基金招募说明书》</w:t>
            </w:r>
          </w:p>
        </w:tc>
      </w:tr>
      <w:tr w:rsidR="001A5D9A">
        <w:trPr>
          <w:trHeight w:val="386"/>
          <w:jc w:val="center"/>
        </w:trPr>
        <w:tc>
          <w:tcPr>
            <w:tcW w:w="3213" w:type="dxa"/>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的基金简称</w:t>
            </w:r>
          </w:p>
        </w:tc>
        <w:tc>
          <w:tcPr>
            <w:tcW w:w="3213" w:type="dxa"/>
            <w:gridSpan w:val="2"/>
            <w:vAlign w:val="center"/>
          </w:tcPr>
          <w:p w:rsidR="001A5D9A" w:rsidRPr="00176AEA" w:rsidRDefault="002C0F69">
            <w:pPr>
              <w:rPr>
                <w:rFonts w:eastAsia="宋体"/>
                <w:sz w:val="21"/>
                <w:szCs w:val="21"/>
              </w:rPr>
            </w:pPr>
            <w:r w:rsidRPr="00176AEA">
              <w:rPr>
                <w:rFonts w:eastAsia="宋体"/>
                <w:sz w:val="21"/>
                <w:szCs w:val="21"/>
              </w:rPr>
              <w:t>华夏上证</w:t>
            </w:r>
            <w:r w:rsidRPr="00176AEA">
              <w:rPr>
                <w:rFonts w:eastAsia="宋体"/>
                <w:sz w:val="21"/>
                <w:szCs w:val="21"/>
              </w:rPr>
              <w:t>180ETF</w:t>
            </w:r>
            <w:r w:rsidRPr="00176AEA">
              <w:rPr>
                <w:rFonts w:eastAsia="宋体"/>
                <w:sz w:val="21"/>
                <w:szCs w:val="21"/>
              </w:rPr>
              <w:t>联接</w:t>
            </w:r>
            <w:r w:rsidRPr="00176AEA">
              <w:rPr>
                <w:rFonts w:eastAsia="宋体"/>
                <w:sz w:val="21"/>
                <w:szCs w:val="21"/>
              </w:rPr>
              <w:t>A</w:t>
            </w:r>
          </w:p>
        </w:tc>
        <w:tc>
          <w:tcPr>
            <w:tcW w:w="3213" w:type="dxa"/>
            <w:vAlign w:val="center"/>
          </w:tcPr>
          <w:p w:rsidR="001A5D9A" w:rsidRPr="00176AEA" w:rsidRDefault="002C0F69">
            <w:pPr>
              <w:rPr>
                <w:rFonts w:eastAsia="宋体"/>
                <w:sz w:val="21"/>
                <w:szCs w:val="21"/>
              </w:rPr>
            </w:pPr>
            <w:r w:rsidRPr="00176AEA">
              <w:rPr>
                <w:rFonts w:eastAsia="宋体"/>
                <w:sz w:val="21"/>
                <w:szCs w:val="21"/>
              </w:rPr>
              <w:t>华夏上证</w:t>
            </w:r>
            <w:r w:rsidRPr="00176AEA">
              <w:rPr>
                <w:rFonts w:eastAsia="宋体"/>
                <w:sz w:val="21"/>
                <w:szCs w:val="21"/>
              </w:rPr>
              <w:t>180ETF</w:t>
            </w:r>
            <w:r w:rsidRPr="00176AEA">
              <w:rPr>
                <w:rFonts w:eastAsia="宋体"/>
                <w:sz w:val="21"/>
                <w:szCs w:val="21"/>
              </w:rPr>
              <w:t>联接</w:t>
            </w:r>
            <w:r w:rsidRPr="00176AEA">
              <w:rPr>
                <w:rFonts w:eastAsia="宋体"/>
                <w:sz w:val="21"/>
                <w:szCs w:val="21"/>
              </w:rPr>
              <w:t>C</w:t>
            </w:r>
          </w:p>
        </w:tc>
      </w:tr>
      <w:tr w:rsidR="001A5D9A">
        <w:trPr>
          <w:trHeight w:val="386"/>
          <w:jc w:val="center"/>
        </w:trPr>
        <w:tc>
          <w:tcPr>
            <w:tcW w:w="3213" w:type="dxa"/>
            <w:vAlign w:val="center"/>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的交易代码</w:t>
            </w:r>
          </w:p>
        </w:tc>
        <w:tc>
          <w:tcPr>
            <w:tcW w:w="3213" w:type="dxa"/>
            <w:gridSpan w:val="2"/>
            <w:vAlign w:val="center"/>
          </w:tcPr>
          <w:p w:rsidR="001A5D9A" w:rsidRPr="00176AEA" w:rsidRDefault="002C0F69">
            <w:pPr>
              <w:rPr>
                <w:rFonts w:eastAsia="宋体"/>
                <w:color w:val="000000"/>
                <w:kern w:val="0"/>
                <w:sz w:val="21"/>
                <w:szCs w:val="21"/>
              </w:rPr>
            </w:pPr>
            <w:r w:rsidRPr="00176AEA">
              <w:rPr>
                <w:rFonts w:eastAsia="宋体"/>
                <w:sz w:val="21"/>
                <w:szCs w:val="21"/>
              </w:rPr>
              <w:t>025478</w:t>
            </w:r>
          </w:p>
        </w:tc>
        <w:tc>
          <w:tcPr>
            <w:tcW w:w="3213" w:type="dxa"/>
            <w:vAlign w:val="center"/>
          </w:tcPr>
          <w:p w:rsidR="001A5D9A" w:rsidRPr="00176AEA" w:rsidRDefault="002C0F69">
            <w:pPr>
              <w:rPr>
                <w:rFonts w:eastAsia="宋体"/>
                <w:color w:val="000000"/>
                <w:kern w:val="0"/>
                <w:sz w:val="21"/>
                <w:szCs w:val="21"/>
              </w:rPr>
            </w:pPr>
            <w:r w:rsidRPr="00176AEA">
              <w:rPr>
                <w:rFonts w:eastAsia="宋体"/>
                <w:sz w:val="21"/>
                <w:szCs w:val="21"/>
              </w:rPr>
              <w:t>025479</w:t>
            </w:r>
          </w:p>
        </w:tc>
      </w:tr>
    </w:tbl>
    <w:p w:rsidR="001A5D9A" w:rsidRPr="00191A44" w:rsidRDefault="002C0F69">
      <w:pPr>
        <w:pStyle w:val="2"/>
        <w:spacing w:line="360" w:lineRule="auto"/>
        <w:rPr>
          <w:rFonts w:ascii="Times New Roman" w:eastAsiaTheme="minorEastAsia" w:hAnsi="Times New Roman"/>
          <w:bCs w:val="0"/>
          <w:color w:val="000000"/>
          <w:sz w:val="24"/>
          <w:szCs w:val="24"/>
        </w:rPr>
      </w:pPr>
      <w:bookmarkStart w:id="2" w:name="_Toc275961392"/>
      <w:r w:rsidRPr="00191A44">
        <w:rPr>
          <w:rFonts w:ascii="Times New Roman" w:eastAsiaTheme="minorEastAsia" w:hAnsi="Times New Roman"/>
          <w:bCs w:val="0"/>
          <w:color w:val="000000"/>
          <w:sz w:val="24"/>
          <w:szCs w:val="24"/>
        </w:rPr>
        <w:t xml:space="preserve">2 </w:t>
      </w:r>
      <w:r w:rsidRPr="00191A44">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1859"/>
        <w:gridCol w:w="1997"/>
        <w:gridCol w:w="1972"/>
        <w:gridCol w:w="1884"/>
      </w:tblGrid>
      <w:tr w:rsidR="001A5D9A">
        <w:trPr>
          <w:trHeight w:val="386"/>
          <w:jc w:val="center"/>
        </w:trPr>
        <w:tc>
          <w:tcPr>
            <w:tcW w:w="3786" w:type="dxa"/>
            <w:gridSpan w:val="2"/>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基金募集申请获中国证监会</w:t>
            </w:r>
            <w:r w:rsidR="007A255D">
              <w:rPr>
                <w:rFonts w:ascii="宋体" w:eastAsia="宋体" w:hAnsi="宋体" w:cs="宋体" w:hint="eastAsia"/>
                <w:color w:val="000000"/>
                <w:sz w:val="21"/>
                <w:szCs w:val="21"/>
              </w:rPr>
              <w:t>准予注册</w:t>
            </w:r>
            <w:r>
              <w:rPr>
                <w:rFonts w:ascii="宋体" w:eastAsia="宋体" w:hAnsi="宋体" w:cs="宋体" w:hint="eastAsia"/>
                <w:color w:val="000000"/>
                <w:sz w:val="21"/>
                <w:szCs w:val="21"/>
              </w:rPr>
              <w:t>的文号</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证监许可〔</w:t>
            </w:r>
            <w:r w:rsidRPr="00176AEA">
              <w:rPr>
                <w:rFonts w:eastAsia="宋体"/>
                <w:sz w:val="21"/>
                <w:szCs w:val="21"/>
              </w:rPr>
              <w:t>2025</w:t>
            </w:r>
            <w:r w:rsidRPr="00176AEA">
              <w:rPr>
                <w:rFonts w:eastAsia="宋体"/>
                <w:sz w:val="21"/>
                <w:szCs w:val="21"/>
              </w:rPr>
              <w:t>〕</w:t>
            </w:r>
            <w:r w:rsidRPr="00176AEA">
              <w:rPr>
                <w:rFonts w:eastAsia="宋体"/>
                <w:sz w:val="21"/>
                <w:szCs w:val="21"/>
              </w:rPr>
              <w:t>1589</w:t>
            </w:r>
            <w:r w:rsidRPr="00176AEA">
              <w:rPr>
                <w:rFonts w:eastAsia="宋体"/>
                <w:sz w:val="21"/>
                <w:szCs w:val="21"/>
              </w:rPr>
              <w:t>号文</w:t>
            </w:r>
          </w:p>
        </w:tc>
      </w:tr>
      <w:tr w:rsidR="001A5D9A">
        <w:trPr>
          <w:trHeight w:val="1037"/>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基金募集期间</w:t>
            </w:r>
          </w:p>
        </w:tc>
        <w:tc>
          <w:tcPr>
            <w:tcW w:w="5853" w:type="dxa"/>
            <w:gridSpan w:val="3"/>
            <w:vAlign w:val="center"/>
          </w:tcPr>
          <w:p w:rsidR="001A5D9A" w:rsidRPr="00176AEA" w:rsidRDefault="002C0F69" w:rsidP="005431DA">
            <w:pPr>
              <w:rPr>
                <w:rFonts w:eastAsia="宋体"/>
                <w:color w:val="000000"/>
                <w:kern w:val="0"/>
                <w:sz w:val="21"/>
                <w:szCs w:val="21"/>
              </w:rPr>
            </w:pPr>
            <w:r w:rsidRPr="00176AEA">
              <w:rPr>
                <w:rFonts w:eastAsia="宋体"/>
                <w:color w:val="000000"/>
                <w:kern w:val="0"/>
                <w:sz w:val="21"/>
                <w:szCs w:val="21"/>
              </w:rPr>
              <w:t>自</w:t>
            </w:r>
            <w:r w:rsidRPr="00176AEA">
              <w:rPr>
                <w:rFonts w:eastAsia="宋体"/>
                <w:sz w:val="21"/>
                <w:szCs w:val="21"/>
              </w:rPr>
              <w:t>2025</w:t>
            </w:r>
            <w:r w:rsidRPr="00176AEA">
              <w:rPr>
                <w:rFonts w:eastAsia="宋体"/>
                <w:sz w:val="21"/>
                <w:szCs w:val="21"/>
              </w:rPr>
              <w:t>年</w:t>
            </w:r>
            <w:r w:rsidRPr="00176AEA">
              <w:rPr>
                <w:rFonts w:eastAsia="宋体"/>
                <w:sz w:val="21"/>
                <w:szCs w:val="21"/>
              </w:rPr>
              <w:t>10</w:t>
            </w:r>
            <w:r w:rsidRPr="00176AEA">
              <w:rPr>
                <w:rFonts w:eastAsia="宋体"/>
                <w:sz w:val="21"/>
                <w:szCs w:val="21"/>
              </w:rPr>
              <w:t>月</w:t>
            </w:r>
            <w:r w:rsidRPr="00176AEA">
              <w:rPr>
                <w:rFonts w:eastAsia="宋体"/>
                <w:sz w:val="21"/>
                <w:szCs w:val="21"/>
              </w:rPr>
              <w:t>15</w:t>
            </w:r>
            <w:r w:rsidRPr="00176AEA">
              <w:rPr>
                <w:rFonts w:eastAsia="宋体"/>
                <w:sz w:val="21"/>
                <w:szCs w:val="21"/>
              </w:rPr>
              <w:t>日</w:t>
            </w:r>
            <w:r w:rsidR="00F65CD0" w:rsidRPr="00176AEA">
              <w:rPr>
                <w:rFonts w:eastAsia="宋体"/>
                <w:sz w:val="21"/>
                <w:szCs w:val="21"/>
              </w:rPr>
              <w:t>起</w:t>
            </w:r>
            <w:r w:rsidRPr="00176AEA">
              <w:rPr>
                <w:rFonts w:eastAsia="宋体"/>
                <w:color w:val="000000"/>
                <w:kern w:val="0"/>
                <w:sz w:val="21"/>
                <w:szCs w:val="21"/>
              </w:rPr>
              <w:t>至</w:t>
            </w:r>
            <w:r w:rsidRPr="00176AEA">
              <w:rPr>
                <w:rFonts w:eastAsia="宋体"/>
                <w:sz w:val="21"/>
                <w:szCs w:val="21"/>
              </w:rPr>
              <w:t>2025</w:t>
            </w:r>
            <w:r w:rsidRPr="00176AEA">
              <w:rPr>
                <w:rFonts w:eastAsia="宋体"/>
                <w:sz w:val="21"/>
                <w:szCs w:val="21"/>
              </w:rPr>
              <w:t>年</w:t>
            </w:r>
            <w:r w:rsidRPr="00176AEA">
              <w:rPr>
                <w:rFonts w:eastAsia="宋体"/>
                <w:sz w:val="21"/>
                <w:szCs w:val="21"/>
              </w:rPr>
              <w:t>11</w:t>
            </w:r>
            <w:r w:rsidRPr="00176AEA">
              <w:rPr>
                <w:rFonts w:eastAsia="宋体"/>
                <w:sz w:val="21"/>
                <w:szCs w:val="21"/>
              </w:rPr>
              <w:t>月</w:t>
            </w:r>
            <w:r w:rsidRPr="00176AEA">
              <w:rPr>
                <w:rFonts w:eastAsia="宋体"/>
                <w:sz w:val="21"/>
                <w:szCs w:val="21"/>
              </w:rPr>
              <w:t>4</w:t>
            </w:r>
            <w:r w:rsidRPr="00176AEA">
              <w:rPr>
                <w:rFonts w:eastAsia="宋体"/>
                <w:sz w:val="21"/>
                <w:szCs w:val="21"/>
              </w:rPr>
              <w:t>日止</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验资机构名称</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安永华明会计师事务所（特殊普通合伙）</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募集资金划入基金托管专户的日期</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11</w:t>
            </w:r>
            <w:r w:rsidRPr="00176AEA">
              <w:rPr>
                <w:rFonts w:eastAsia="宋体"/>
                <w:sz w:val="21"/>
                <w:szCs w:val="21"/>
              </w:rPr>
              <w:t>月</w:t>
            </w:r>
            <w:r w:rsidRPr="00176AEA">
              <w:rPr>
                <w:rFonts w:eastAsia="宋体"/>
                <w:sz w:val="21"/>
                <w:szCs w:val="21"/>
              </w:rPr>
              <w:t>6</w:t>
            </w:r>
            <w:r w:rsidRPr="00176AEA">
              <w:rPr>
                <w:rFonts w:eastAsia="宋体"/>
                <w:sz w:val="21"/>
                <w:szCs w:val="21"/>
              </w:rPr>
              <w:t>日</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募集有效认购总户数（单位：</w:t>
            </w:r>
            <w:r w:rsidR="00AF2A1D">
              <w:rPr>
                <w:rFonts w:ascii="宋体" w:eastAsia="宋体" w:hAnsi="宋体" w:cs="宋体" w:hint="eastAsia"/>
                <w:color w:val="000000"/>
                <w:kern w:val="0"/>
                <w:sz w:val="21"/>
                <w:szCs w:val="21"/>
              </w:rPr>
              <w:t>户</w:t>
            </w:r>
            <w:r>
              <w:rPr>
                <w:rFonts w:ascii="宋体" w:eastAsia="宋体" w:hAnsi="宋体" w:cs="宋体" w:hint="eastAsia"/>
                <w:color w:val="000000"/>
                <w:sz w:val="21"/>
                <w:szCs w:val="21"/>
              </w:rPr>
              <w:t>）</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6,090</w:t>
            </w:r>
          </w:p>
        </w:tc>
      </w:tr>
      <w:tr w:rsidR="001A5D9A">
        <w:trPr>
          <w:trHeight w:val="386"/>
          <w:jc w:val="center"/>
        </w:trPr>
        <w:tc>
          <w:tcPr>
            <w:tcW w:w="3786" w:type="dxa"/>
            <w:gridSpan w:val="2"/>
            <w:vAlign w:val="center"/>
          </w:tcPr>
          <w:p w:rsidR="001A5D9A" w:rsidRDefault="00F65CD0">
            <w:pPr>
              <w:rPr>
                <w:rFonts w:ascii="宋体" w:eastAsia="宋体" w:hAnsi="宋体" w:cs="宋体"/>
                <w:color w:val="000000"/>
                <w:sz w:val="21"/>
                <w:szCs w:val="21"/>
              </w:rPr>
            </w:pPr>
            <w:r>
              <w:rPr>
                <w:rFonts w:ascii="宋体" w:eastAsia="宋体" w:hAnsi="宋体" w:cs="宋体" w:hint="eastAsia"/>
                <w:color w:val="000000"/>
                <w:sz w:val="21"/>
                <w:szCs w:val="21"/>
              </w:rPr>
              <w:t>份额类别</w:t>
            </w:r>
          </w:p>
        </w:tc>
        <w:tc>
          <w:tcPr>
            <w:tcW w:w="1997" w:type="dxa"/>
            <w:vAlign w:val="center"/>
          </w:tcPr>
          <w:p w:rsidR="001A5D9A" w:rsidRPr="00176AEA" w:rsidRDefault="002C0F69" w:rsidP="00915CEB">
            <w:pPr>
              <w:jc w:val="center"/>
              <w:rPr>
                <w:rFonts w:eastAsia="宋体"/>
                <w:sz w:val="21"/>
                <w:szCs w:val="21"/>
              </w:rPr>
            </w:pPr>
            <w:r w:rsidRPr="00176AEA">
              <w:rPr>
                <w:rFonts w:eastAsia="宋体"/>
                <w:sz w:val="21"/>
                <w:szCs w:val="21"/>
              </w:rPr>
              <w:t>华夏上证</w:t>
            </w:r>
            <w:r w:rsidRPr="00176AEA">
              <w:rPr>
                <w:rFonts w:eastAsia="宋体"/>
                <w:sz w:val="21"/>
                <w:szCs w:val="21"/>
              </w:rPr>
              <w:t>180ETF</w:t>
            </w:r>
            <w:r w:rsidRPr="00176AEA">
              <w:rPr>
                <w:rFonts w:eastAsia="宋体"/>
                <w:sz w:val="21"/>
                <w:szCs w:val="21"/>
              </w:rPr>
              <w:t>联接</w:t>
            </w:r>
            <w:r w:rsidRPr="00176AEA">
              <w:rPr>
                <w:rFonts w:eastAsia="宋体"/>
                <w:sz w:val="21"/>
                <w:szCs w:val="21"/>
              </w:rPr>
              <w:t>A</w:t>
            </w:r>
          </w:p>
        </w:tc>
        <w:tc>
          <w:tcPr>
            <w:tcW w:w="1972" w:type="dxa"/>
            <w:vAlign w:val="center"/>
          </w:tcPr>
          <w:p w:rsidR="001A5D9A" w:rsidRPr="00176AEA" w:rsidRDefault="002C0F69" w:rsidP="00915CEB">
            <w:pPr>
              <w:jc w:val="center"/>
              <w:rPr>
                <w:rFonts w:eastAsia="宋体"/>
                <w:color w:val="000000"/>
                <w:kern w:val="0"/>
                <w:sz w:val="21"/>
                <w:szCs w:val="21"/>
              </w:rPr>
            </w:pPr>
            <w:r w:rsidRPr="00176AEA">
              <w:rPr>
                <w:rFonts w:eastAsia="宋体"/>
                <w:sz w:val="21"/>
                <w:szCs w:val="21"/>
              </w:rPr>
              <w:t>华夏上证</w:t>
            </w:r>
            <w:r w:rsidRPr="00176AEA">
              <w:rPr>
                <w:rFonts w:eastAsia="宋体"/>
                <w:sz w:val="21"/>
                <w:szCs w:val="21"/>
              </w:rPr>
              <w:t>180ETF</w:t>
            </w:r>
            <w:r w:rsidRPr="00176AEA">
              <w:rPr>
                <w:rFonts w:eastAsia="宋体"/>
                <w:sz w:val="21"/>
                <w:szCs w:val="21"/>
              </w:rPr>
              <w:t>联接</w:t>
            </w:r>
            <w:r w:rsidRPr="00176AEA">
              <w:rPr>
                <w:rFonts w:eastAsia="宋体"/>
                <w:sz w:val="21"/>
                <w:szCs w:val="21"/>
              </w:rPr>
              <w:t>C</w:t>
            </w:r>
          </w:p>
        </w:tc>
        <w:tc>
          <w:tcPr>
            <w:tcW w:w="1884" w:type="dxa"/>
            <w:vAlign w:val="center"/>
          </w:tcPr>
          <w:p w:rsidR="001A5D9A" w:rsidRPr="00176AEA" w:rsidRDefault="002C0F69" w:rsidP="00915CEB">
            <w:pPr>
              <w:jc w:val="center"/>
              <w:rPr>
                <w:rFonts w:eastAsia="宋体"/>
                <w:color w:val="000000"/>
                <w:kern w:val="0"/>
                <w:sz w:val="21"/>
                <w:szCs w:val="21"/>
              </w:rPr>
            </w:pPr>
            <w:r w:rsidRPr="00176AEA">
              <w:rPr>
                <w:rFonts w:eastAsia="宋体"/>
                <w:color w:val="000000"/>
                <w:kern w:val="0"/>
                <w:sz w:val="21"/>
                <w:szCs w:val="21"/>
              </w:rPr>
              <w:t>合计</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募集期间净认购金额（单位：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388,297,229.62</w:t>
            </w:r>
          </w:p>
        </w:tc>
        <w:tc>
          <w:tcPr>
            <w:tcW w:w="1972"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178,858,062.62</w:t>
            </w:r>
          </w:p>
        </w:tc>
        <w:tc>
          <w:tcPr>
            <w:tcW w:w="1884"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567,155,292.24</w:t>
            </w:r>
          </w:p>
        </w:tc>
      </w:tr>
      <w:tr w:rsidR="001A5D9A">
        <w:trPr>
          <w:trHeight w:val="454"/>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认购资金在募集期间产生的利息（单位：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237,040.09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97,744.28</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334,784.37</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有效认购份额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388,297,229.62</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178,858,062.62</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567,155,292.24</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利息结转的份额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237,040.09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97,744.28</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334,784.37</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388,534,269.71</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178,955,806.90</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567,490,076.61</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lastRenderedPageBreak/>
              <w:t>其中：募集期间基金管理人运用固有资金认购本基金情况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其他需要说明的事项</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其中：募集期间基金管理人的从业人员认购本基金情况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15,105.50</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15,105.50</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0.01%</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0.00%</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募集期限届满基金是否符合法律法规规定的办理基金备案手续的条件</w:t>
            </w:r>
          </w:p>
        </w:tc>
        <w:tc>
          <w:tcPr>
            <w:tcW w:w="1884" w:type="dxa"/>
          </w:tcPr>
          <w:p w:rsidR="001A5D9A" w:rsidRPr="00176AEA" w:rsidRDefault="002C0F69">
            <w:pPr>
              <w:rPr>
                <w:rFonts w:eastAsia="宋体"/>
                <w:sz w:val="21"/>
                <w:szCs w:val="21"/>
              </w:rPr>
            </w:pPr>
            <w:r w:rsidRPr="00176AEA">
              <w:rPr>
                <w:rFonts w:eastAsia="宋体"/>
                <w:sz w:val="21"/>
                <w:szCs w:val="21"/>
              </w:rPr>
              <w:t>是</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向中国证监会办理基金备案手续获得书面确认的日期</w:t>
            </w:r>
          </w:p>
        </w:tc>
        <w:tc>
          <w:tcPr>
            <w:tcW w:w="1884" w:type="dxa"/>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11</w:t>
            </w:r>
            <w:r w:rsidRPr="00176AEA">
              <w:rPr>
                <w:rFonts w:eastAsia="宋体"/>
                <w:sz w:val="21"/>
                <w:szCs w:val="21"/>
              </w:rPr>
              <w:t>月</w:t>
            </w:r>
            <w:r w:rsidRPr="00176AEA">
              <w:rPr>
                <w:rFonts w:eastAsia="宋体"/>
                <w:sz w:val="21"/>
                <w:szCs w:val="21"/>
              </w:rPr>
              <w:t>6</w:t>
            </w:r>
            <w:r w:rsidRPr="00176AEA">
              <w:rPr>
                <w:rFonts w:eastAsia="宋体"/>
                <w:sz w:val="21"/>
                <w:szCs w:val="21"/>
              </w:rPr>
              <w:t>日</w:t>
            </w:r>
          </w:p>
        </w:tc>
      </w:tr>
    </w:tbl>
    <w:p w:rsidR="001C04C8" w:rsidRDefault="007C1646">
      <w:pPr>
        <w:spacing w:line="360" w:lineRule="auto"/>
        <w:rPr>
          <w:rFonts w:eastAsia="宋体"/>
          <w:kern w:val="0"/>
          <w:sz w:val="21"/>
          <w:szCs w:val="21"/>
        </w:rPr>
      </w:pPr>
      <w:r>
        <w:rPr>
          <w:rFonts w:eastAsia="宋体"/>
          <w:kern w:val="0"/>
          <w:sz w:val="21"/>
          <w:szCs w:val="21"/>
        </w:rPr>
        <w:t>注：</w:t>
      </w:r>
      <w:r>
        <w:rPr>
          <w:rFonts w:eastAsia="宋体"/>
          <w:kern w:val="0"/>
          <w:sz w:val="21"/>
          <w:szCs w:val="21"/>
        </w:rPr>
        <w:t>①</w:t>
      </w:r>
      <w:r>
        <w:rPr>
          <w:rFonts w:eastAsia="宋体"/>
          <w:kern w:val="0"/>
          <w:sz w:val="21"/>
          <w:szCs w:val="21"/>
        </w:rPr>
        <w:t>募集期间募集及利息结转的基金份额已全部计入投资者账户，归投资者所有。</w:t>
      </w:r>
    </w:p>
    <w:p w:rsidR="001C04C8" w:rsidRDefault="007C1646">
      <w:pPr>
        <w:spacing w:line="360" w:lineRule="auto"/>
        <w:rPr>
          <w:rFonts w:eastAsia="宋体"/>
          <w:kern w:val="0"/>
          <w:sz w:val="21"/>
          <w:szCs w:val="21"/>
        </w:rPr>
      </w:pPr>
      <w:r>
        <w:rPr>
          <w:rFonts w:eastAsia="宋体"/>
          <w:kern w:val="0"/>
          <w:sz w:val="21"/>
          <w:szCs w:val="21"/>
        </w:rPr>
        <w:t>②</w:t>
      </w:r>
      <w:r>
        <w:rPr>
          <w:rFonts w:eastAsia="宋体"/>
          <w:kern w:val="0"/>
          <w:sz w:val="21"/>
          <w:szCs w:val="21"/>
        </w:rPr>
        <w:t>基金募集期间的信息披露费、会计师费、律师费以及其他费用，不得从基金财产中列支。</w:t>
      </w:r>
    </w:p>
    <w:p w:rsidR="001C04C8" w:rsidRDefault="007C1646">
      <w:pPr>
        <w:spacing w:line="360" w:lineRule="auto"/>
        <w:rPr>
          <w:rFonts w:eastAsia="宋体"/>
          <w:kern w:val="0"/>
          <w:sz w:val="21"/>
          <w:szCs w:val="21"/>
        </w:rPr>
      </w:pPr>
      <w:r>
        <w:rPr>
          <w:rFonts w:eastAsia="宋体"/>
          <w:kern w:val="0"/>
          <w:sz w:val="21"/>
          <w:szCs w:val="21"/>
        </w:rPr>
        <w:t>③</w:t>
      </w:r>
      <w:r>
        <w:rPr>
          <w:rFonts w:eastAsia="宋体"/>
          <w:kern w:val="0"/>
          <w:sz w:val="21"/>
          <w:szCs w:val="21"/>
        </w:rPr>
        <w:t>本公司高级管理人员、基金投资和研究部门负责人认购本基金</w:t>
      </w:r>
      <w:r>
        <w:rPr>
          <w:rFonts w:eastAsia="宋体"/>
          <w:kern w:val="0"/>
          <w:sz w:val="21"/>
          <w:szCs w:val="21"/>
        </w:rPr>
        <w:t>A</w:t>
      </w:r>
      <w:r>
        <w:rPr>
          <w:rFonts w:eastAsia="宋体"/>
          <w:kern w:val="0"/>
          <w:sz w:val="21"/>
          <w:szCs w:val="21"/>
        </w:rPr>
        <w:t>类、</w:t>
      </w:r>
      <w:r>
        <w:rPr>
          <w:rFonts w:eastAsia="宋体"/>
          <w:kern w:val="0"/>
          <w:sz w:val="21"/>
          <w:szCs w:val="21"/>
        </w:rPr>
        <w:t>C</w:t>
      </w:r>
      <w:r>
        <w:rPr>
          <w:rFonts w:eastAsia="宋体"/>
          <w:kern w:val="0"/>
          <w:sz w:val="21"/>
          <w:szCs w:val="21"/>
        </w:rPr>
        <w:t>类基金份额总量的数量区间为</w:t>
      </w:r>
      <w:r>
        <w:rPr>
          <w:rFonts w:eastAsia="宋体"/>
          <w:kern w:val="0"/>
          <w:sz w:val="21"/>
          <w:szCs w:val="21"/>
        </w:rPr>
        <w:t>0</w:t>
      </w:r>
      <w:r>
        <w:rPr>
          <w:rFonts w:eastAsia="宋体"/>
          <w:kern w:val="0"/>
          <w:sz w:val="21"/>
          <w:szCs w:val="21"/>
        </w:rPr>
        <w:t>。</w:t>
      </w:r>
    </w:p>
    <w:p w:rsidR="001A5D9A" w:rsidRPr="00176AEA" w:rsidRDefault="002C0F69" w:rsidP="009A4644">
      <w:pPr>
        <w:spacing w:line="360" w:lineRule="auto"/>
        <w:rPr>
          <w:rFonts w:eastAsia="宋体"/>
          <w:kern w:val="0"/>
          <w:sz w:val="21"/>
          <w:szCs w:val="21"/>
        </w:rPr>
      </w:pPr>
      <w:r w:rsidRPr="00176AEA">
        <w:rPr>
          <w:rFonts w:eastAsia="宋体"/>
          <w:kern w:val="0"/>
          <w:sz w:val="21"/>
          <w:szCs w:val="21"/>
        </w:rPr>
        <w:t>④</w:t>
      </w:r>
      <w:r w:rsidRPr="00176AEA">
        <w:rPr>
          <w:rFonts w:eastAsia="宋体"/>
          <w:kern w:val="0"/>
          <w:sz w:val="21"/>
          <w:szCs w:val="21"/>
        </w:rPr>
        <w:t>本基金的基金经理认购本基金</w:t>
      </w:r>
      <w:r w:rsidRPr="00176AEA">
        <w:rPr>
          <w:rFonts w:eastAsia="宋体"/>
          <w:kern w:val="0"/>
          <w:sz w:val="21"/>
          <w:szCs w:val="21"/>
        </w:rPr>
        <w:t>A</w:t>
      </w:r>
      <w:r w:rsidRPr="00176AEA">
        <w:rPr>
          <w:rFonts w:eastAsia="宋体"/>
          <w:kern w:val="0"/>
          <w:sz w:val="21"/>
          <w:szCs w:val="21"/>
        </w:rPr>
        <w:t>类、</w:t>
      </w:r>
      <w:r w:rsidRPr="00176AEA">
        <w:rPr>
          <w:rFonts w:eastAsia="宋体"/>
          <w:kern w:val="0"/>
          <w:sz w:val="21"/>
          <w:szCs w:val="21"/>
        </w:rPr>
        <w:t>C</w:t>
      </w:r>
      <w:r w:rsidRPr="00176AEA">
        <w:rPr>
          <w:rFonts w:eastAsia="宋体"/>
          <w:kern w:val="0"/>
          <w:sz w:val="21"/>
          <w:szCs w:val="21"/>
        </w:rPr>
        <w:t>类基金份额总量的数量区间为</w:t>
      </w:r>
      <w:r w:rsidRPr="00176AEA">
        <w:rPr>
          <w:rFonts w:eastAsia="宋体"/>
          <w:kern w:val="0"/>
          <w:sz w:val="21"/>
          <w:szCs w:val="21"/>
        </w:rPr>
        <w:t>0</w:t>
      </w:r>
      <w:r w:rsidRPr="00176AEA">
        <w:rPr>
          <w:rFonts w:eastAsia="宋体"/>
          <w:kern w:val="0"/>
          <w:sz w:val="21"/>
          <w:szCs w:val="21"/>
        </w:rPr>
        <w:t>。</w:t>
      </w:r>
    </w:p>
    <w:p w:rsidR="001A5D9A" w:rsidRPr="00176AEA" w:rsidRDefault="002C0F69">
      <w:pPr>
        <w:pStyle w:val="2"/>
        <w:spacing w:line="360" w:lineRule="auto"/>
        <w:rPr>
          <w:rFonts w:ascii="Times New Roman" w:eastAsiaTheme="minorEastAsia" w:hAnsi="Times New Roman"/>
          <w:bCs w:val="0"/>
          <w:color w:val="000000"/>
          <w:sz w:val="24"/>
          <w:szCs w:val="24"/>
        </w:rPr>
      </w:pPr>
      <w:r w:rsidRPr="00176AEA">
        <w:rPr>
          <w:rFonts w:ascii="Times New Roman" w:eastAsiaTheme="minorEastAsia" w:hAnsi="Times New Roman"/>
          <w:bCs w:val="0"/>
          <w:color w:val="000000"/>
          <w:sz w:val="24"/>
          <w:szCs w:val="24"/>
        </w:rPr>
        <w:t xml:space="preserve">3 </w:t>
      </w:r>
      <w:r w:rsidRPr="00176AEA">
        <w:rPr>
          <w:rFonts w:ascii="Times New Roman" w:eastAsiaTheme="minorEastAsia" w:hAnsi="Times New Roman"/>
          <w:bCs w:val="0"/>
          <w:color w:val="000000"/>
          <w:sz w:val="24"/>
          <w:szCs w:val="24"/>
        </w:rPr>
        <w:t>其他需要提示的事项</w:t>
      </w:r>
    </w:p>
    <w:p w:rsidR="001C04C8" w:rsidRDefault="007C1646">
      <w:pPr>
        <w:widowControl/>
        <w:spacing w:line="360" w:lineRule="auto"/>
        <w:ind w:firstLineChars="200" w:firstLine="480"/>
        <w:rPr>
          <w:rFonts w:eastAsiaTheme="minorEastAsia"/>
          <w:kern w:val="0"/>
          <w:sz w:val="24"/>
          <w:szCs w:val="24"/>
        </w:rPr>
      </w:pPr>
      <w:r>
        <w:rPr>
          <w:rFonts w:eastAsiaTheme="minorEastAsia"/>
          <w:kern w:val="0"/>
          <w:sz w:val="24"/>
          <w:szCs w:val="24"/>
        </w:rPr>
        <w:t>投资人应通过其办理认购的销售网点查询其认购确认情况，具体业务办理请遵循各销售机构的相关规定。</w:t>
      </w:r>
    </w:p>
    <w:p w:rsidR="001C04C8" w:rsidRDefault="007C1646">
      <w:pPr>
        <w:widowControl/>
        <w:spacing w:line="360" w:lineRule="auto"/>
        <w:ind w:firstLineChars="200" w:firstLine="480"/>
        <w:rPr>
          <w:rFonts w:eastAsiaTheme="minorEastAsia"/>
          <w:kern w:val="0"/>
          <w:sz w:val="24"/>
          <w:szCs w:val="24"/>
        </w:rPr>
      </w:pPr>
      <w:r>
        <w:rPr>
          <w:rFonts w:eastAsiaTheme="minorEastAsia"/>
          <w:kern w:val="0"/>
          <w:sz w:val="24"/>
          <w:szCs w:val="24"/>
        </w:rPr>
        <w:t>特此公告</w:t>
      </w:r>
    </w:p>
    <w:p w:rsidR="001C04C8" w:rsidRDefault="007C1646" w:rsidP="007C1646">
      <w:pPr>
        <w:widowControl/>
        <w:spacing w:line="360" w:lineRule="auto"/>
        <w:ind w:firstLineChars="200" w:firstLine="480"/>
        <w:jc w:val="right"/>
        <w:rPr>
          <w:rFonts w:eastAsiaTheme="minorEastAsia"/>
          <w:kern w:val="0"/>
          <w:sz w:val="24"/>
          <w:szCs w:val="24"/>
        </w:rPr>
      </w:pPr>
      <w:r>
        <w:rPr>
          <w:rFonts w:eastAsiaTheme="minorEastAsia"/>
          <w:kern w:val="0"/>
          <w:sz w:val="24"/>
          <w:szCs w:val="24"/>
        </w:rPr>
        <w:t xml:space="preserve">                                           </w:t>
      </w:r>
      <w:r>
        <w:rPr>
          <w:rFonts w:eastAsiaTheme="minorEastAsia"/>
          <w:kern w:val="0"/>
          <w:sz w:val="24"/>
          <w:szCs w:val="24"/>
        </w:rPr>
        <w:t>华夏基金管理有限公司</w:t>
      </w:r>
    </w:p>
    <w:p w:rsidR="001A5D9A" w:rsidRPr="00176AEA" w:rsidRDefault="002C0F69" w:rsidP="007C1646">
      <w:pPr>
        <w:widowControl/>
        <w:spacing w:line="360" w:lineRule="auto"/>
        <w:ind w:firstLineChars="200" w:firstLine="480"/>
        <w:jc w:val="right"/>
        <w:rPr>
          <w:rFonts w:eastAsiaTheme="minorEastAsia"/>
          <w:kern w:val="0"/>
          <w:sz w:val="24"/>
          <w:szCs w:val="24"/>
        </w:rPr>
      </w:pPr>
      <w:r w:rsidRPr="00176AEA">
        <w:rPr>
          <w:rFonts w:eastAsiaTheme="minorEastAsia"/>
          <w:kern w:val="0"/>
          <w:sz w:val="24"/>
          <w:szCs w:val="24"/>
        </w:rPr>
        <w:t xml:space="preserve">                                         </w:t>
      </w:r>
      <w:r w:rsidRPr="00176AEA">
        <w:rPr>
          <w:rFonts w:eastAsiaTheme="minorEastAsia"/>
          <w:kern w:val="0"/>
          <w:sz w:val="24"/>
          <w:szCs w:val="24"/>
        </w:rPr>
        <w:t>二〇二五年十一月七日</w:t>
      </w:r>
    </w:p>
    <w:sectPr w:rsidR="001A5D9A" w:rsidRPr="00176AEA" w:rsidSect="00B423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B4" w:rsidRDefault="00E84EB4" w:rsidP="000527D8">
      <w:r>
        <w:separator/>
      </w:r>
    </w:p>
  </w:endnote>
  <w:endnote w:type="continuationSeparator" w:id="0">
    <w:p w:rsidR="00E84EB4" w:rsidRDefault="00E84EB4" w:rsidP="00052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13580"/>
      <w:docPartObj>
        <w:docPartGallery w:val="Page Numbers (Bottom of Page)"/>
        <w:docPartUnique/>
      </w:docPartObj>
    </w:sdtPr>
    <w:sdtContent>
      <w:p w:rsidR="00244924" w:rsidRDefault="00B42326">
        <w:pPr>
          <w:pStyle w:val="a4"/>
          <w:jc w:val="center"/>
        </w:pPr>
        <w:r>
          <w:fldChar w:fldCharType="begin"/>
        </w:r>
        <w:r w:rsidR="00244924">
          <w:instrText>PAGE   \* MERGEFORMAT</w:instrText>
        </w:r>
        <w:r>
          <w:fldChar w:fldCharType="separate"/>
        </w:r>
        <w:r w:rsidR="00217D07" w:rsidRPr="00217D07">
          <w:rPr>
            <w:noProof/>
            <w:lang w:val="zh-CN"/>
          </w:rPr>
          <w:t>1</w:t>
        </w:r>
        <w:r>
          <w:fldChar w:fldCharType="end"/>
        </w:r>
      </w:p>
    </w:sdtContent>
  </w:sdt>
  <w:p w:rsidR="00244924" w:rsidRDefault="00244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B4" w:rsidRDefault="00E84EB4" w:rsidP="000527D8">
      <w:r>
        <w:separator/>
      </w:r>
    </w:p>
  </w:footnote>
  <w:footnote w:type="continuationSeparator" w:id="0">
    <w:p w:rsidR="00E84EB4" w:rsidRDefault="00E84EB4" w:rsidP="00052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27DF0"/>
    <w:rsid w:val="000330C4"/>
    <w:rsid w:val="00035D00"/>
    <w:rsid w:val="00041353"/>
    <w:rsid w:val="000527D8"/>
    <w:rsid w:val="00070CF1"/>
    <w:rsid w:val="000E6F30"/>
    <w:rsid w:val="00102950"/>
    <w:rsid w:val="00131CAD"/>
    <w:rsid w:val="00176ACF"/>
    <w:rsid w:val="00176AEA"/>
    <w:rsid w:val="00191A44"/>
    <w:rsid w:val="001A0386"/>
    <w:rsid w:val="001A5D9A"/>
    <w:rsid w:val="001C04C8"/>
    <w:rsid w:val="001D1106"/>
    <w:rsid w:val="001E1459"/>
    <w:rsid w:val="001E44EF"/>
    <w:rsid w:val="00217D07"/>
    <w:rsid w:val="00221F2C"/>
    <w:rsid w:val="00244924"/>
    <w:rsid w:val="00246F51"/>
    <w:rsid w:val="002A2812"/>
    <w:rsid w:val="002B287A"/>
    <w:rsid w:val="002B4F0F"/>
    <w:rsid w:val="002C0F69"/>
    <w:rsid w:val="002C1686"/>
    <w:rsid w:val="003000C2"/>
    <w:rsid w:val="0030037A"/>
    <w:rsid w:val="00325601"/>
    <w:rsid w:val="003529EF"/>
    <w:rsid w:val="00387AE5"/>
    <w:rsid w:val="00390E48"/>
    <w:rsid w:val="003C0D0A"/>
    <w:rsid w:val="003C4D25"/>
    <w:rsid w:val="003D66F3"/>
    <w:rsid w:val="00435AAA"/>
    <w:rsid w:val="00435F5B"/>
    <w:rsid w:val="00457F15"/>
    <w:rsid w:val="00470D71"/>
    <w:rsid w:val="0049139B"/>
    <w:rsid w:val="004966BA"/>
    <w:rsid w:val="004A631B"/>
    <w:rsid w:val="004C055C"/>
    <w:rsid w:val="005039A5"/>
    <w:rsid w:val="00520CE8"/>
    <w:rsid w:val="005431DA"/>
    <w:rsid w:val="005434E3"/>
    <w:rsid w:val="00553FA4"/>
    <w:rsid w:val="00585268"/>
    <w:rsid w:val="005A3291"/>
    <w:rsid w:val="005B66AC"/>
    <w:rsid w:val="005C0B8D"/>
    <w:rsid w:val="005C1B44"/>
    <w:rsid w:val="005D340C"/>
    <w:rsid w:val="005D5CAA"/>
    <w:rsid w:val="005D6260"/>
    <w:rsid w:val="005E0049"/>
    <w:rsid w:val="00613952"/>
    <w:rsid w:val="00615513"/>
    <w:rsid w:val="00623C2A"/>
    <w:rsid w:val="006632DE"/>
    <w:rsid w:val="006D67CD"/>
    <w:rsid w:val="00717E45"/>
    <w:rsid w:val="00786DD6"/>
    <w:rsid w:val="007A255D"/>
    <w:rsid w:val="007A6461"/>
    <w:rsid w:val="007C1646"/>
    <w:rsid w:val="007C24C0"/>
    <w:rsid w:val="007F4376"/>
    <w:rsid w:val="00802100"/>
    <w:rsid w:val="008066EF"/>
    <w:rsid w:val="00832AD1"/>
    <w:rsid w:val="008551C9"/>
    <w:rsid w:val="00862A6F"/>
    <w:rsid w:val="00865588"/>
    <w:rsid w:val="008C6FD7"/>
    <w:rsid w:val="008D1678"/>
    <w:rsid w:val="00904108"/>
    <w:rsid w:val="00915CEB"/>
    <w:rsid w:val="00936738"/>
    <w:rsid w:val="009371A9"/>
    <w:rsid w:val="00944CBC"/>
    <w:rsid w:val="009A4644"/>
    <w:rsid w:val="009B671D"/>
    <w:rsid w:val="009E77B3"/>
    <w:rsid w:val="009F0A11"/>
    <w:rsid w:val="009F1CAB"/>
    <w:rsid w:val="009F4198"/>
    <w:rsid w:val="00A018BC"/>
    <w:rsid w:val="00A307CC"/>
    <w:rsid w:val="00A57EFE"/>
    <w:rsid w:val="00A73354"/>
    <w:rsid w:val="00A74AFB"/>
    <w:rsid w:val="00AA7946"/>
    <w:rsid w:val="00AC3E86"/>
    <w:rsid w:val="00AD7E7C"/>
    <w:rsid w:val="00AF2A1D"/>
    <w:rsid w:val="00B068C7"/>
    <w:rsid w:val="00B13198"/>
    <w:rsid w:val="00B2600F"/>
    <w:rsid w:val="00B42326"/>
    <w:rsid w:val="00B536F8"/>
    <w:rsid w:val="00B53A7A"/>
    <w:rsid w:val="00B561FF"/>
    <w:rsid w:val="00B7358F"/>
    <w:rsid w:val="00B90602"/>
    <w:rsid w:val="00B916FE"/>
    <w:rsid w:val="00BC2C33"/>
    <w:rsid w:val="00BD4E01"/>
    <w:rsid w:val="00C1325E"/>
    <w:rsid w:val="00C30E6A"/>
    <w:rsid w:val="00C3596B"/>
    <w:rsid w:val="00C35D35"/>
    <w:rsid w:val="00C40FE0"/>
    <w:rsid w:val="00C85D18"/>
    <w:rsid w:val="00C935DF"/>
    <w:rsid w:val="00CB0572"/>
    <w:rsid w:val="00CB3E1F"/>
    <w:rsid w:val="00CB583A"/>
    <w:rsid w:val="00D2289F"/>
    <w:rsid w:val="00D35283"/>
    <w:rsid w:val="00D921BA"/>
    <w:rsid w:val="00E17D5D"/>
    <w:rsid w:val="00E2069A"/>
    <w:rsid w:val="00E2122C"/>
    <w:rsid w:val="00E305B7"/>
    <w:rsid w:val="00E5324F"/>
    <w:rsid w:val="00E57275"/>
    <w:rsid w:val="00E84EB4"/>
    <w:rsid w:val="00EB06D4"/>
    <w:rsid w:val="00EC181E"/>
    <w:rsid w:val="00EE18FB"/>
    <w:rsid w:val="00EE3755"/>
    <w:rsid w:val="00EF40F5"/>
    <w:rsid w:val="00F32046"/>
    <w:rsid w:val="00F53B0A"/>
    <w:rsid w:val="00F65CD0"/>
    <w:rsid w:val="00F76A56"/>
    <w:rsid w:val="00F8661F"/>
    <w:rsid w:val="00F8684F"/>
    <w:rsid w:val="00FE4D0A"/>
    <w:rsid w:val="00FF2E75"/>
    <w:rsid w:val="0FB916D3"/>
    <w:rsid w:val="196A3565"/>
    <w:rsid w:val="1BA51F50"/>
    <w:rsid w:val="1D2612F1"/>
    <w:rsid w:val="26156A96"/>
    <w:rsid w:val="2CEF1962"/>
    <w:rsid w:val="33984E02"/>
    <w:rsid w:val="346A5484"/>
    <w:rsid w:val="35931545"/>
    <w:rsid w:val="46F25859"/>
    <w:rsid w:val="527B5298"/>
    <w:rsid w:val="630F09C4"/>
    <w:rsid w:val="69A330A1"/>
    <w:rsid w:val="6A0A75E1"/>
    <w:rsid w:val="6C8E6A54"/>
    <w:rsid w:val="70521B99"/>
    <w:rsid w:val="7D5435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326"/>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B4232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42326"/>
    <w:rPr>
      <w:rFonts w:ascii="宋体" w:eastAsia="宋体"/>
      <w:sz w:val="18"/>
      <w:szCs w:val="18"/>
    </w:rPr>
  </w:style>
  <w:style w:type="paragraph" w:styleId="a4">
    <w:name w:val="footer"/>
    <w:basedOn w:val="a"/>
    <w:link w:val="Char0"/>
    <w:uiPriority w:val="99"/>
    <w:unhideWhenUsed/>
    <w:qFormat/>
    <w:rsid w:val="00B423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42326"/>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B42326"/>
    <w:pPr>
      <w:snapToGrid w:val="0"/>
      <w:jc w:val="left"/>
    </w:pPr>
    <w:rPr>
      <w:rFonts w:eastAsia="宋体"/>
      <w:sz w:val="18"/>
    </w:rPr>
  </w:style>
  <w:style w:type="table" w:styleId="a7">
    <w:name w:val="Table Grid"/>
    <w:basedOn w:val="a1"/>
    <w:uiPriority w:val="59"/>
    <w:qFormat/>
    <w:rsid w:val="00B42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sid w:val="00B42326"/>
    <w:rPr>
      <w:vertAlign w:val="superscript"/>
    </w:rPr>
  </w:style>
  <w:style w:type="character" w:customStyle="1" w:styleId="2Char">
    <w:name w:val="标题 2 Char"/>
    <w:basedOn w:val="a0"/>
    <w:link w:val="2"/>
    <w:qFormat/>
    <w:rsid w:val="00B42326"/>
    <w:rPr>
      <w:rFonts w:ascii="Arial" w:eastAsia="黑体" w:hAnsi="Arial" w:cs="Times New Roman"/>
      <w:b/>
      <w:bCs/>
      <w:sz w:val="32"/>
      <w:szCs w:val="32"/>
    </w:rPr>
  </w:style>
  <w:style w:type="character" w:customStyle="1" w:styleId="Char2">
    <w:name w:val="脚注文本 Char"/>
    <w:basedOn w:val="a0"/>
    <w:link w:val="a6"/>
    <w:qFormat/>
    <w:rsid w:val="00B42326"/>
    <w:rPr>
      <w:rFonts w:ascii="Times New Roman" w:eastAsia="宋体" w:hAnsi="Times New Roman" w:cs="Times New Roman"/>
      <w:sz w:val="18"/>
      <w:szCs w:val="20"/>
    </w:rPr>
  </w:style>
  <w:style w:type="character" w:customStyle="1" w:styleId="Char1">
    <w:name w:val="页眉 Char"/>
    <w:basedOn w:val="a0"/>
    <w:link w:val="a5"/>
    <w:uiPriority w:val="99"/>
    <w:qFormat/>
    <w:rsid w:val="00B42326"/>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B42326"/>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B42326"/>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4</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32AA7D4FA4184074936775EEAC02EDD0</vt:lpwstr>
  </property>
</Properties>
</file>