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24" w:rsidRDefault="008B0E1D">
      <w:pPr>
        <w:pStyle w:val="biaogecenter"/>
        <w:rPr>
          <w:sz w:val="30"/>
          <w:szCs w:val="30"/>
        </w:rPr>
      </w:pPr>
      <w:r>
        <w:rPr>
          <w:rFonts w:hint="eastAsia"/>
          <w:b/>
          <w:bCs/>
          <w:sz w:val="30"/>
          <w:szCs w:val="30"/>
        </w:rPr>
        <w:t>长江乐盈定期开放债券型发起式证券投资基金分红公告</w:t>
      </w:r>
    </w:p>
    <w:p w:rsidR="00FE0924" w:rsidRDefault="00FE0924">
      <w:pPr>
        <w:pStyle w:val="biaogecenter"/>
      </w:pPr>
    </w:p>
    <w:p w:rsidR="00FE0924" w:rsidRDefault="008B0E1D">
      <w:pPr>
        <w:pStyle w:val="biaogecenter"/>
      </w:pPr>
      <w:r>
        <w:rPr>
          <w:rFonts w:hint="eastAsia"/>
        </w:rPr>
        <w:t>公告送出日期：</w:t>
      </w:r>
      <w:r>
        <w:rPr>
          <w:rFonts w:hint="eastAsia"/>
        </w:rPr>
        <w:t>202</w:t>
      </w:r>
      <w:r>
        <w:rPr>
          <w:rFonts w:hint="eastAsia"/>
        </w:rPr>
        <w:t>5</w:t>
      </w:r>
      <w:r>
        <w:rPr>
          <w:rFonts w:hint="eastAsia"/>
        </w:rPr>
        <w:t>年</w:t>
      </w:r>
      <w:r>
        <w:rPr>
          <w:rFonts w:hint="eastAsia"/>
        </w:rPr>
        <w:t>11</w:t>
      </w:r>
      <w:r>
        <w:rPr>
          <w:rFonts w:hint="eastAsia"/>
        </w:rPr>
        <w:t>月</w:t>
      </w:r>
      <w:r>
        <w:rPr>
          <w:rFonts w:hint="eastAsia"/>
        </w:rPr>
        <w:t>07</w:t>
      </w:r>
      <w:r>
        <w:rPr>
          <w:rFonts w:hint="eastAsia"/>
        </w:rPr>
        <w:t>日</w:t>
      </w:r>
    </w:p>
    <w:p w:rsidR="00FE0924" w:rsidRDefault="00FE0924">
      <w:pPr>
        <w:pStyle w:val="biaogecenter"/>
      </w:pPr>
    </w:p>
    <w:p w:rsidR="00FE0924" w:rsidRDefault="008B0E1D">
      <w:pPr>
        <w:pStyle w:val="dazhangjie"/>
      </w:pPr>
      <w:r>
        <w:rPr>
          <w:rFonts w:hAnsi="Calibri" w:hint="eastAsia"/>
          <w:b/>
          <w:color w:val="000000"/>
        </w:rPr>
        <w:t xml:space="preserve">1 </w:t>
      </w:r>
      <w:r>
        <w:rPr>
          <w:rFonts w:hAnsi="Calibri" w:hint="eastAsia"/>
          <w:b/>
          <w:color w:val="000000"/>
        </w:rPr>
        <w:t>公告基本信息</w:t>
      </w:r>
    </w:p>
    <w:tbl>
      <w:tblPr>
        <w:tblW w:w="0" w:type="auto"/>
        <w:jc w:val="center"/>
        <w:tblLayout w:type="fixed"/>
        <w:tblLook w:val="04A0"/>
      </w:tblPr>
      <w:tblGrid>
        <w:gridCol w:w="978"/>
        <w:gridCol w:w="2631"/>
        <w:gridCol w:w="5528"/>
      </w:tblGrid>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pPr>
            <w:r>
              <w:rPr>
                <w:rFonts w:hint="eastAsia"/>
              </w:rPr>
              <w:t>基金名称</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长江乐盈定期开放债券型发起式证券投资基金</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基金简称</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长江乐盈定开债</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基金主代码</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005158</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基金合同生效日</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2017</w:t>
            </w:r>
            <w:r>
              <w:rPr>
                <w:rFonts w:hint="eastAsia"/>
              </w:rPr>
              <w:t>年</w:t>
            </w:r>
            <w:r>
              <w:rPr>
                <w:rFonts w:hint="eastAsia"/>
              </w:rPr>
              <w:t>11</w:t>
            </w:r>
            <w:r>
              <w:rPr>
                <w:rFonts w:hint="eastAsia"/>
              </w:rPr>
              <w:t>月</w:t>
            </w:r>
            <w:r>
              <w:rPr>
                <w:rFonts w:hint="eastAsia"/>
              </w:rPr>
              <w:t>24</w:t>
            </w:r>
            <w:r>
              <w:rPr>
                <w:rFonts w:hint="eastAsia"/>
              </w:rPr>
              <w:t>日</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基金管理人名称</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长江证券（上海）资产管理有限公司</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基金托管人名称</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浙商银行股份有限公司</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公告依据</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公开募集证券投资基金运作管理办法》、《公开募集证券投资基金信息披露管理办法》等法律法规以及《长江乐盈定期开放债券型发起式证券投资基金基金合同》和《长江乐盈定期开放债券型发起式证券投资基金招募说明书》的有关规定。</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收益分配基准日</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202</w:t>
            </w:r>
            <w:r>
              <w:rPr>
                <w:rFonts w:hint="eastAsia"/>
              </w:rPr>
              <w:t>5</w:t>
            </w:r>
            <w:r>
              <w:rPr>
                <w:rFonts w:hint="eastAsia"/>
              </w:rPr>
              <w:t>年</w:t>
            </w:r>
            <w:r>
              <w:rPr>
                <w:rFonts w:hint="eastAsia"/>
              </w:rPr>
              <w:t>11</w:t>
            </w:r>
            <w:r>
              <w:rPr>
                <w:rFonts w:hint="eastAsia"/>
              </w:rPr>
              <w:t>月</w:t>
            </w:r>
            <w:r>
              <w:rPr>
                <w:rFonts w:hint="eastAsia"/>
              </w:rPr>
              <w:t>04</w:t>
            </w:r>
            <w:r>
              <w:rPr>
                <w:rFonts w:hint="eastAsia"/>
              </w:rPr>
              <w:t>日</w:t>
            </w:r>
          </w:p>
        </w:tc>
      </w:tr>
      <w:tr w:rsidR="00FE0924">
        <w:trPr>
          <w:jc w:val="center"/>
        </w:trPr>
        <w:tc>
          <w:tcPr>
            <w:tcW w:w="978" w:type="dxa"/>
            <w:vMerge w:val="restart"/>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截止收益分配基准日的相关指标</w:t>
            </w:r>
          </w:p>
        </w:tc>
        <w:tc>
          <w:tcPr>
            <w:tcW w:w="2631"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基准日基金份额净值（单位</w:t>
            </w:r>
            <w:r>
              <w:rPr>
                <w:rFonts w:hint="eastAsia"/>
              </w:rPr>
              <w:t>:</w:t>
            </w:r>
            <w:r>
              <w:rPr>
                <w:rFonts w:hint="eastAsia"/>
              </w:rPr>
              <w:t>人民币元）</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1.0453</w:t>
            </w:r>
          </w:p>
        </w:tc>
      </w:tr>
      <w:tr w:rsidR="00FE0924">
        <w:trPr>
          <w:jc w:val="center"/>
        </w:trPr>
        <w:tc>
          <w:tcPr>
            <w:tcW w:w="978" w:type="dxa"/>
            <w:vMerge/>
            <w:tcBorders>
              <w:top w:val="single" w:sz="8" w:space="0" w:color="000000"/>
              <w:left w:val="single" w:sz="8" w:space="0" w:color="000000"/>
              <w:bottom w:val="single" w:sz="6" w:space="0" w:color="000000"/>
              <w:right w:val="single" w:sz="8" w:space="0" w:color="000000"/>
            </w:tcBorders>
            <w:vAlign w:val="center"/>
          </w:tcPr>
          <w:p w:rsidR="00FE0924" w:rsidRDefault="00FE0924">
            <w:pPr>
              <w:widowControl/>
              <w:jc w:val="left"/>
              <w:rPr>
                <w:rFonts w:ascii="宋体" w:hAnsi="宋体" w:cs="宋体"/>
                <w:kern w:val="0"/>
                <w:sz w:val="24"/>
                <w:szCs w:val="24"/>
              </w:rPr>
            </w:pPr>
          </w:p>
        </w:tc>
        <w:tc>
          <w:tcPr>
            <w:tcW w:w="2631"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基准日基金可供分配利润（单位</w:t>
            </w:r>
            <w:r>
              <w:rPr>
                <w:rFonts w:hint="eastAsia"/>
              </w:rPr>
              <w:t>:</w:t>
            </w:r>
            <w:r>
              <w:rPr>
                <w:rFonts w:hint="eastAsia"/>
              </w:rPr>
              <w:t>人民币元）</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89,917,720.75</w:t>
            </w:r>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本次分红方案（单位</w:t>
            </w:r>
            <w:r>
              <w:rPr>
                <w:rFonts w:hint="eastAsia"/>
              </w:rPr>
              <w:t>:</w:t>
            </w:r>
            <w:r>
              <w:rPr>
                <w:rFonts w:hint="eastAsia"/>
              </w:rPr>
              <w:t>元</w:t>
            </w:r>
            <w:r>
              <w:rPr>
                <w:rFonts w:hint="eastAsia"/>
              </w:rPr>
              <w:t>/10</w:t>
            </w:r>
            <w:r>
              <w:rPr>
                <w:rFonts w:hint="eastAsia"/>
              </w:rPr>
              <w:t>份基金份额）</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0.</w:t>
            </w:r>
            <w:r>
              <w:rPr>
                <w:rFonts w:hint="eastAsia"/>
              </w:rPr>
              <w:t>19</w:t>
            </w:r>
            <w:bookmarkStart w:id="0" w:name="_GoBack"/>
            <w:bookmarkEnd w:id="0"/>
          </w:p>
        </w:tc>
      </w:tr>
      <w:tr w:rsidR="00FE0924">
        <w:trPr>
          <w:jc w:val="center"/>
        </w:trPr>
        <w:tc>
          <w:tcPr>
            <w:tcW w:w="3609" w:type="dxa"/>
            <w:gridSpan w:val="2"/>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有关年度分红次数的说明</w:t>
            </w:r>
          </w:p>
        </w:tc>
        <w:tc>
          <w:tcPr>
            <w:tcW w:w="5528"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本次分红为</w:t>
            </w:r>
            <w:r>
              <w:rPr>
                <w:rFonts w:hint="eastAsia"/>
              </w:rPr>
              <w:t>202</w:t>
            </w:r>
            <w:r>
              <w:rPr>
                <w:rFonts w:hint="eastAsia"/>
              </w:rPr>
              <w:t>5</w:t>
            </w:r>
            <w:r>
              <w:rPr>
                <w:rFonts w:hint="eastAsia"/>
              </w:rPr>
              <w:t>年度第</w:t>
            </w:r>
            <w:r>
              <w:rPr>
                <w:rFonts w:hint="eastAsia"/>
              </w:rPr>
              <w:t>2</w:t>
            </w:r>
            <w:r>
              <w:rPr>
                <w:rFonts w:hint="eastAsia"/>
              </w:rPr>
              <w:t>次分红</w:t>
            </w:r>
          </w:p>
        </w:tc>
      </w:tr>
    </w:tbl>
    <w:p w:rsidR="00FE0924" w:rsidRDefault="00FE0924">
      <w:pPr>
        <w:widowControl/>
        <w:jc w:val="left"/>
        <w:rPr>
          <w:rFonts w:ascii="宋体" w:hAnsi="宋体" w:cs="宋体"/>
          <w:kern w:val="0"/>
          <w:sz w:val="24"/>
          <w:szCs w:val="24"/>
        </w:rPr>
      </w:pPr>
    </w:p>
    <w:p w:rsidR="00FE0924" w:rsidRDefault="008B0E1D">
      <w:pPr>
        <w:pStyle w:val="dazhangjie"/>
      </w:pPr>
      <w:r>
        <w:rPr>
          <w:rFonts w:hAnsi="Calibri" w:hint="eastAsia"/>
          <w:b/>
          <w:color w:val="000000"/>
        </w:rPr>
        <w:t xml:space="preserve">2 </w:t>
      </w:r>
      <w:r>
        <w:rPr>
          <w:rFonts w:hAnsi="Calibri" w:hint="eastAsia"/>
          <w:b/>
          <w:color w:val="000000"/>
        </w:rPr>
        <w:t>与分红相关的其他信息</w:t>
      </w:r>
    </w:p>
    <w:tbl>
      <w:tblPr>
        <w:tblW w:w="0" w:type="auto"/>
        <w:jc w:val="center"/>
        <w:tblLayout w:type="fixed"/>
        <w:tblLook w:val="04A0"/>
      </w:tblPr>
      <w:tblGrid>
        <w:gridCol w:w="3302"/>
        <w:gridCol w:w="5762"/>
      </w:tblGrid>
      <w:tr w:rsidR="00FE0924">
        <w:trPr>
          <w:jc w:val="center"/>
        </w:trPr>
        <w:tc>
          <w:tcPr>
            <w:tcW w:w="330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pPr>
            <w:r>
              <w:rPr>
                <w:rFonts w:hint="eastAsia"/>
              </w:rPr>
              <w:t>权益登记日</w:t>
            </w:r>
          </w:p>
        </w:tc>
        <w:tc>
          <w:tcPr>
            <w:tcW w:w="576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07</w:t>
            </w:r>
            <w:r>
              <w:rPr>
                <w:rFonts w:hAnsi="Calibri" w:hint="eastAsia"/>
                <w:color w:val="000000"/>
              </w:rPr>
              <w:t>日</w:t>
            </w:r>
          </w:p>
        </w:tc>
      </w:tr>
      <w:tr w:rsidR="00FE0924">
        <w:trPr>
          <w:jc w:val="center"/>
        </w:trPr>
        <w:tc>
          <w:tcPr>
            <w:tcW w:w="330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除息日</w:t>
            </w:r>
          </w:p>
        </w:tc>
        <w:tc>
          <w:tcPr>
            <w:tcW w:w="576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07</w:t>
            </w:r>
            <w:r>
              <w:rPr>
                <w:rFonts w:hAnsi="Calibri" w:hint="eastAsia"/>
                <w:color w:val="000000"/>
              </w:rPr>
              <w:t>日</w:t>
            </w:r>
          </w:p>
        </w:tc>
      </w:tr>
      <w:tr w:rsidR="00FE0924">
        <w:trPr>
          <w:jc w:val="center"/>
        </w:trPr>
        <w:tc>
          <w:tcPr>
            <w:tcW w:w="330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现金红利发放日</w:t>
            </w:r>
          </w:p>
        </w:tc>
        <w:tc>
          <w:tcPr>
            <w:tcW w:w="576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11</w:t>
            </w:r>
            <w:r>
              <w:rPr>
                <w:rFonts w:hAnsi="Calibri" w:hint="eastAsia"/>
                <w:color w:val="000000"/>
              </w:rPr>
              <w:t>日</w:t>
            </w:r>
          </w:p>
        </w:tc>
      </w:tr>
      <w:tr w:rsidR="00FE0924">
        <w:trPr>
          <w:jc w:val="center"/>
        </w:trPr>
        <w:tc>
          <w:tcPr>
            <w:tcW w:w="330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分红对象</w:t>
            </w:r>
          </w:p>
        </w:tc>
        <w:tc>
          <w:tcPr>
            <w:tcW w:w="576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Ansi="Calibri" w:hint="eastAsia"/>
                <w:color w:val="000000"/>
              </w:rPr>
              <w:t>权益登记日在本基金注册登记机构登记在册的本基金份额持有人</w:t>
            </w:r>
          </w:p>
        </w:tc>
      </w:tr>
      <w:tr w:rsidR="00FE0924">
        <w:trPr>
          <w:jc w:val="center"/>
        </w:trPr>
        <w:tc>
          <w:tcPr>
            <w:tcW w:w="330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红利再投资相关事项的说明</w:t>
            </w:r>
          </w:p>
        </w:tc>
        <w:tc>
          <w:tcPr>
            <w:tcW w:w="576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Ansi="Calibri" w:hint="eastAsia"/>
                <w:color w:val="000000"/>
              </w:rPr>
              <w:t>选择红利再投资方式的投资者，其红利将以</w:t>
            </w: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11</w:t>
            </w:r>
            <w:r>
              <w:rPr>
                <w:rFonts w:hAnsi="Calibri" w:hint="eastAsia"/>
                <w:color w:val="000000"/>
              </w:rPr>
              <w:lastRenderedPageBreak/>
              <w:t>月</w:t>
            </w:r>
            <w:r>
              <w:rPr>
                <w:rFonts w:hAnsi="Calibri" w:hint="eastAsia"/>
                <w:color w:val="000000"/>
              </w:rPr>
              <w:t>7</w:t>
            </w:r>
            <w:r>
              <w:rPr>
                <w:rFonts w:hAnsi="Calibri" w:hint="eastAsia"/>
                <w:color w:val="000000"/>
              </w:rPr>
              <w:t>日除息后的基金份额净值转换为基金份额，红利再投资所转换的基金份额于</w:t>
            </w: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10</w:t>
            </w:r>
            <w:r>
              <w:rPr>
                <w:rFonts w:hAnsi="Calibri" w:hint="eastAsia"/>
                <w:color w:val="000000"/>
              </w:rPr>
              <w:t>日直接计入其基金账户，</w:t>
            </w: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11</w:t>
            </w:r>
            <w:r>
              <w:rPr>
                <w:rFonts w:hAnsi="Calibri" w:hint="eastAsia"/>
                <w:color w:val="000000"/>
              </w:rPr>
              <w:t>日起投资者可以查询。</w:t>
            </w:r>
          </w:p>
        </w:tc>
      </w:tr>
      <w:tr w:rsidR="00FE0924">
        <w:trPr>
          <w:jc w:val="center"/>
        </w:trPr>
        <w:tc>
          <w:tcPr>
            <w:tcW w:w="330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lastRenderedPageBreak/>
              <w:t>税收相关事项的说明</w:t>
            </w:r>
          </w:p>
        </w:tc>
        <w:tc>
          <w:tcPr>
            <w:tcW w:w="576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根据财政部、国家税务总局的财税</w:t>
            </w:r>
            <w:r>
              <w:rPr>
                <w:rFonts w:hint="eastAsia"/>
              </w:rPr>
              <w:t>[2002]128</w:t>
            </w:r>
            <w:r>
              <w:rPr>
                <w:rFonts w:hint="eastAsia"/>
              </w:rPr>
              <w:t>号《财政部国家税务总局关于开放式证券投资基金有关税收问题的通知》及财税</w:t>
            </w:r>
            <w:r>
              <w:rPr>
                <w:rFonts w:hint="eastAsia"/>
              </w:rPr>
              <w:t>[2008]1</w:t>
            </w:r>
            <w:r>
              <w:rPr>
                <w:rFonts w:hint="eastAsia"/>
              </w:rPr>
              <w:t>号《关于企业所得税若干优惠政策的通知》的规定，基金向投资者分配的基金收益，暂免征收所得税。</w:t>
            </w:r>
          </w:p>
        </w:tc>
      </w:tr>
      <w:tr w:rsidR="00FE0924">
        <w:trPr>
          <w:jc w:val="center"/>
        </w:trPr>
        <w:tc>
          <w:tcPr>
            <w:tcW w:w="330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费用相关事项的说明</w:t>
            </w:r>
          </w:p>
        </w:tc>
        <w:tc>
          <w:tcPr>
            <w:tcW w:w="5762" w:type="dxa"/>
            <w:tcBorders>
              <w:top w:val="single" w:sz="8" w:space="0" w:color="000000"/>
              <w:left w:val="single" w:sz="8" w:space="0" w:color="000000"/>
              <w:bottom w:val="single" w:sz="6" w:space="0" w:color="000000"/>
              <w:right w:val="single" w:sz="8" w:space="0" w:color="000000"/>
            </w:tcBorders>
            <w:vAlign w:val="center"/>
          </w:tcPr>
          <w:p w:rsidR="00FE0924" w:rsidRDefault="008B0E1D">
            <w:pPr>
              <w:pStyle w:val="biaogeleft"/>
              <w:wordWrap w:val="0"/>
            </w:pPr>
            <w:r>
              <w:rPr>
                <w:rFonts w:hint="eastAsia"/>
              </w:rPr>
              <w:t>本基金本次分红免收分红手续费。基金收益分配时所发生的银行转账或其他手续费用由投资者自行承担。选择红利再投资方式的投资者其红利所转换的基金份额免收申购费用。</w:t>
            </w:r>
          </w:p>
        </w:tc>
      </w:tr>
    </w:tbl>
    <w:p w:rsidR="00FE0924" w:rsidRDefault="00FE0924">
      <w:pPr>
        <w:widowControl/>
        <w:jc w:val="left"/>
        <w:rPr>
          <w:rFonts w:ascii="宋体" w:hAnsi="宋体" w:cs="宋体"/>
          <w:kern w:val="0"/>
          <w:sz w:val="24"/>
          <w:szCs w:val="24"/>
        </w:rPr>
      </w:pPr>
    </w:p>
    <w:p w:rsidR="00FE0924" w:rsidRDefault="008B0E1D">
      <w:pPr>
        <w:pStyle w:val="dazhangjie"/>
      </w:pPr>
      <w:r>
        <w:rPr>
          <w:rFonts w:hint="eastAsia"/>
          <w:b/>
          <w:bCs/>
        </w:rPr>
        <w:t xml:space="preserve">3 </w:t>
      </w:r>
      <w:r>
        <w:rPr>
          <w:rFonts w:hint="eastAsia"/>
          <w:b/>
          <w:bCs/>
        </w:rPr>
        <w:t>其他需要提示的事项</w:t>
      </w:r>
    </w:p>
    <w:p w:rsidR="00FE0924" w:rsidRDefault="008B0E1D">
      <w:pPr>
        <w:pStyle w:val="neirong"/>
      </w:pPr>
      <w:r>
        <w:rPr>
          <w:rFonts w:hint="eastAsia"/>
        </w:rPr>
        <w:t>  </w:t>
      </w:r>
      <w:r>
        <w:rPr>
          <w:rFonts w:hint="eastAsia"/>
        </w:rPr>
        <w:t>（</w:t>
      </w:r>
      <w:r>
        <w:rPr>
          <w:rFonts w:hint="eastAsia"/>
        </w:rPr>
        <w:t>1</w:t>
      </w:r>
      <w:r>
        <w:rPr>
          <w:rFonts w:hint="eastAsia"/>
        </w:rPr>
        <w:t>）权益登记日前一工作日有效申购的基金份额享有红利分配权，权益登记日前一工作日有效赎回的基金份额不享有红利分配权。权益登记日当日申请申购的基金份额不享有本次分红权益，权益登记日当日申请赎回的基金份额享有本次分红权益。</w:t>
      </w:r>
      <w:r>
        <w:rPr>
          <w:rFonts w:hint="eastAsia"/>
        </w:rPr>
        <w:br/>
        <w:t>  </w:t>
      </w:r>
      <w:r>
        <w:rPr>
          <w:rFonts w:hint="eastAsia"/>
        </w:rPr>
        <w:t>（</w:t>
      </w:r>
      <w:r>
        <w:rPr>
          <w:rFonts w:hint="eastAsia"/>
        </w:rPr>
        <w:t>2</w:t>
      </w:r>
      <w:r>
        <w:rPr>
          <w:rFonts w:hint="eastAsia"/>
        </w:rPr>
        <w:t>）本基金的分红方式有现金红利和红利再投资两种，并以投资者在权益登记日之前（不含权益登记日）最后一次选择的分红方式为准。对于未选择具体分红方式的投资者，本基金默认的分红方式为现金分红。</w:t>
      </w:r>
      <w:r>
        <w:rPr>
          <w:rFonts w:hint="eastAsia"/>
        </w:rPr>
        <w:br/>
        <w:t>  </w:t>
      </w:r>
      <w:r>
        <w:rPr>
          <w:rFonts w:hint="eastAsia"/>
        </w:rPr>
        <w:t>（</w:t>
      </w:r>
      <w:r>
        <w:rPr>
          <w:rFonts w:hint="eastAsia"/>
        </w:rPr>
        <w:t>3</w:t>
      </w:r>
      <w:r>
        <w:rPr>
          <w:rFonts w:hint="eastAsia"/>
        </w:rPr>
        <w:t>）当投资者的现金红利小于一定金额，不足以支付银行转账或其他手续费用时，基金登记机构可将基</w:t>
      </w:r>
      <w:r>
        <w:rPr>
          <w:rFonts w:hint="eastAsia"/>
        </w:rPr>
        <w:t>金份额持有人的现金红利自动转为基金份额。</w:t>
      </w:r>
      <w:r>
        <w:rPr>
          <w:rFonts w:hint="eastAsia"/>
        </w:rPr>
        <w:br/>
        <w:t>  </w:t>
      </w:r>
      <w:r>
        <w:rPr>
          <w:rFonts w:hint="eastAsia"/>
        </w:rPr>
        <w:t>（</w:t>
      </w:r>
      <w:r>
        <w:rPr>
          <w:rFonts w:hint="eastAsia"/>
        </w:rPr>
        <w:t>4</w:t>
      </w:r>
      <w:r>
        <w:rPr>
          <w:rFonts w:hint="eastAsia"/>
        </w:rPr>
        <w:t>）投资者可登录本基金管理人网站</w:t>
      </w:r>
      <w:r>
        <w:rPr>
          <w:rFonts w:hint="eastAsia"/>
        </w:rPr>
        <w:t>www.cjzcgl.com</w:t>
      </w:r>
      <w:r>
        <w:rPr>
          <w:rFonts w:hint="eastAsia"/>
        </w:rPr>
        <w:t>或拨打客服热线</w:t>
      </w:r>
      <w:r>
        <w:rPr>
          <w:rFonts w:hint="eastAsia"/>
        </w:rPr>
        <w:t>4001-166-866</w:t>
      </w:r>
      <w:r>
        <w:rPr>
          <w:rFonts w:hint="eastAsia"/>
        </w:rPr>
        <w:t>咨询相关事宜。</w:t>
      </w:r>
      <w:r>
        <w:rPr>
          <w:rFonts w:hint="eastAsia"/>
        </w:rPr>
        <w:br/>
        <w:t>  </w:t>
      </w:r>
      <w:r>
        <w:rPr>
          <w:rFonts w:hint="eastAsia"/>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r>
        <w:rPr>
          <w:rFonts w:hint="eastAsia"/>
        </w:rPr>
        <w:br/>
        <w:t>  </w:t>
      </w:r>
      <w:r>
        <w:rPr>
          <w:rFonts w:hint="eastAsia"/>
        </w:rPr>
        <w:t>特此公告。</w:t>
      </w:r>
    </w:p>
    <w:p w:rsidR="00FE0924" w:rsidRDefault="008B0E1D">
      <w:pPr>
        <w:pStyle w:val="biaogeright"/>
      </w:pPr>
      <w:r>
        <w:rPr>
          <w:rFonts w:hAnsi="Calibri" w:hint="eastAsia"/>
          <w:color w:val="000000"/>
        </w:rPr>
        <w:t>长江证券（上海）资产管理有限公司</w:t>
      </w:r>
    </w:p>
    <w:p w:rsidR="00FE0924" w:rsidRDefault="008B0E1D">
      <w:pPr>
        <w:pStyle w:val="biaogeright"/>
      </w:pPr>
      <w:r>
        <w:rPr>
          <w:rFonts w:hAnsi="Calibri" w:hint="eastAsia"/>
          <w:color w:val="000000"/>
        </w:rPr>
        <w:t>202</w:t>
      </w:r>
      <w:r>
        <w:rPr>
          <w:rFonts w:hAnsi="Calibri" w:hint="eastAsia"/>
          <w:color w:val="000000"/>
        </w:rPr>
        <w:t>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07</w:t>
      </w:r>
      <w:r>
        <w:rPr>
          <w:rFonts w:hAnsi="Calibri" w:hint="eastAsia"/>
          <w:color w:val="000000"/>
        </w:rPr>
        <w:t>日</w:t>
      </w:r>
    </w:p>
    <w:p w:rsidR="00FE0924" w:rsidRDefault="00FE0924"/>
    <w:sectPr w:rsidR="00FE0924" w:rsidSect="00FE0924">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98D4783"/>
    <w:rsid w:val="008B0E1D"/>
    <w:rsid w:val="00FE0924"/>
    <w:rsid w:val="098D4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09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aogecenter">
    <w:name w:val="biaoge_center"/>
    <w:basedOn w:val="a"/>
    <w:qFormat/>
    <w:rsid w:val="00FE0924"/>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FE0924"/>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qFormat/>
    <w:rsid w:val="00FE0924"/>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neirong">
    <w:name w:val="neirong"/>
    <w:basedOn w:val="a"/>
    <w:qFormat/>
    <w:rsid w:val="00FE0924"/>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biaogeright">
    <w:name w:val="biaoge_right"/>
    <w:basedOn w:val="a"/>
    <w:qFormat/>
    <w:rsid w:val="00FE0924"/>
    <w:pPr>
      <w:widowControl/>
      <w:autoSpaceDE w:val="0"/>
      <w:autoSpaceDN w:val="0"/>
      <w:adjustRightInd w:val="0"/>
      <w:spacing w:before="29" w:line="288" w:lineRule="auto"/>
      <w:ind w:left="15"/>
      <w:jc w:val="righ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4</DocSecurity>
  <Lines>9</Lines>
  <Paragraphs>2</Paragraphs>
  <ScaleCrop>false</ScaleCrop>
  <Company>CNSTOCK</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songmw</dc:creator>
  <cp:lastModifiedBy>ZHONGM</cp:lastModifiedBy>
  <cp:revision>2</cp:revision>
  <dcterms:created xsi:type="dcterms:W3CDTF">2025-11-06T16:01:00Z</dcterms:created>
  <dcterms:modified xsi:type="dcterms:W3CDTF">2025-11-06T16:01:00Z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4DCCC0A3E7DB4FA784245552DC00309B_11</vt:lpwstr>
  </property>
</Properties>
</file>