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0B6F" w:rsidRDefault="00D51B8D">
      <w:pPr>
        <w:widowControl w:val="0"/>
        <w:kinsoku/>
        <w:autoSpaceDE/>
        <w:autoSpaceDN/>
        <w:adjustRightInd/>
        <w:snapToGrid/>
        <w:spacing w:line="360" w:lineRule="auto"/>
        <w:jc w:val="center"/>
        <w:textAlignment w:val="auto"/>
        <w:rPr>
          <w:rFonts w:ascii="宋体" w:eastAsia="宋体" w:hAnsi="宋体" w:cs="Times New Roman"/>
          <w:b/>
          <w:bCs/>
          <w:snapToGrid/>
          <w:color w:val="auto"/>
          <w:kern w:val="2"/>
          <w:sz w:val="32"/>
          <w:szCs w:val="32"/>
          <w:lang w:eastAsia="zh-CN"/>
        </w:rPr>
      </w:pPr>
      <w:r>
        <w:rPr>
          <w:rFonts w:ascii="宋体" w:eastAsia="宋体" w:hAnsi="宋体" w:cs="Times New Roman"/>
          <w:b/>
          <w:bCs/>
          <w:snapToGrid/>
          <w:color w:val="auto"/>
          <w:kern w:val="2"/>
          <w:sz w:val="32"/>
          <w:szCs w:val="32"/>
          <w:lang w:eastAsia="zh-CN"/>
        </w:rPr>
        <w:t>关于中航首钢生物质封闭式基础设施证券投资基金召开</w:t>
      </w:r>
    </w:p>
    <w:p w:rsidR="00AF0B6F" w:rsidRDefault="00D51B8D">
      <w:pPr>
        <w:widowControl w:val="0"/>
        <w:kinsoku/>
        <w:autoSpaceDE/>
        <w:autoSpaceDN/>
        <w:adjustRightInd/>
        <w:snapToGrid/>
        <w:spacing w:line="360" w:lineRule="auto"/>
        <w:jc w:val="center"/>
        <w:textAlignment w:val="auto"/>
        <w:rPr>
          <w:rFonts w:ascii="宋体" w:eastAsia="宋体" w:hAnsi="宋体" w:cs="Times New Roman"/>
          <w:b/>
          <w:bCs/>
          <w:snapToGrid/>
          <w:color w:val="auto"/>
          <w:kern w:val="2"/>
          <w:sz w:val="32"/>
          <w:szCs w:val="32"/>
          <w:lang w:eastAsia="zh-CN"/>
        </w:rPr>
      </w:pPr>
      <w:r>
        <w:rPr>
          <w:rFonts w:ascii="宋体" w:eastAsia="宋体" w:hAnsi="宋体" w:cs="Times New Roman"/>
          <w:b/>
          <w:bCs/>
          <w:snapToGrid/>
          <w:color w:val="auto"/>
          <w:kern w:val="2"/>
          <w:sz w:val="32"/>
          <w:szCs w:val="32"/>
          <w:lang w:eastAsia="zh-CN"/>
        </w:rPr>
        <w:t>202</w:t>
      </w:r>
      <w:r>
        <w:rPr>
          <w:rFonts w:ascii="宋体" w:eastAsia="宋体" w:hAnsi="宋体" w:cs="Times New Roman" w:hint="eastAsia"/>
          <w:b/>
          <w:bCs/>
          <w:snapToGrid/>
          <w:color w:val="auto"/>
          <w:kern w:val="2"/>
          <w:sz w:val="32"/>
          <w:szCs w:val="32"/>
          <w:lang w:eastAsia="zh-CN"/>
        </w:rPr>
        <w:t>5</w:t>
      </w:r>
      <w:r>
        <w:rPr>
          <w:rFonts w:ascii="宋体" w:eastAsia="宋体" w:hAnsi="宋体" w:cs="Times New Roman" w:hint="eastAsia"/>
          <w:b/>
          <w:bCs/>
          <w:snapToGrid/>
          <w:color w:val="auto"/>
          <w:kern w:val="2"/>
          <w:sz w:val="32"/>
          <w:szCs w:val="32"/>
          <w:lang w:eastAsia="zh-CN"/>
        </w:rPr>
        <w:t>年第</w:t>
      </w:r>
      <w:r>
        <w:rPr>
          <w:rFonts w:ascii="宋体" w:eastAsia="宋体" w:hAnsi="宋体" w:cs="Times New Roman" w:hint="eastAsia"/>
          <w:b/>
          <w:bCs/>
          <w:snapToGrid/>
          <w:color w:val="auto"/>
          <w:kern w:val="2"/>
          <w:sz w:val="32"/>
          <w:szCs w:val="32"/>
          <w:lang w:eastAsia="zh-CN"/>
        </w:rPr>
        <w:t>3</w:t>
      </w:r>
      <w:r>
        <w:rPr>
          <w:rFonts w:ascii="宋体" w:eastAsia="宋体" w:hAnsi="宋体" w:cs="Times New Roman" w:hint="eastAsia"/>
          <w:b/>
          <w:bCs/>
          <w:snapToGrid/>
          <w:color w:val="auto"/>
          <w:kern w:val="2"/>
          <w:sz w:val="32"/>
          <w:szCs w:val="32"/>
          <w:lang w:eastAsia="zh-CN"/>
        </w:rPr>
        <w:t>季度</w:t>
      </w:r>
      <w:r>
        <w:rPr>
          <w:rFonts w:ascii="宋体" w:eastAsia="宋体" w:hAnsi="宋体" w:cs="Times New Roman"/>
          <w:b/>
          <w:bCs/>
          <w:snapToGrid/>
          <w:color w:val="auto"/>
          <w:kern w:val="2"/>
          <w:sz w:val="32"/>
          <w:szCs w:val="32"/>
          <w:lang w:eastAsia="zh-CN"/>
        </w:rPr>
        <w:t>业绩说明会的公告</w:t>
      </w:r>
    </w:p>
    <w:p w:rsidR="00AF0B6F" w:rsidRDefault="00D51B8D">
      <w:pPr>
        <w:spacing w:before="98" w:line="360" w:lineRule="auto"/>
        <w:jc w:val="both"/>
        <w:rPr>
          <w:rFonts w:asciiTheme="minorEastAsia" w:eastAsiaTheme="minorEastAsia" w:hAnsiTheme="minorEastAsia" w:cs="宋体"/>
          <w:color w:val="323232"/>
          <w:spacing w:val="-12"/>
          <w:sz w:val="24"/>
          <w:szCs w:val="24"/>
          <w:lang w:eastAsia="zh-CN"/>
        </w:rPr>
      </w:pPr>
      <w:r>
        <w:rPr>
          <w:rFonts w:asciiTheme="minorEastAsia" w:eastAsiaTheme="minorEastAsia" w:hAnsiTheme="minorEastAsia" w:cs="宋体"/>
          <w:color w:val="323232"/>
          <w:spacing w:val="-12"/>
          <w:sz w:val="24"/>
          <w:szCs w:val="24"/>
          <w:lang w:eastAsia="zh-CN"/>
        </w:rPr>
        <w:t>重要内容提示</w:t>
      </w:r>
      <w:r>
        <w:rPr>
          <w:rFonts w:asciiTheme="minorEastAsia" w:eastAsiaTheme="minorEastAsia" w:hAnsiTheme="minorEastAsia" w:cs="宋体" w:hint="eastAsia"/>
          <w:color w:val="323232"/>
          <w:spacing w:val="-12"/>
          <w:sz w:val="24"/>
          <w:szCs w:val="24"/>
          <w:lang w:eastAsia="zh-CN"/>
        </w:rPr>
        <w:t>：</w:t>
      </w:r>
    </w:p>
    <w:p w:rsidR="00AF0B6F" w:rsidRDefault="00D51B8D">
      <w:pPr>
        <w:numPr>
          <w:ilvl w:val="0"/>
          <w:numId w:val="1"/>
        </w:numPr>
        <w:spacing w:line="360" w:lineRule="auto"/>
        <w:rPr>
          <w:rFonts w:ascii="宋体" w:eastAsia="宋体" w:hAnsi="宋体" w:cs="宋体"/>
          <w:color w:val="323232"/>
          <w:spacing w:val="-4"/>
          <w:sz w:val="24"/>
          <w:szCs w:val="24"/>
          <w:lang w:eastAsia="zh-CN"/>
        </w:rPr>
      </w:pPr>
      <w:r>
        <w:rPr>
          <w:rFonts w:ascii="宋体" w:eastAsia="宋体" w:hAnsi="宋体" w:cs="宋体" w:hint="eastAsia"/>
          <w:color w:val="323232"/>
          <w:spacing w:val="-4"/>
          <w:sz w:val="24"/>
          <w:szCs w:val="24"/>
          <w:lang w:eastAsia="zh-CN"/>
        </w:rPr>
        <w:t>时间：</w:t>
      </w:r>
      <w:r>
        <w:rPr>
          <w:rFonts w:ascii="宋体" w:eastAsia="宋体" w:hAnsi="宋体" w:cs="宋体" w:hint="eastAsia"/>
          <w:color w:val="323232"/>
          <w:spacing w:val="-4"/>
          <w:sz w:val="24"/>
          <w:szCs w:val="24"/>
          <w:lang w:eastAsia="zh-CN"/>
        </w:rPr>
        <w:t>202</w:t>
      </w:r>
      <w:r>
        <w:rPr>
          <w:rFonts w:ascii="宋体" w:eastAsia="宋体" w:hAnsi="宋体" w:cs="宋体" w:hint="eastAsia"/>
          <w:color w:val="323232"/>
          <w:spacing w:val="-4"/>
          <w:sz w:val="24"/>
          <w:szCs w:val="24"/>
          <w:lang w:eastAsia="zh-CN"/>
        </w:rPr>
        <w:t>5</w:t>
      </w:r>
      <w:r>
        <w:rPr>
          <w:rFonts w:ascii="宋体" w:eastAsia="宋体" w:hAnsi="宋体" w:cs="宋体" w:hint="eastAsia"/>
          <w:color w:val="323232"/>
          <w:spacing w:val="-4"/>
          <w:sz w:val="24"/>
          <w:szCs w:val="24"/>
          <w:lang w:eastAsia="zh-CN"/>
        </w:rPr>
        <w:t>年</w:t>
      </w:r>
      <w:r>
        <w:rPr>
          <w:rFonts w:ascii="宋体" w:eastAsia="宋体" w:hAnsi="宋体" w:cs="宋体" w:hint="eastAsia"/>
          <w:color w:val="323232"/>
          <w:spacing w:val="-4"/>
          <w:sz w:val="24"/>
          <w:szCs w:val="24"/>
          <w:lang w:eastAsia="zh-CN"/>
        </w:rPr>
        <w:t>11</w:t>
      </w:r>
      <w:r>
        <w:rPr>
          <w:rFonts w:ascii="宋体" w:eastAsia="宋体" w:hAnsi="宋体" w:cs="宋体" w:hint="eastAsia"/>
          <w:color w:val="323232"/>
          <w:spacing w:val="-4"/>
          <w:sz w:val="24"/>
          <w:szCs w:val="24"/>
          <w:lang w:eastAsia="zh-CN"/>
        </w:rPr>
        <w:t>月</w:t>
      </w:r>
      <w:r>
        <w:rPr>
          <w:rFonts w:ascii="宋体" w:eastAsia="宋体" w:hAnsi="宋体" w:cs="宋体" w:hint="eastAsia"/>
          <w:color w:val="323232"/>
          <w:spacing w:val="-4"/>
          <w:sz w:val="24"/>
          <w:szCs w:val="24"/>
          <w:lang w:eastAsia="zh-CN"/>
        </w:rPr>
        <w:t>13</w:t>
      </w:r>
      <w:r>
        <w:rPr>
          <w:rFonts w:ascii="宋体" w:eastAsia="宋体" w:hAnsi="宋体" w:cs="宋体" w:hint="eastAsia"/>
          <w:color w:val="323232"/>
          <w:spacing w:val="-4"/>
          <w:sz w:val="24"/>
          <w:szCs w:val="24"/>
          <w:lang w:eastAsia="zh-CN"/>
        </w:rPr>
        <w:t>日（星期</w:t>
      </w:r>
      <w:r>
        <w:rPr>
          <w:rFonts w:ascii="宋体" w:eastAsia="宋体" w:hAnsi="宋体" w:cs="宋体" w:hint="eastAsia"/>
          <w:color w:val="323232"/>
          <w:spacing w:val="-4"/>
          <w:sz w:val="24"/>
          <w:szCs w:val="24"/>
          <w:lang w:eastAsia="zh-CN"/>
        </w:rPr>
        <w:t>四</w:t>
      </w:r>
      <w:r>
        <w:rPr>
          <w:rFonts w:ascii="宋体" w:eastAsia="宋体" w:hAnsi="宋体" w:cs="宋体" w:hint="eastAsia"/>
          <w:color w:val="323232"/>
          <w:spacing w:val="-4"/>
          <w:sz w:val="24"/>
          <w:szCs w:val="24"/>
          <w:lang w:eastAsia="zh-CN"/>
        </w:rPr>
        <w:t>）</w:t>
      </w:r>
      <w:r>
        <w:rPr>
          <w:rFonts w:ascii="宋体" w:eastAsia="宋体" w:hAnsi="宋体" w:cs="宋体" w:hint="eastAsia"/>
          <w:color w:val="323232"/>
          <w:spacing w:val="-4"/>
          <w:sz w:val="24"/>
          <w:szCs w:val="24"/>
          <w:lang w:eastAsia="zh-CN"/>
        </w:rPr>
        <w:t>1</w:t>
      </w:r>
      <w:r>
        <w:rPr>
          <w:rFonts w:ascii="宋体" w:eastAsia="宋体" w:hAnsi="宋体" w:cs="宋体" w:hint="eastAsia"/>
          <w:color w:val="323232"/>
          <w:spacing w:val="-4"/>
          <w:sz w:val="24"/>
          <w:szCs w:val="24"/>
          <w:lang w:eastAsia="zh-CN"/>
        </w:rPr>
        <w:t>5</w:t>
      </w:r>
      <w:r>
        <w:rPr>
          <w:rFonts w:ascii="宋体" w:eastAsia="宋体" w:hAnsi="宋体" w:cs="宋体" w:hint="eastAsia"/>
          <w:color w:val="323232"/>
          <w:spacing w:val="-4"/>
          <w:sz w:val="24"/>
          <w:szCs w:val="24"/>
          <w:lang w:eastAsia="zh-CN"/>
        </w:rPr>
        <w:t>:</w:t>
      </w:r>
      <w:r>
        <w:rPr>
          <w:rFonts w:ascii="宋体" w:eastAsia="宋体" w:hAnsi="宋体" w:cs="宋体" w:hint="eastAsia"/>
          <w:color w:val="323232"/>
          <w:spacing w:val="-4"/>
          <w:sz w:val="24"/>
          <w:szCs w:val="24"/>
          <w:lang w:eastAsia="zh-CN"/>
        </w:rPr>
        <w:t>0</w:t>
      </w:r>
      <w:r>
        <w:rPr>
          <w:rFonts w:ascii="宋体" w:eastAsia="宋体" w:hAnsi="宋体" w:cs="宋体" w:hint="eastAsia"/>
          <w:color w:val="323232"/>
          <w:spacing w:val="-4"/>
          <w:sz w:val="24"/>
          <w:szCs w:val="24"/>
          <w:lang w:eastAsia="zh-CN"/>
        </w:rPr>
        <w:t>0-1</w:t>
      </w:r>
      <w:r>
        <w:rPr>
          <w:rFonts w:ascii="宋体" w:eastAsia="宋体" w:hAnsi="宋体" w:cs="宋体" w:hint="eastAsia"/>
          <w:color w:val="323232"/>
          <w:spacing w:val="-4"/>
          <w:sz w:val="24"/>
          <w:szCs w:val="24"/>
          <w:lang w:eastAsia="zh-CN"/>
        </w:rPr>
        <w:t>6</w:t>
      </w:r>
      <w:r>
        <w:rPr>
          <w:rFonts w:ascii="宋体" w:eastAsia="宋体" w:hAnsi="宋体" w:cs="宋体" w:hint="eastAsia"/>
          <w:color w:val="323232"/>
          <w:spacing w:val="-4"/>
          <w:sz w:val="24"/>
          <w:szCs w:val="24"/>
          <w:lang w:eastAsia="zh-CN"/>
        </w:rPr>
        <w:t>:</w:t>
      </w:r>
      <w:r>
        <w:rPr>
          <w:rFonts w:ascii="宋体" w:eastAsia="宋体" w:hAnsi="宋体" w:cs="宋体" w:hint="eastAsia"/>
          <w:color w:val="323232"/>
          <w:spacing w:val="-4"/>
          <w:sz w:val="24"/>
          <w:szCs w:val="24"/>
          <w:lang w:eastAsia="zh-CN"/>
        </w:rPr>
        <w:t>0</w:t>
      </w:r>
      <w:r>
        <w:rPr>
          <w:rFonts w:ascii="宋体" w:eastAsia="宋体" w:hAnsi="宋体" w:cs="宋体" w:hint="eastAsia"/>
          <w:color w:val="323232"/>
          <w:spacing w:val="-4"/>
          <w:sz w:val="24"/>
          <w:szCs w:val="24"/>
          <w:lang w:eastAsia="zh-CN"/>
        </w:rPr>
        <w:t>0</w:t>
      </w:r>
    </w:p>
    <w:p w:rsidR="00AF0B6F" w:rsidRDefault="00D51B8D">
      <w:pPr>
        <w:numPr>
          <w:ilvl w:val="0"/>
          <w:numId w:val="1"/>
        </w:numPr>
        <w:spacing w:line="360" w:lineRule="auto"/>
        <w:rPr>
          <w:rFonts w:ascii="宋体" w:eastAsia="宋体" w:hAnsi="宋体" w:cs="宋体"/>
          <w:color w:val="323232"/>
          <w:spacing w:val="-4"/>
          <w:sz w:val="24"/>
          <w:szCs w:val="24"/>
          <w:lang w:eastAsia="zh-CN"/>
        </w:rPr>
      </w:pPr>
      <w:r>
        <w:rPr>
          <w:rFonts w:ascii="宋体" w:eastAsia="宋体" w:hAnsi="宋体" w:cs="宋体" w:hint="eastAsia"/>
          <w:color w:val="323232"/>
          <w:spacing w:val="-4"/>
          <w:sz w:val="24"/>
          <w:szCs w:val="24"/>
          <w:lang w:eastAsia="zh-CN"/>
        </w:rPr>
        <w:t>现场地点：北京市朝阳区天辰东路</w:t>
      </w:r>
      <w:r>
        <w:rPr>
          <w:rFonts w:ascii="宋体" w:eastAsia="宋体" w:hAnsi="宋体" w:cs="宋体" w:hint="eastAsia"/>
          <w:color w:val="323232"/>
          <w:spacing w:val="-4"/>
          <w:sz w:val="24"/>
          <w:szCs w:val="24"/>
          <w:lang w:eastAsia="zh-CN"/>
        </w:rPr>
        <w:t>1</w:t>
      </w:r>
      <w:r>
        <w:rPr>
          <w:rFonts w:ascii="宋体" w:eastAsia="宋体" w:hAnsi="宋体" w:cs="宋体" w:hint="eastAsia"/>
          <w:color w:val="323232"/>
          <w:spacing w:val="-4"/>
          <w:sz w:val="24"/>
          <w:szCs w:val="24"/>
          <w:lang w:eastAsia="zh-CN"/>
        </w:rPr>
        <w:t>号院亚洲金融大厦</w:t>
      </w:r>
      <w:r>
        <w:rPr>
          <w:rFonts w:ascii="宋体" w:eastAsia="宋体" w:hAnsi="宋体" w:cs="宋体" w:hint="eastAsia"/>
          <w:color w:val="323232"/>
          <w:spacing w:val="-4"/>
          <w:sz w:val="24"/>
          <w:szCs w:val="24"/>
          <w:lang w:eastAsia="zh-CN"/>
        </w:rPr>
        <w:t>D</w:t>
      </w:r>
      <w:r>
        <w:rPr>
          <w:rFonts w:ascii="宋体" w:eastAsia="宋体" w:hAnsi="宋体" w:cs="宋体" w:hint="eastAsia"/>
          <w:color w:val="323232"/>
          <w:spacing w:val="-4"/>
          <w:sz w:val="24"/>
          <w:szCs w:val="24"/>
          <w:lang w:eastAsia="zh-CN"/>
        </w:rPr>
        <w:t>座</w:t>
      </w:r>
      <w:r>
        <w:rPr>
          <w:rFonts w:ascii="宋体" w:eastAsia="宋体" w:hAnsi="宋体" w:cs="宋体" w:hint="eastAsia"/>
          <w:color w:val="323232"/>
          <w:spacing w:val="-4"/>
          <w:sz w:val="24"/>
          <w:szCs w:val="24"/>
          <w:lang w:eastAsia="zh-CN"/>
        </w:rPr>
        <w:t>8</w:t>
      </w:r>
      <w:r>
        <w:rPr>
          <w:rFonts w:ascii="宋体" w:eastAsia="宋体" w:hAnsi="宋体" w:cs="宋体" w:hint="eastAsia"/>
          <w:color w:val="323232"/>
          <w:spacing w:val="-4"/>
          <w:sz w:val="24"/>
          <w:szCs w:val="24"/>
          <w:lang w:eastAsia="zh-CN"/>
        </w:rPr>
        <w:t>层</w:t>
      </w:r>
    </w:p>
    <w:p w:rsidR="00AF0B6F" w:rsidRDefault="00D51B8D">
      <w:pPr>
        <w:numPr>
          <w:ilvl w:val="0"/>
          <w:numId w:val="1"/>
        </w:numPr>
        <w:spacing w:line="360" w:lineRule="auto"/>
        <w:rPr>
          <w:rFonts w:ascii="宋体" w:eastAsia="宋体" w:hAnsi="宋体" w:cs="宋体"/>
          <w:color w:val="323232"/>
          <w:spacing w:val="-4"/>
          <w:sz w:val="24"/>
          <w:szCs w:val="24"/>
          <w:lang w:eastAsia="zh-CN"/>
        </w:rPr>
      </w:pPr>
      <w:r>
        <w:rPr>
          <w:rFonts w:ascii="宋体" w:eastAsia="宋体" w:hAnsi="宋体" w:cs="宋体" w:hint="eastAsia"/>
          <w:color w:val="323232"/>
          <w:spacing w:val="-4"/>
          <w:sz w:val="24"/>
          <w:szCs w:val="24"/>
          <w:lang w:eastAsia="zh-CN"/>
        </w:rPr>
        <w:t>参与方式：现场会议</w:t>
      </w:r>
    </w:p>
    <w:p w:rsidR="00AF0B6F" w:rsidRDefault="00D51B8D">
      <w:pPr>
        <w:numPr>
          <w:ilvl w:val="0"/>
          <w:numId w:val="1"/>
        </w:numPr>
        <w:spacing w:line="360" w:lineRule="auto"/>
        <w:rPr>
          <w:rFonts w:ascii="宋体" w:eastAsia="宋体" w:hAnsi="宋体" w:cs="宋体"/>
          <w:color w:val="323232"/>
          <w:spacing w:val="-4"/>
          <w:sz w:val="24"/>
          <w:szCs w:val="24"/>
          <w:lang w:eastAsia="zh-CN"/>
        </w:rPr>
      </w:pPr>
      <w:r>
        <w:rPr>
          <w:rFonts w:ascii="宋体" w:eastAsia="宋体" w:hAnsi="宋体" w:cs="宋体" w:hint="eastAsia"/>
          <w:color w:val="323232"/>
          <w:spacing w:val="-4"/>
          <w:sz w:val="24"/>
          <w:szCs w:val="24"/>
          <w:lang w:eastAsia="zh-CN"/>
        </w:rPr>
        <w:t>报名方式：</w:t>
      </w:r>
      <w:hyperlink r:id="rId7" w:history="1">
        <w:r>
          <w:rPr>
            <w:rFonts w:ascii="宋体" w:eastAsia="宋体" w:hAnsi="宋体" w:cs="宋体" w:hint="eastAsia"/>
            <w:color w:val="323232"/>
            <w:spacing w:val="-4"/>
            <w:sz w:val="24"/>
            <w:szCs w:val="24"/>
            <w:lang w:eastAsia="zh-CN"/>
          </w:rPr>
          <w:t>按要求发送报名邮件至</w:t>
        </w:r>
        <w:r>
          <w:rPr>
            <w:rFonts w:ascii="宋体" w:eastAsia="宋体" w:hAnsi="宋体" w:cs="宋体" w:hint="eastAsia"/>
            <w:color w:val="323232"/>
            <w:spacing w:val="-4"/>
            <w:sz w:val="24"/>
            <w:szCs w:val="24"/>
            <w:lang w:eastAsia="zh-CN"/>
          </w:rPr>
          <w:t>IR_REITs@avicfund.cn</w:t>
        </w:r>
      </w:hyperlink>
      <w:r>
        <w:rPr>
          <w:rFonts w:ascii="宋体" w:eastAsia="宋体" w:hAnsi="宋体" w:cs="宋体" w:hint="eastAsia"/>
          <w:color w:val="323232"/>
          <w:spacing w:val="-4"/>
          <w:sz w:val="24"/>
          <w:szCs w:val="24"/>
          <w:lang w:eastAsia="zh-CN"/>
        </w:rPr>
        <w:t>或通过报名链接、扫描二维码报名</w:t>
      </w:r>
    </w:p>
    <w:p w:rsidR="00AF0B6F" w:rsidRDefault="00D51B8D">
      <w:pPr>
        <w:numPr>
          <w:ilvl w:val="0"/>
          <w:numId w:val="1"/>
        </w:numPr>
        <w:spacing w:line="360" w:lineRule="auto"/>
        <w:rPr>
          <w:rFonts w:ascii="宋体" w:eastAsia="宋体" w:hAnsi="宋体" w:cs="宋体"/>
          <w:color w:val="323232"/>
          <w:spacing w:val="-4"/>
          <w:sz w:val="24"/>
          <w:szCs w:val="24"/>
          <w:lang w:eastAsia="zh-CN"/>
        </w:rPr>
      </w:pPr>
      <w:r>
        <w:rPr>
          <w:rFonts w:ascii="宋体" w:eastAsia="宋体" w:hAnsi="宋体" w:cs="宋体" w:hint="eastAsia"/>
          <w:color w:val="323232"/>
          <w:spacing w:val="-4"/>
          <w:sz w:val="24"/>
          <w:szCs w:val="24"/>
          <w:lang w:eastAsia="zh-CN"/>
        </w:rPr>
        <w:t>报名截止</w:t>
      </w:r>
      <w:r>
        <w:rPr>
          <w:rFonts w:ascii="宋体" w:eastAsia="宋体" w:hAnsi="宋体" w:cs="宋体" w:hint="eastAsia"/>
          <w:color w:val="323232"/>
          <w:spacing w:val="-4"/>
          <w:sz w:val="24"/>
          <w:szCs w:val="24"/>
          <w:lang w:eastAsia="zh-CN"/>
        </w:rPr>
        <w:t>时间</w:t>
      </w:r>
      <w:r>
        <w:rPr>
          <w:rFonts w:ascii="宋体" w:eastAsia="宋体" w:hAnsi="宋体" w:cs="宋体" w:hint="eastAsia"/>
          <w:color w:val="323232"/>
          <w:spacing w:val="-4"/>
          <w:sz w:val="24"/>
          <w:szCs w:val="24"/>
          <w:lang w:eastAsia="zh-CN"/>
        </w:rPr>
        <w:t>：</w:t>
      </w:r>
      <w:r>
        <w:rPr>
          <w:rFonts w:ascii="宋体" w:eastAsia="宋体" w:hAnsi="宋体" w:cs="宋体" w:hint="eastAsia"/>
          <w:color w:val="323232"/>
          <w:spacing w:val="-4"/>
          <w:sz w:val="24"/>
          <w:szCs w:val="24"/>
          <w:lang w:eastAsia="zh-CN"/>
        </w:rPr>
        <w:t>2025</w:t>
      </w:r>
      <w:r>
        <w:rPr>
          <w:rFonts w:ascii="宋体" w:eastAsia="宋体" w:hAnsi="宋体" w:cs="宋体" w:hint="eastAsia"/>
          <w:color w:val="323232"/>
          <w:spacing w:val="-4"/>
          <w:sz w:val="24"/>
          <w:szCs w:val="24"/>
          <w:lang w:eastAsia="zh-CN"/>
        </w:rPr>
        <w:t>年</w:t>
      </w:r>
      <w:r>
        <w:rPr>
          <w:rFonts w:ascii="宋体" w:eastAsia="宋体" w:hAnsi="宋体" w:cs="宋体" w:hint="eastAsia"/>
          <w:color w:val="323232"/>
          <w:spacing w:val="-4"/>
          <w:sz w:val="24"/>
          <w:szCs w:val="24"/>
          <w:lang w:eastAsia="zh-CN"/>
        </w:rPr>
        <w:t>11</w:t>
      </w:r>
      <w:r>
        <w:rPr>
          <w:rFonts w:ascii="宋体" w:eastAsia="宋体" w:hAnsi="宋体" w:cs="宋体" w:hint="eastAsia"/>
          <w:color w:val="323232"/>
          <w:spacing w:val="-4"/>
          <w:sz w:val="24"/>
          <w:szCs w:val="24"/>
          <w:lang w:eastAsia="zh-CN"/>
        </w:rPr>
        <w:t>月</w:t>
      </w:r>
      <w:r>
        <w:rPr>
          <w:rFonts w:ascii="宋体" w:eastAsia="宋体" w:hAnsi="宋体" w:cs="宋体" w:hint="eastAsia"/>
          <w:color w:val="323232"/>
          <w:spacing w:val="-4"/>
          <w:sz w:val="24"/>
          <w:szCs w:val="24"/>
          <w:lang w:eastAsia="zh-CN"/>
        </w:rPr>
        <w:t>11</w:t>
      </w:r>
      <w:r>
        <w:rPr>
          <w:rFonts w:ascii="宋体" w:eastAsia="宋体" w:hAnsi="宋体" w:cs="宋体" w:hint="eastAsia"/>
          <w:color w:val="323232"/>
          <w:spacing w:val="-4"/>
          <w:sz w:val="24"/>
          <w:szCs w:val="24"/>
          <w:lang w:eastAsia="zh-CN"/>
        </w:rPr>
        <w:t>日（星期</w:t>
      </w:r>
      <w:r>
        <w:rPr>
          <w:rFonts w:ascii="宋体" w:eastAsia="宋体" w:hAnsi="宋体" w:cs="宋体" w:hint="eastAsia"/>
          <w:color w:val="323232"/>
          <w:spacing w:val="-4"/>
          <w:sz w:val="24"/>
          <w:szCs w:val="24"/>
          <w:lang w:eastAsia="zh-CN"/>
        </w:rPr>
        <w:t>二</w:t>
      </w:r>
      <w:r>
        <w:rPr>
          <w:rFonts w:ascii="宋体" w:eastAsia="宋体" w:hAnsi="宋体" w:cs="宋体" w:hint="eastAsia"/>
          <w:color w:val="323232"/>
          <w:spacing w:val="-4"/>
          <w:sz w:val="24"/>
          <w:szCs w:val="24"/>
          <w:lang w:eastAsia="zh-CN"/>
        </w:rPr>
        <w:t>）</w:t>
      </w:r>
      <w:r>
        <w:rPr>
          <w:rFonts w:ascii="宋体" w:eastAsia="宋体" w:hAnsi="宋体" w:cs="宋体" w:hint="eastAsia"/>
          <w:color w:val="323232"/>
          <w:spacing w:val="-4"/>
          <w:sz w:val="24"/>
          <w:szCs w:val="24"/>
          <w:lang w:eastAsia="zh-CN"/>
        </w:rPr>
        <w:t>下午</w:t>
      </w:r>
      <w:r>
        <w:rPr>
          <w:rFonts w:ascii="宋体" w:eastAsia="宋体" w:hAnsi="宋体" w:cs="宋体" w:hint="eastAsia"/>
          <w:color w:val="323232"/>
          <w:spacing w:val="-4"/>
          <w:sz w:val="24"/>
          <w:szCs w:val="24"/>
          <w:lang w:eastAsia="zh-CN"/>
        </w:rPr>
        <w:t>1</w:t>
      </w:r>
      <w:r>
        <w:rPr>
          <w:rFonts w:ascii="宋体" w:eastAsia="宋体" w:hAnsi="宋体" w:cs="宋体" w:hint="eastAsia"/>
          <w:color w:val="323232"/>
          <w:spacing w:val="-4"/>
          <w:sz w:val="24"/>
          <w:szCs w:val="24"/>
          <w:lang w:eastAsia="zh-CN"/>
        </w:rPr>
        <w:t>6</w:t>
      </w:r>
      <w:r>
        <w:rPr>
          <w:rFonts w:ascii="宋体" w:eastAsia="宋体" w:hAnsi="宋体" w:cs="宋体" w:hint="eastAsia"/>
          <w:color w:val="323232"/>
          <w:spacing w:val="-4"/>
          <w:sz w:val="24"/>
          <w:szCs w:val="24"/>
          <w:lang w:eastAsia="zh-CN"/>
        </w:rPr>
        <w:t>:00</w:t>
      </w:r>
    </w:p>
    <w:p w:rsidR="00AF0B6F" w:rsidRDefault="00D51B8D">
      <w:pPr>
        <w:numPr>
          <w:ilvl w:val="0"/>
          <w:numId w:val="1"/>
        </w:numPr>
        <w:spacing w:line="360" w:lineRule="auto"/>
        <w:rPr>
          <w:rFonts w:ascii="宋体" w:eastAsia="宋体" w:hAnsi="宋体" w:cs="宋体"/>
          <w:color w:val="323232"/>
          <w:spacing w:val="-4"/>
          <w:sz w:val="24"/>
          <w:szCs w:val="24"/>
          <w:lang w:eastAsia="zh-CN"/>
        </w:rPr>
      </w:pPr>
      <w:r>
        <w:rPr>
          <w:rFonts w:ascii="宋体" w:eastAsia="宋体" w:hAnsi="宋体" w:cs="宋体" w:hint="eastAsia"/>
          <w:color w:val="323232"/>
          <w:spacing w:val="-4"/>
          <w:sz w:val="24"/>
          <w:szCs w:val="24"/>
          <w:lang w:eastAsia="zh-CN"/>
        </w:rPr>
        <w:t>基于会议现场管理要求，每家机构限报名</w:t>
      </w:r>
      <w:r>
        <w:rPr>
          <w:rFonts w:ascii="宋体" w:eastAsia="宋体" w:hAnsi="宋体" w:cs="宋体" w:hint="eastAsia"/>
          <w:color w:val="323232"/>
          <w:spacing w:val="-4"/>
          <w:sz w:val="24"/>
          <w:szCs w:val="24"/>
          <w:lang w:eastAsia="zh-CN"/>
        </w:rPr>
        <w:t>2</w:t>
      </w:r>
      <w:r>
        <w:rPr>
          <w:rFonts w:ascii="宋体" w:eastAsia="宋体" w:hAnsi="宋体" w:cs="宋体" w:hint="eastAsia"/>
          <w:color w:val="323232"/>
          <w:spacing w:val="-4"/>
          <w:sz w:val="24"/>
          <w:szCs w:val="24"/>
          <w:lang w:eastAsia="zh-CN"/>
        </w:rPr>
        <w:t>人</w:t>
      </w:r>
    </w:p>
    <w:p w:rsidR="00AF0B6F" w:rsidRDefault="00AF0B6F">
      <w:pPr>
        <w:pStyle w:val="a0"/>
        <w:spacing w:before="26" w:line="219" w:lineRule="auto"/>
        <w:ind w:left="5"/>
        <w:rPr>
          <w:lang w:eastAsia="zh-CN"/>
        </w:rPr>
      </w:pPr>
    </w:p>
    <w:p w:rsidR="00AF0B6F" w:rsidRDefault="00AF0B6F">
      <w:pPr>
        <w:pStyle w:val="a0"/>
        <w:spacing w:before="26" w:line="219" w:lineRule="auto"/>
        <w:ind w:left="5"/>
        <w:rPr>
          <w:lang w:eastAsia="zh-CN"/>
        </w:rPr>
      </w:pPr>
    </w:p>
    <w:p w:rsidR="00AF0B6F" w:rsidRDefault="00D51B8D">
      <w:pPr>
        <w:pStyle w:val="a0"/>
        <w:spacing w:before="78" w:line="353" w:lineRule="auto"/>
        <w:ind w:firstLine="466"/>
        <w:jc w:val="both"/>
        <w:rPr>
          <w:rFonts w:asciiTheme="minorEastAsia" w:eastAsiaTheme="minorEastAsia" w:hAnsiTheme="minorEastAsia"/>
          <w:lang w:eastAsia="zh-CN"/>
        </w:rPr>
      </w:pPr>
      <w:r>
        <w:rPr>
          <w:rFonts w:asciiTheme="minorEastAsia" w:eastAsiaTheme="minorEastAsia" w:hAnsiTheme="minorEastAsia"/>
          <w:color w:val="323232"/>
          <w:spacing w:val="-12"/>
          <w:lang w:eastAsia="zh-CN"/>
        </w:rPr>
        <w:t>为便于广大投资者更全面深入地了解中航首钢生物质封闭式基础设施证券投资基金（基金简称</w:t>
      </w:r>
      <w:r>
        <w:rPr>
          <w:rFonts w:asciiTheme="minorEastAsia" w:eastAsiaTheme="minorEastAsia" w:hAnsiTheme="minorEastAsia" w:hint="eastAsia"/>
          <w:color w:val="323232"/>
          <w:spacing w:val="-12"/>
          <w:lang w:eastAsia="zh-CN"/>
        </w:rPr>
        <w:t>：</w:t>
      </w:r>
      <w:r>
        <w:rPr>
          <w:rFonts w:asciiTheme="minorEastAsia" w:eastAsiaTheme="minorEastAsia" w:hAnsiTheme="minorEastAsia"/>
          <w:color w:val="323232"/>
          <w:spacing w:val="-2"/>
          <w:lang w:eastAsia="zh-CN"/>
        </w:rPr>
        <w:t>中航首钢绿能</w:t>
      </w:r>
      <w:r>
        <w:rPr>
          <w:rFonts w:asciiTheme="minorEastAsia" w:eastAsiaTheme="minorEastAsia" w:hAnsiTheme="minorEastAsia" w:cs="Times New Roman"/>
          <w:color w:val="323232"/>
          <w:spacing w:val="-2"/>
          <w:lang w:eastAsia="zh-CN"/>
        </w:rPr>
        <w:t>REIT</w:t>
      </w:r>
      <w:r>
        <w:rPr>
          <w:rFonts w:asciiTheme="minorEastAsia" w:eastAsiaTheme="minorEastAsia" w:hAnsiTheme="minorEastAsia"/>
          <w:color w:val="323232"/>
          <w:spacing w:val="-2"/>
          <w:lang w:eastAsia="zh-CN"/>
        </w:rPr>
        <w:t>，基金代码</w:t>
      </w:r>
      <w:r>
        <w:rPr>
          <w:rFonts w:asciiTheme="minorEastAsia" w:eastAsiaTheme="minorEastAsia" w:hAnsiTheme="minorEastAsia" w:hint="eastAsia"/>
          <w:color w:val="323232"/>
          <w:spacing w:val="-2"/>
          <w:lang w:eastAsia="zh-CN"/>
        </w:rPr>
        <w:t>：</w:t>
      </w:r>
      <w:r>
        <w:rPr>
          <w:rFonts w:asciiTheme="minorEastAsia" w:eastAsiaTheme="minorEastAsia" w:hAnsiTheme="minorEastAsia" w:cs="Times New Roman"/>
          <w:color w:val="323232"/>
          <w:spacing w:val="-2"/>
          <w:lang w:eastAsia="zh-CN"/>
        </w:rPr>
        <w:t>180801</w:t>
      </w:r>
      <w:r>
        <w:rPr>
          <w:rFonts w:asciiTheme="minorEastAsia" w:eastAsiaTheme="minorEastAsia" w:hAnsiTheme="minorEastAsia"/>
          <w:color w:val="323232"/>
          <w:spacing w:val="-2"/>
          <w:lang w:eastAsia="zh-CN"/>
        </w:rPr>
        <w:t>，以下简称</w:t>
      </w:r>
      <w:r>
        <w:rPr>
          <w:rFonts w:asciiTheme="minorEastAsia" w:eastAsiaTheme="minorEastAsia" w:hAnsiTheme="minorEastAsia" w:cs="Times New Roman"/>
          <w:color w:val="323232"/>
          <w:spacing w:val="-2"/>
          <w:lang w:eastAsia="zh-CN"/>
        </w:rPr>
        <w:t>“</w:t>
      </w:r>
      <w:r>
        <w:rPr>
          <w:rFonts w:asciiTheme="minorEastAsia" w:eastAsiaTheme="minorEastAsia" w:hAnsiTheme="minorEastAsia"/>
          <w:color w:val="323232"/>
          <w:spacing w:val="-2"/>
          <w:lang w:eastAsia="zh-CN"/>
        </w:rPr>
        <w:t>本基金</w:t>
      </w:r>
      <w:r>
        <w:rPr>
          <w:rFonts w:asciiTheme="minorEastAsia" w:eastAsiaTheme="minorEastAsia" w:hAnsiTheme="minorEastAsia" w:cs="Times New Roman"/>
          <w:color w:val="323232"/>
          <w:spacing w:val="-2"/>
          <w:lang w:eastAsia="zh-CN"/>
        </w:rPr>
        <w:t>”</w:t>
      </w:r>
      <w:r>
        <w:rPr>
          <w:rFonts w:asciiTheme="minorEastAsia" w:eastAsiaTheme="minorEastAsia" w:hAnsiTheme="minorEastAsia"/>
          <w:color w:val="323232"/>
          <w:spacing w:val="-2"/>
          <w:lang w:eastAsia="zh-CN"/>
        </w:rPr>
        <w:t>）</w:t>
      </w:r>
      <w:r>
        <w:rPr>
          <w:rFonts w:asciiTheme="minorEastAsia" w:eastAsiaTheme="minorEastAsia" w:hAnsiTheme="minorEastAsia" w:hint="eastAsia"/>
          <w:color w:val="323232"/>
          <w:spacing w:val="-3"/>
          <w:lang w:eastAsia="zh-CN"/>
        </w:rPr>
        <w:t>2025</w:t>
      </w:r>
      <w:r>
        <w:rPr>
          <w:rFonts w:asciiTheme="minorEastAsia" w:eastAsiaTheme="minorEastAsia" w:hAnsiTheme="minorEastAsia" w:hint="eastAsia"/>
          <w:color w:val="323232"/>
          <w:spacing w:val="-3"/>
          <w:lang w:eastAsia="zh-CN"/>
        </w:rPr>
        <w:t>年</w:t>
      </w:r>
      <w:r>
        <w:rPr>
          <w:rFonts w:asciiTheme="minorEastAsia" w:eastAsiaTheme="minorEastAsia" w:hAnsiTheme="minorEastAsia" w:hint="eastAsia"/>
          <w:color w:val="323232"/>
          <w:spacing w:val="-3"/>
          <w:lang w:eastAsia="zh-CN"/>
        </w:rPr>
        <w:t>第</w:t>
      </w:r>
      <w:r>
        <w:rPr>
          <w:rFonts w:asciiTheme="minorEastAsia" w:eastAsiaTheme="minorEastAsia" w:hAnsiTheme="minorEastAsia" w:hint="eastAsia"/>
          <w:color w:val="323232"/>
          <w:spacing w:val="-3"/>
          <w:lang w:eastAsia="zh-CN"/>
        </w:rPr>
        <w:t>3</w:t>
      </w:r>
      <w:r>
        <w:rPr>
          <w:rFonts w:asciiTheme="minorEastAsia" w:eastAsiaTheme="minorEastAsia" w:hAnsiTheme="minorEastAsia" w:hint="eastAsia"/>
          <w:color w:val="323232"/>
          <w:spacing w:val="-3"/>
          <w:lang w:eastAsia="zh-CN"/>
        </w:rPr>
        <w:t>季度经营成果以及财务状况等</w:t>
      </w:r>
      <w:r>
        <w:rPr>
          <w:rFonts w:asciiTheme="minorEastAsia" w:eastAsiaTheme="minorEastAsia" w:hAnsiTheme="minorEastAsia"/>
          <w:color w:val="323232"/>
          <w:spacing w:val="-6"/>
          <w:lang w:eastAsia="zh-CN"/>
        </w:rPr>
        <w:t>，中航基金管理有限公司</w:t>
      </w:r>
      <w:r>
        <w:rPr>
          <w:rFonts w:asciiTheme="minorEastAsia" w:eastAsiaTheme="minorEastAsia" w:hAnsiTheme="minorEastAsia"/>
          <w:color w:val="323232"/>
          <w:spacing w:val="-6"/>
          <w:lang w:eastAsia="zh-CN"/>
        </w:rPr>
        <w:t>(</w:t>
      </w:r>
      <w:r>
        <w:rPr>
          <w:rFonts w:asciiTheme="minorEastAsia" w:eastAsiaTheme="minorEastAsia" w:hAnsiTheme="minorEastAsia"/>
          <w:color w:val="323232"/>
          <w:spacing w:val="-10"/>
          <w:lang w:eastAsia="zh-CN"/>
        </w:rPr>
        <w:t>以下简称</w:t>
      </w:r>
      <w:r>
        <w:rPr>
          <w:rFonts w:asciiTheme="minorEastAsia" w:eastAsiaTheme="minorEastAsia" w:hAnsiTheme="minorEastAsia"/>
          <w:color w:val="323232"/>
          <w:spacing w:val="-10"/>
          <w:lang w:eastAsia="zh-CN"/>
        </w:rPr>
        <w:t>“</w:t>
      </w:r>
      <w:r>
        <w:rPr>
          <w:rFonts w:asciiTheme="minorEastAsia" w:eastAsiaTheme="minorEastAsia" w:hAnsiTheme="minorEastAsia"/>
          <w:color w:val="323232"/>
          <w:spacing w:val="-10"/>
          <w:lang w:eastAsia="zh-CN"/>
        </w:rPr>
        <w:t>中航基金</w:t>
      </w:r>
      <w:r>
        <w:rPr>
          <w:rFonts w:asciiTheme="minorEastAsia" w:eastAsiaTheme="minorEastAsia" w:hAnsiTheme="minorEastAsia"/>
          <w:color w:val="323232"/>
          <w:spacing w:val="-10"/>
          <w:lang w:eastAsia="zh-CN"/>
        </w:rPr>
        <w:t>”</w:t>
      </w:r>
      <w:r>
        <w:rPr>
          <w:rFonts w:asciiTheme="minorEastAsia" w:eastAsiaTheme="minorEastAsia" w:hAnsiTheme="minorEastAsia"/>
          <w:color w:val="323232"/>
          <w:spacing w:val="-10"/>
          <w:lang w:eastAsia="zh-CN"/>
        </w:rPr>
        <w:t>）</w:t>
      </w:r>
      <w:r>
        <w:rPr>
          <w:rFonts w:asciiTheme="minorEastAsia" w:eastAsiaTheme="minorEastAsia" w:hAnsiTheme="minorEastAsia" w:hint="eastAsia"/>
          <w:color w:val="323232"/>
          <w:spacing w:val="-10"/>
          <w:lang w:eastAsia="zh-CN"/>
        </w:rPr>
        <w:t>将</w:t>
      </w:r>
      <w:r>
        <w:rPr>
          <w:rFonts w:asciiTheme="minorEastAsia" w:eastAsiaTheme="minorEastAsia" w:hAnsiTheme="minorEastAsia"/>
          <w:color w:val="323232"/>
          <w:spacing w:val="-10"/>
          <w:lang w:eastAsia="zh-CN"/>
        </w:rPr>
        <w:t>于</w:t>
      </w:r>
      <w:r>
        <w:rPr>
          <w:rFonts w:asciiTheme="minorEastAsia" w:eastAsiaTheme="minorEastAsia" w:hAnsiTheme="minorEastAsia"/>
          <w:color w:val="323232"/>
          <w:spacing w:val="-10"/>
          <w:lang w:eastAsia="zh-CN"/>
        </w:rPr>
        <w:t>202</w:t>
      </w:r>
      <w:r>
        <w:rPr>
          <w:rFonts w:asciiTheme="minorEastAsia" w:eastAsiaTheme="minorEastAsia" w:hAnsiTheme="minorEastAsia" w:hint="eastAsia"/>
          <w:color w:val="323232"/>
          <w:spacing w:val="-10"/>
          <w:lang w:eastAsia="zh-CN"/>
        </w:rPr>
        <w:t>5</w:t>
      </w:r>
      <w:r>
        <w:rPr>
          <w:rFonts w:asciiTheme="minorEastAsia" w:eastAsiaTheme="minorEastAsia" w:hAnsiTheme="minorEastAsia"/>
          <w:color w:val="323232"/>
          <w:spacing w:val="-10"/>
          <w:lang w:eastAsia="zh-CN"/>
        </w:rPr>
        <w:t>年</w:t>
      </w:r>
      <w:r>
        <w:rPr>
          <w:rFonts w:asciiTheme="minorEastAsia" w:eastAsiaTheme="minorEastAsia" w:hAnsiTheme="minorEastAsia" w:hint="eastAsia"/>
          <w:color w:val="323232"/>
          <w:spacing w:val="-10"/>
          <w:lang w:eastAsia="zh-CN"/>
        </w:rPr>
        <w:t>11</w:t>
      </w:r>
      <w:r>
        <w:rPr>
          <w:rFonts w:asciiTheme="minorEastAsia" w:eastAsiaTheme="minorEastAsia" w:hAnsiTheme="minorEastAsia"/>
          <w:color w:val="323232"/>
          <w:spacing w:val="-10"/>
          <w:lang w:eastAsia="zh-CN"/>
        </w:rPr>
        <w:t>月</w:t>
      </w:r>
      <w:r>
        <w:rPr>
          <w:rFonts w:asciiTheme="minorEastAsia" w:eastAsiaTheme="minorEastAsia" w:hAnsiTheme="minorEastAsia" w:hint="eastAsia"/>
          <w:color w:val="323232"/>
          <w:spacing w:val="-10"/>
          <w:lang w:eastAsia="zh-CN"/>
        </w:rPr>
        <w:t>13</w:t>
      </w:r>
      <w:r>
        <w:rPr>
          <w:rFonts w:asciiTheme="minorEastAsia" w:eastAsiaTheme="minorEastAsia" w:hAnsiTheme="minorEastAsia"/>
          <w:color w:val="323232"/>
          <w:spacing w:val="-10"/>
          <w:lang w:eastAsia="zh-CN"/>
        </w:rPr>
        <w:t>日举行本基金</w:t>
      </w:r>
      <w:r>
        <w:rPr>
          <w:rFonts w:asciiTheme="minorEastAsia" w:eastAsiaTheme="minorEastAsia" w:hAnsiTheme="minorEastAsia" w:hint="eastAsia"/>
          <w:color w:val="323232"/>
          <w:spacing w:val="-3"/>
          <w:lang w:eastAsia="zh-CN"/>
        </w:rPr>
        <w:t>2025</w:t>
      </w:r>
      <w:r>
        <w:rPr>
          <w:rFonts w:asciiTheme="minorEastAsia" w:eastAsiaTheme="minorEastAsia" w:hAnsiTheme="minorEastAsia" w:hint="eastAsia"/>
          <w:color w:val="323232"/>
          <w:spacing w:val="-3"/>
          <w:lang w:eastAsia="zh-CN"/>
        </w:rPr>
        <w:t>年第</w:t>
      </w:r>
      <w:r>
        <w:rPr>
          <w:rFonts w:asciiTheme="minorEastAsia" w:eastAsiaTheme="minorEastAsia" w:hAnsiTheme="minorEastAsia" w:hint="eastAsia"/>
          <w:color w:val="323232"/>
          <w:spacing w:val="-3"/>
          <w:lang w:eastAsia="zh-CN"/>
        </w:rPr>
        <w:t>3</w:t>
      </w:r>
      <w:r>
        <w:rPr>
          <w:rFonts w:asciiTheme="minorEastAsia" w:eastAsiaTheme="minorEastAsia" w:hAnsiTheme="minorEastAsia" w:hint="eastAsia"/>
          <w:color w:val="323232"/>
          <w:spacing w:val="-3"/>
          <w:lang w:eastAsia="zh-CN"/>
        </w:rPr>
        <w:t>季度</w:t>
      </w:r>
      <w:r>
        <w:rPr>
          <w:rFonts w:asciiTheme="minorEastAsia" w:eastAsiaTheme="minorEastAsia" w:hAnsiTheme="minorEastAsia"/>
          <w:color w:val="323232"/>
          <w:spacing w:val="-10"/>
          <w:lang w:eastAsia="zh-CN"/>
        </w:rPr>
        <w:t>业绩说</w:t>
      </w:r>
      <w:r>
        <w:rPr>
          <w:rFonts w:asciiTheme="minorEastAsia" w:eastAsiaTheme="minorEastAsia" w:hAnsiTheme="minorEastAsia"/>
          <w:color w:val="323232"/>
          <w:spacing w:val="-11"/>
          <w:lang w:eastAsia="zh-CN"/>
        </w:rPr>
        <w:t>明会，在信息披露允许的范围内就投资者问题进行交流和解答</w:t>
      </w:r>
      <w:r>
        <w:rPr>
          <w:rFonts w:asciiTheme="minorEastAsia" w:eastAsiaTheme="minorEastAsia" w:hAnsiTheme="minorEastAsia" w:hint="eastAsia"/>
          <w:color w:val="323232"/>
          <w:spacing w:val="-11"/>
          <w:lang w:eastAsia="zh-CN"/>
        </w:rPr>
        <w:t>。</w:t>
      </w:r>
    </w:p>
    <w:p w:rsidR="00AF0B6F" w:rsidRDefault="00D51B8D">
      <w:pPr>
        <w:spacing w:before="309" w:line="188" w:lineRule="auto"/>
        <w:ind w:left="459"/>
        <w:rPr>
          <w:rFonts w:asciiTheme="minorEastAsia" w:eastAsiaTheme="minorEastAsia" w:hAnsiTheme="minorEastAsia" w:cs="微软雅黑"/>
          <w:b/>
          <w:bCs/>
          <w:sz w:val="24"/>
          <w:szCs w:val="24"/>
        </w:rPr>
      </w:pPr>
      <w:r>
        <w:rPr>
          <w:rFonts w:asciiTheme="minorEastAsia" w:eastAsiaTheme="minorEastAsia" w:hAnsiTheme="minorEastAsia" w:cs="微软雅黑"/>
          <w:b/>
          <w:bCs/>
          <w:color w:val="313131"/>
          <w:spacing w:val="3"/>
          <w:sz w:val="24"/>
          <w:szCs w:val="24"/>
        </w:rPr>
        <w:t>一、公募</w:t>
      </w:r>
      <w:r>
        <w:rPr>
          <w:rFonts w:asciiTheme="minorEastAsia" w:eastAsiaTheme="minorEastAsia" w:hAnsiTheme="minorEastAsia" w:cs="Times New Roman"/>
          <w:b/>
          <w:bCs/>
          <w:color w:val="323232"/>
          <w:position w:val="-1"/>
          <w:sz w:val="24"/>
          <w:szCs w:val="24"/>
        </w:rPr>
        <w:t>REITs</w:t>
      </w:r>
      <w:r>
        <w:rPr>
          <w:rFonts w:asciiTheme="minorEastAsia" w:eastAsiaTheme="minorEastAsia" w:hAnsiTheme="minorEastAsia" w:cs="微软雅黑"/>
          <w:b/>
          <w:bCs/>
          <w:color w:val="313131"/>
          <w:spacing w:val="3"/>
          <w:sz w:val="24"/>
          <w:szCs w:val="24"/>
        </w:rPr>
        <w:t>信息</w:t>
      </w:r>
    </w:p>
    <w:p w:rsidR="00AF0B6F" w:rsidRDefault="00AF0B6F">
      <w:pPr>
        <w:spacing w:before="21"/>
        <w:rPr>
          <w:rFonts w:eastAsiaTheme="minorEastAsia"/>
          <w:lang w:eastAsia="zh-CN"/>
        </w:rPr>
      </w:pPr>
    </w:p>
    <w:tbl>
      <w:tblPr>
        <w:tblStyle w:val="TableNormal"/>
        <w:tblW w:w="8904"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3857"/>
        <w:gridCol w:w="5047"/>
      </w:tblGrid>
      <w:tr w:rsidR="00AF0B6F">
        <w:trPr>
          <w:trHeight w:val="391"/>
        </w:trPr>
        <w:tc>
          <w:tcPr>
            <w:tcW w:w="385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公募</w:t>
            </w:r>
            <w:r>
              <w:rPr>
                <w:rFonts w:ascii="宋体" w:eastAsia="宋体" w:hAnsi="宋体"/>
                <w:sz w:val="24"/>
              </w:rPr>
              <w:t>REITs</w:t>
            </w:r>
            <w:r>
              <w:rPr>
                <w:rFonts w:ascii="宋体" w:eastAsia="宋体" w:hAnsi="宋体"/>
                <w:sz w:val="24"/>
              </w:rPr>
              <w:t>名称</w:t>
            </w:r>
          </w:p>
        </w:tc>
        <w:tc>
          <w:tcPr>
            <w:tcW w:w="504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中航首钢生物质封闭式基础设施证券投资基金</w:t>
            </w:r>
          </w:p>
        </w:tc>
      </w:tr>
      <w:tr w:rsidR="00AF0B6F">
        <w:trPr>
          <w:trHeight w:val="374"/>
        </w:trPr>
        <w:tc>
          <w:tcPr>
            <w:tcW w:w="385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公募</w:t>
            </w:r>
            <w:r>
              <w:rPr>
                <w:rFonts w:ascii="宋体" w:eastAsia="宋体" w:hAnsi="宋体"/>
                <w:sz w:val="24"/>
              </w:rPr>
              <w:t>REITs</w:t>
            </w:r>
            <w:r>
              <w:rPr>
                <w:rFonts w:ascii="宋体" w:eastAsia="宋体" w:hAnsi="宋体"/>
                <w:sz w:val="24"/>
              </w:rPr>
              <w:t>简称</w:t>
            </w:r>
          </w:p>
        </w:tc>
        <w:tc>
          <w:tcPr>
            <w:tcW w:w="504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中航首钢绿能</w:t>
            </w:r>
            <w:r>
              <w:rPr>
                <w:rFonts w:ascii="宋体" w:eastAsia="宋体" w:hAnsi="宋体"/>
                <w:sz w:val="24"/>
              </w:rPr>
              <w:t>REIT</w:t>
            </w:r>
          </w:p>
        </w:tc>
      </w:tr>
      <w:tr w:rsidR="00AF0B6F">
        <w:trPr>
          <w:trHeight w:val="373"/>
        </w:trPr>
        <w:tc>
          <w:tcPr>
            <w:tcW w:w="385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公募</w:t>
            </w:r>
            <w:r>
              <w:rPr>
                <w:rFonts w:ascii="宋体" w:eastAsia="宋体" w:hAnsi="宋体"/>
                <w:sz w:val="24"/>
              </w:rPr>
              <w:t>REITs</w:t>
            </w:r>
            <w:r>
              <w:rPr>
                <w:rFonts w:ascii="宋体" w:eastAsia="宋体" w:hAnsi="宋体"/>
                <w:sz w:val="24"/>
              </w:rPr>
              <w:t>代码</w:t>
            </w:r>
          </w:p>
        </w:tc>
        <w:tc>
          <w:tcPr>
            <w:tcW w:w="504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180801</w:t>
            </w:r>
          </w:p>
        </w:tc>
      </w:tr>
      <w:tr w:rsidR="00AF0B6F">
        <w:trPr>
          <w:trHeight w:val="373"/>
        </w:trPr>
        <w:tc>
          <w:tcPr>
            <w:tcW w:w="385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基金合同生效日</w:t>
            </w:r>
          </w:p>
        </w:tc>
        <w:tc>
          <w:tcPr>
            <w:tcW w:w="504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2021</w:t>
            </w:r>
            <w:r>
              <w:rPr>
                <w:rFonts w:ascii="宋体" w:eastAsia="宋体" w:hAnsi="宋体"/>
                <w:sz w:val="24"/>
              </w:rPr>
              <w:t>年</w:t>
            </w:r>
            <w:r>
              <w:rPr>
                <w:rFonts w:ascii="宋体" w:eastAsia="宋体" w:hAnsi="宋体"/>
                <w:sz w:val="24"/>
              </w:rPr>
              <w:t>6</w:t>
            </w:r>
            <w:r>
              <w:rPr>
                <w:rFonts w:ascii="宋体" w:eastAsia="宋体" w:hAnsi="宋体"/>
                <w:sz w:val="24"/>
              </w:rPr>
              <w:t>月</w:t>
            </w:r>
            <w:r>
              <w:rPr>
                <w:rFonts w:ascii="宋体" w:eastAsia="宋体" w:hAnsi="宋体"/>
                <w:sz w:val="24"/>
              </w:rPr>
              <w:t>7</w:t>
            </w:r>
            <w:r>
              <w:rPr>
                <w:rFonts w:ascii="宋体" w:eastAsia="宋体" w:hAnsi="宋体"/>
                <w:sz w:val="24"/>
              </w:rPr>
              <w:t>日</w:t>
            </w:r>
          </w:p>
        </w:tc>
      </w:tr>
      <w:tr w:rsidR="00AF0B6F">
        <w:trPr>
          <w:trHeight w:val="362"/>
        </w:trPr>
        <w:tc>
          <w:tcPr>
            <w:tcW w:w="385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基金管理人名称</w:t>
            </w:r>
          </w:p>
        </w:tc>
        <w:tc>
          <w:tcPr>
            <w:tcW w:w="504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中航基金管理有限公司</w:t>
            </w:r>
          </w:p>
        </w:tc>
      </w:tr>
      <w:tr w:rsidR="00AF0B6F">
        <w:trPr>
          <w:trHeight w:val="373"/>
        </w:trPr>
        <w:tc>
          <w:tcPr>
            <w:tcW w:w="385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基金托管人名称</w:t>
            </w:r>
          </w:p>
        </w:tc>
        <w:tc>
          <w:tcPr>
            <w:tcW w:w="504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招商银行股份有限公司</w:t>
            </w:r>
          </w:p>
        </w:tc>
      </w:tr>
      <w:tr w:rsidR="00AF0B6F">
        <w:trPr>
          <w:trHeight w:val="2071"/>
        </w:trPr>
        <w:tc>
          <w:tcPr>
            <w:tcW w:w="385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公告依据</w:t>
            </w:r>
          </w:p>
        </w:tc>
        <w:tc>
          <w:tcPr>
            <w:tcW w:w="5047" w:type="dxa"/>
            <w:vAlign w:val="center"/>
          </w:tcPr>
          <w:p w:rsidR="00AF0B6F" w:rsidRDefault="00D51B8D">
            <w:pPr>
              <w:pStyle w:val="ac"/>
              <w:spacing w:line="360" w:lineRule="auto"/>
              <w:ind w:firstLineChars="0" w:firstLine="0"/>
              <w:rPr>
                <w:rFonts w:ascii="宋体" w:eastAsia="宋体" w:hAnsi="宋体"/>
                <w:sz w:val="24"/>
              </w:rPr>
            </w:pPr>
            <w:r>
              <w:rPr>
                <w:rFonts w:ascii="宋体" w:eastAsia="宋体" w:hAnsi="宋体"/>
                <w:sz w:val="24"/>
              </w:rPr>
              <w:t>《中华人民共和国证券投资基金法》及配套法规、《公开募集基础设施证券投资基金指引</w:t>
            </w:r>
            <w:r>
              <w:rPr>
                <w:rFonts w:ascii="宋体" w:eastAsia="宋体" w:hAnsi="宋体" w:hint="eastAsia"/>
                <w:sz w:val="24"/>
              </w:rPr>
              <w:t>（</w:t>
            </w:r>
            <w:r>
              <w:rPr>
                <w:rFonts w:ascii="宋体" w:eastAsia="宋体" w:hAnsi="宋体"/>
                <w:sz w:val="24"/>
              </w:rPr>
              <w:t>试行）》</w:t>
            </w:r>
            <w:r>
              <w:rPr>
                <w:rFonts w:ascii="宋体" w:eastAsia="宋体" w:hAnsi="宋体" w:hint="eastAsia"/>
                <w:sz w:val="24"/>
              </w:rPr>
              <w:t>《公开募集证券投资基金信息披露管理办法》</w:t>
            </w:r>
            <w:r>
              <w:rPr>
                <w:rFonts w:ascii="宋体" w:eastAsia="宋体" w:hAnsi="宋体"/>
                <w:sz w:val="24"/>
              </w:rPr>
              <w:t>《深圳证券交易所公开募集基础设施证券投资基金业务办法（试行）》</w:t>
            </w:r>
            <w:r>
              <w:rPr>
                <w:rFonts w:ascii="宋体" w:eastAsia="宋体" w:hAnsi="宋体" w:hint="eastAsia"/>
                <w:sz w:val="24"/>
              </w:rPr>
              <w:t>《深圳证券交易所公开募集基础设施证券投资基金业务</w:t>
            </w:r>
            <w:r>
              <w:rPr>
                <w:rFonts w:ascii="宋体" w:eastAsia="宋体" w:hAnsi="宋体" w:hint="eastAsia"/>
                <w:sz w:val="24"/>
              </w:rPr>
              <w:lastRenderedPageBreak/>
              <w:t>指引第</w:t>
            </w:r>
            <w:r>
              <w:rPr>
                <w:rFonts w:ascii="宋体" w:eastAsia="宋体" w:hAnsi="宋体" w:hint="eastAsia"/>
                <w:sz w:val="24"/>
              </w:rPr>
              <w:t>5</w:t>
            </w:r>
            <w:r>
              <w:rPr>
                <w:rFonts w:ascii="宋体" w:eastAsia="宋体" w:hAnsi="宋体" w:hint="eastAsia"/>
                <w:sz w:val="24"/>
              </w:rPr>
              <w:t>号——临时报告（试行）》等有关规定以及</w:t>
            </w:r>
            <w:r>
              <w:rPr>
                <w:rFonts w:ascii="宋体" w:eastAsia="宋体" w:hAnsi="宋体"/>
                <w:sz w:val="24"/>
              </w:rPr>
              <w:t>《中航首钢生物质封闭式基础设施证券投资基金基金合同》《中航首钢生物质封闭式基础设施证券投资基金招募说明书》</w:t>
            </w:r>
            <w:r>
              <w:rPr>
                <w:rFonts w:ascii="宋体" w:eastAsia="宋体" w:hAnsi="宋体" w:hint="eastAsia"/>
                <w:sz w:val="24"/>
              </w:rPr>
              <w:t>及其更新</w:t>
            </w:r>
            <w:r>
              <w:rPr>
                <w:rFonts w:ascii="宋体" w:eastAsia="宋体" w:hAnsi="宋体"/>
                <w:sz w:val="24"/>
              </w:rPr>
              <w:t>等</w:t>
            </w:r>
          </w:p>
        </w:tc>
      </w:tr>
    </w:tbl>
    <w:p w:rsidR="00AF0B6F" w:rsidRDefault="00AF0B6F">
      <w:pPr>
        <w:rPr>
          <w:rFonts w:eastAsiaTheme="minorEastAsia"/>
          <w:lang w:eastAsia="zh-CN"/>
        </w:rPr>
      </w:pPr>
    </w:p>
    <w:p w:rsidR="00AF0B6F" w:rsidRDefault="00D51B8D">
      <w:pPr>
        <w:spacing w:before="309" w:line="188" w:lineRule="auto"/>
        <w:ind w:left="459"/>
        <w:rPr>
          <w:rFonts w:asciiTheme="minorEastAsia" w:eastAsiaTheme="minorEastAsia" w:hAnsiTheme="minorEastAsia" w:cs="微软雅黑"/>
          <w:b/>
          <w:bCs/>
          <w:color w:val="313131"/>
          <w:spacing w:val="3"/>
          <w:sz w:val="24"/>
          <w:szCs w:val="24"/>
          <w:lang w:eastAsia="zh-CN"/>
        </w:rPr>
      </w:pPr>
      <w:r>
        <w:rPr>
          <w:rFonts w:asciiTheme="minorEastAsia" w:eastAsiaTheme="minorEastAsia" w:hAnsiTheme="minorEastAsia" w:cs="微软雅黑"/>
          <w:b/>
          <w:bCs/>
          <w:color w:val="313131"/>
          <w:spacing w:val="3"/>
          <w:sz w:val="24"/>
          <w:szCs w:val="24"/>
          <w:lang w:eastAsia="zh-CN"/>
        </w:rPr>
        <w:t>二、本次活动的时间、地点、参与方式</w:t>
      </w:r>
    </w:p>
    <w:p w:rsidR="00AF0B6F" w:rsidRDefault="00AF0B6F">
      <w:pPr>
        <w:spacing w:line="271" w:lineRule="auto"/>
        <w:rPr>
          <w:lang w:eastAsia="zh-CN"/>
        </w:rPr>
      </w:pPr>
    </w:p>
    <w:p w:rsidR="00AF0B6F" w:rsidRDefault="00D51B8D">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cs="Times New Roman"/>
          <w:snapToGrid/>
          <w:color w:val="auto"/>
          <w:kern w:val="2"/>
          <w:sz w:val="24"/>
          <w:szCs w:val="24"/>
          <w:lang w:eastAsia="zh-CN"/>
        </w:rPr>
      </w:pPr>
      <w:r>
        <w:rPr>
          <w:rFonts w:asciiTheme="minorEastAsia" w:eastAsiaTheme="minorEastAsia" w:hAnsiTheme="minorEastAsia" w:cs="Times New Roman"/>
          <w:snapToGrid/>
          <w:color w:val="auto"/>
          <w:kern w:val="2"/>
          <w:sz w:val="24"/>
          <w:szCs w:val="24"/>
          <w:lang w:eastAsia="zh-CN"/>
        </w:rPr>
        <w:t>（一）时间：</w:t>
      </w:r>
      <w:r>
        <w:rPr>
          <w:rFonts w:asciiTheme="minorEastAsia" w:eastAsiaTheme="minorEastAsia" w:hAnsiTheme="minorEastAsia" w:cs="Times New Roman"/>
          <w:snapToGrid/>
          <w:color w:val="auto"/>
          <w:kern w:val="2"/>
          <w:sz w:val="24"/>
          <w:szCs w:val="24"/>
          <w:lang w:eastAsia="zh-CN"/>
        </w:rPr>
        <w:t>202</w:t>
      </w:r>
      <w:r>
        <w:rPr>
          <w:rFonts w:asciiTheme="minorEastAsia" w:eastAsiaTheme="minorEastAsia" w:hAnsiTheme="minorEastAsia" w:cs="Times New Roman" w:hint="eastAsia"/>
          <w:snapToGrid/>
          <w:color w:val="auto"/>
          <w:kern w:val="2"/>
          <w:sz w:val="24"/>
          <w:szCs w:val="24"/>
          <w:lang w:eastAsia="zh-CN"/>
        </w:rPr>
        <w:t>5</w:t>
      </w:r>
      <w:r>
        <w:rPr>
          <w:rFonts w:asciiTheme="minorEastAsia" w:eastAsiaTheme="minorEastAsia" w:hAnsiTheme="minorEastAsia" w:cs="Times New Roman"/>
          <w:snapToGrid/>
          <w:color w:val="auto"/>
          <w:kern w:val="2"/>
          <w:sz w:val="24"/>
          <w:szCs w:val="24"/>
          <w:lang w:eastAsia="zh-CN"/>
        </w:rPr>
        <w:t>年</w:t>
      </w:r>
      <w:r>
        <w:rPr>
          <w:rFonts w:asciiTheme="minorEastAsia" w:eastAsiaTheme="minorEastAsia" w:hAnsiTheme="minorEastAsia" w:cs="Times New Roman" w:hint="eastAsia"/>
          <w:snapToGrid/>
          <w:color w:val="auto"/>
          <w:kern w:val="2"/>
          <w:sz w:val="24"/>
          <w:szCs w:val="24"/>
          <w:lang w:eastAsia="zh-CN"/>
        </w:rPr>
        <w:t>11</w:t>
      </w:r>
      <w:r>
        <w:rPr>
          <w:rFonts w:asciiTheme="minorEastAsia" w:eastAsiaTheme="minorEastAsia" w:hAnsiTheme="minorEastAsia" w:cs="Times New Roman"/>
          <w:snapToGrid/>
          <w:color w:val="auto"/>
          <w:kern w:val="2"/>
          <w:sz w:val="24"/>
          <w:szCs w:val="24"/>
          <w:lang w:eastAsia="zh-CN"/>
        </w:rPr>
        <w:t>月</w:t>
      </w:r>
      <w:r>
        <w:rPr>
          <w:rFonts w:asciiTheme="minorEastAsia" w:eastAsiaTheme="minorEastAsia" w:hAnsiTheme="minorEastAsia" w:cs="Times New Roman" w:hint="eastAsia"/>
          <w:snapToGrid/>
          <w:color w:val="auto"/>
          <w:kern w:val="2"/>
          <w:sz w:val="24"/>
          <w:szCs w:val="24"/>
          <w:lang w:eastAsia="zh-CN"/>
        </w:rPr>
        <w:t>13</w:t>
      </w:r>
      <w:r>
        <w:rPr>
          <w:rFonts w:asciiTheme="minorEastAsia" w:eastAsiaTheme="minorEastAsia" w:hAnsiTheme="minorEastAsia" w:cs="Times New Roman"/>
          <w:snapToGrid/>
          <w:color w:val="auto"/>
          <w:kern w:val="2"/>
          <w:sz w:val="24"/>
          <w:szCs w:val="24"/>
          <w:lang w:eastAsia="zh-CN"/>
        </w:rPr>
        <w:t>日（星期</w:t>
      </w:r>
      <w:r>
        <w:rPr>
          <w:rFonts w:asciiTheme="minorEastAsia" w:eastAsiaTheme="minorEastAsia" w:hAnsiTheme="minorEastAsia" w:cs="Times New Roman" w:hint="eastAsia"/>
          <w:snapToGrid/>
          <w:color w:val="auto"/>
          <w:kern w:val="2"/>
          <w:sz w:val="24"/>
          <w:szCs w:val="24"/>
          <w:lang w:eastAsia="zh-CN"/>
        </w:rPr>
        <w:t>四</w:t>
      </w:r>
      <w:r>
        <w:rPr>
          <w:rFonts w:asciiTheme="minorEastAsia" w:eastAsiaTheme="minorEastAsia" w:hAnsiTheme="minorEastAsia" w:cs="Times New Roman"/>
          <w:snapToGrid/>
          <w:color w:val="auto"/>
          <w:kern w:val="2"/>
          <w:sz w:val="24"/>
          <w:szCs w:val="24"/>
          <w:lang w:eastAsia="zh-CN"/>
        </w:rPr>
        <w:t>）</w:t>
      </w:r>
      <w:r>
        <w:rPr>
          <w:rFonts w:asciiTheme="minorEastAsia" w:eastAsiaTheme="minorEastAsia" w:hAnsiTheme="minorEastAsia" w:cs="Times New Roman"/>
          <w:snapToGrid/>
          <w:color w:val="auto"/>
          <w:kern w:val="2"/>
          <w:sz w:val="24"/>
          <w:szCs w:val="24"/>
          <w:lang w:eastAsia="zh-CN"/>
        </w:rPr>
        <w:t>1</w:t>
      </w:r>
      <w:r>
        <w:rPr>
          <w:rFonts w:asciiTheme="minorEastAsia" w:eastAsiaTheme="minorEastAsia" w:hAnsiTheme="minorEastAsia" w:cs="Times New Roman" w:hint="eastAsia"/>
          <w:snapToGrid/>
          <w:color w:val="auto"/>
          <w:kern w:val="2"/>
          <w:sz w:val="24"/>
          <w:szCs w:val="24"/>
          <w:lang w:eastAsia="zh-CN"/>
        </w:rPr>
        <w:t>5</w:t>
      </w:r>
      <w:r>
        <w:rPr>
          <w:rFonts w:asciiTheme="minorEastAsia" w:eastAsiaTheme="minorEastAsia" w:hAnsiTheme="minorEastAsia" w:cs="Times New Roman"/>
          <w:snapToGrid/>
          <w:color w:val="auto"/>
          <w:kern w:val="2"/>
          <w:sz w:val="24"/>
          <w:szCs w:val="24"/>
          <w:lang w:eastAsia="zh-CN"/>
        </w:rPr>
        <w:t>:</w:t>
      </w:r>
      <w:r>
        <w:rPr>
          <w:rFonts w:asciiTheme="minorEastAsia" w:eastAsiaTheme="minorEastAsia" w:hAnsiTheme="minorEastAsia" w:cs="Times New Roman" w:hint="eastAsia"/>
          <w:snapToGrid/>
          <w:color w:val="auto"/>
          <w:kern w:val="2"/>
          <w:sz w:val="24"/>
          <w:szCs w:val="24"/>
          <w:lang w:eastAsia="zh-CN"/>
        </w:rPr>
        <w:t>0</w:t>
      </w:r>
      <w:r>
        <w:rPr>
          <w:rFonts w:asciiTheme="minorEastAsia" w:eastAsiaTheme="minorEastAsia" w:hAnsiTheme="minorEastAsia" w:cs="Times New Roman"/>
          <w:snapToGrid/>
          <w:color w:val="auto"/>
          <w:kern w:val="2"/>
          <w:sz w:val="24"/>
          <w:szCs w:val="24"/>
          <w:lang w:eastAsia="zh-CN"/>
        </w:rPr>
        <w:t>0-1</w:t>
      </w:r>
      <w:r>
        <w:rPr>
          <w:rFonts w:asciiTheme="minorEastAsia" w:eastAsiaTheme="minorEastAsia" w:hAnsiTheme="minorEastAsia" w:cs="Times New Roman" w:hint="eastAsia"/>
          <w:snapToGrid/>
          <w:color w:val="auto"/>
          <w:kern w:val="2"/>
          <w:sz w:val="24"/>
          <w:szCs w:val="24"/>
          <w:lang w:eastAsia="zh-CN"/>
        </w:rPr>
        <w:t>6</w:t>
      </w:r>
      <w:r>
        <w:rPr>
          <w:rFonts w:asciiTheme="minorEastAsia" w:eastAsiaTheme="minorEastAsia" w:hAnsiTheme="minorEastAsia" w:cs="Times New Roman"/>
          <w:snapToGrid/>
          <w:color w:val="auto"/>
          <w:kern w:val="2"/>
          <w:sz w:val="24"/>
          <w:szCs w:val="24"/>
          <w:lang w:eastAsia="zh-CN"/>
        </w:rPr>
        <w:t>:</w:t>
      </w:r>
      <w:r>
        <w:rPr>
          <w:rFonts w:asciiTheme="minorEastAsia" w:eastAsiaTheme="minorEastAsia" w:hAnsiTheme="minorEastAsia" w:cs="Times New Roman" w:hint="eastAsia"/>
          <w:snapToGrid/>
          <w:color w:val="auto"/>
          <w:kern w:val="2"/>
          <w:sz w:val="24"/>
          <w:szCs w:val="24"/>
          <w:lang w:eastAsia="zh-CN"/>
        </w:rPr>
        <w:t>0</w:t>
      </w:r>
      <w:r>
        <w:rPr>
          <w:rFonts w:asciiTheme="minorEastAsia" w:eastAsiaTheme="minorEastAsia" w:hAnsiTheme="minorEastAsia" w:cs="Times New Roman"/>
          <w:snapToGrid/>
          <w:color w:val="auto"/>
          <w:kern w:val="2"/>
          <w:sz w:val="24"/>
          <w:szCs w:val="24"/>
          <w:lang w:eastAsia="zh-CN"/>
        </w:rPr>
        <w:t>0</w:t>
      </w:r>
    </w:p>
    <w:p w:rsidR="00AF0B6F" w:rsidRDefault="00D51B8D">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cs="Times New Roman"/>
          <w:snapToGrid/>
          <w:color w:val="auto"/>
          <w:kern w:val="2"/>
          <w:sz w:val="24"/>
          <w:szCs w:val="24"/>
          <w:lang w:eastAsia="zh-CN"/>
        </w:rPr>
      </w:pPr>
      <w:r>
        <w:rPr>
          <w:rFonts w:asciiTheme="minorEastAsia" w:eastAsiaTheme="minorEastAsia" w:hAnsiTheme="minorEastAsia" w:cs="Times New Roman"/>
          <w:snapToGrid/>
          <w:color w:val="auto"/>
          <w:kern w:val="2"/>
          <w:sz w:val="24"/>
          <w:szCs w:val="24"/>
          <w:lang w:eastAsia="zh-CN"/>
        </w:rPr>
        <w:t>（二）现场地点：北京市朝阳区天辰东路</w:t>
      </w:r>
      <w:r>
        <w:rPr>
          <w:rFonts w:asciiTheme="minorEastAsia" w:eastAsiaTheme="minorEastAsia" w:hAnsiTheme="minorEastAsia" w:cs="Times New Roman"/>
          <w:snapToGrid/>
          <w:color w:val="auto"/>
          <w:kern w:val="2"/>
          <w:sz w:val="24"/>
          <w:szCs w:val="24"/>
          <w:lang w:eastAsia="zh-CN"/>
        </w:rPr>
        <w:t>1</w:t>
      </w:r>
      <w:r>
        <w:rPr>
          <w:rFonts w:asciiTheme="minorEastAsia" w:eastAsiaTheme="minorEastAsia" w:hAnsiTheme="minorEastAsia" w:cs="Times New Roman"/>
          <w:snapToGrid/>
          <w:color w:val="auto"/>
          <w:kern w:val="2"/>
          <w:sz w:val="24"/>
          <w:szCs w:val="24"/>
          <w:lang w:eastAsia="zh-CN"/>
        </w:rPr>
        <w:t>号院亚洲金融大厦</w:t>
      </w:r>
      <w:r>
        <w:rPr>
          <w:rFonts w:asciiTheme="minorEastAsia" w:eastAsiaTheme="minorEastAsia" w:hAnsiTheme="minorEastAsia" w:cs="Times New Roman"/>
          <w:snapToGrid/>
          <w:color w:val="auto"/>
          <w:kern w:val="2"/>
          <w:sz w:val="24"/>
          <w:szCs w:val="24"/>
          <w:lang w:eastAsia="zh-CN"/>
        </w:rPr>
        <w:t>D</w:t>
      </w:r>
      <w:r>
        <w:rPr>
          <w:rFonts w:asciiTheme="minorEastAsia" w:eastAsiaTheme="minorEastAsia" w:hAnsiTheme="minorEastAsia" w:cs="Times New Roman"/>
          <w:snapToGrid/>
          <w:color w:val="auto"/>
          <w:kern w:val="2"/>
          <w:sz w:val="24"/>
          <w:szCs w:val="24"/>
          <w:lang w:eastAsia="zh-CN"/>
        </w:rPr>
        <w:t>座</w:t>
      </w:r>
      <w:r>
        <w:rPr>
          <w:rFonts w:asciiTheme="minorEastAsia" w:eastAsiaTheme="minorEastAsia" w:hAnsiTheme="minorEastAsia" w:cs="Times New Roman"/>
          <w:snapToGrid/>
          <w:color w:val="auto"/>
          <w:kern w:val="2"/>
          <w:sz w:val="24"/>
          <w:szCs w:val="24"/>
          <w:lang w:eastAsia="zh-CN"/>
        </w:rPr>
        <w:t>8</w:t>
      </w:r>
      <w:r>
        <w:rPr>
          <w:rFonts w:asciiTheme="minorEastAsia" w:eastAsiaTheme="minorEastAsia" w:hAnsiTheme="minorEastAsia" w:cs="Times New Roman"/>
          <w:snapToGrid/>
          <w:color w:val="auto"/>
          <w:kern w:val="2"/>
          <w:sz w:val="24"/>
          <w:szCs w:val="24"/>
          <w:lang w:eastAsia="zh-CN"/>
        </w:rPr>
        <w:t>层</w:t>
      </w:r>
    </w:p>
    <w:p w:rsidR="00AF0B6F" w:rsidRDefault="00D51B8D">
      <w:pPr>
        <w:widowControl w:val="0"/>
        <w:kinsoku/>
        <w:autoSpaceDE/>
        <w:autoSpaceDN/>
        <w:adjustRightInd/>
        <w:snapToGrid/>
        <w:spacing w:line="360" w:lineRule="auto"/>
        <w:ind w:firstLineChars="200" w:firstLine="480"/>
        <w:jc w:val="both"/>
        <w:textAlignment w:val="auto"/>
        <w:rPr>
          <w:rFonts w:asciiTheme="minorEastAsia" w:eastAsiaTheme="minorEastAsia" w:hAnsiTheme="minorEastAsia" w:cs="Times New Roman"/>
          <w:snapToGrid/>
          <w:color w:val="auto"/>
          <w:kern w:val="2"/>
          <w:sz w:val="24"/>
          <w:szCs w:val="24"/>
          <w:lang w:eastAsia="zh-CN"/>
        </w:rPr>
      </w:pPr>
      <w:r>
        <w:rPr>
          <w:rFonts w:asciiTheme="minorEastAsia" w:eastAsiaTheme="minorEastAsia" w:hAnsiTheme="minorEastAsia" w:cs="Times New Roman"/>
          <w:snapToGrid/>
          <w:color w:val="auto"/>
          <w:kern w:val="2"/>
          <w:sz w:val="24"/>
          <w:szCs w:val="24"/>
          <w:lang w:eastAsia="zh-CN"/>
        </w:rPr>
        <w:t>（三）参与方式：现场会议</w:t>
      </w:r>
    </w:p>
    <w:p w:rsidR="00AF0B6F" w:rsidRDefault="00D51B8D">
      <w:pPr>
        <w:spacing w:before="309" w:line="188" w:lineRule="auto"/>
        <w:ind w:left="459"/>
        <w:rPr>
          <w:rFonts w:asciiTheme="minorEastAsia" w:eastAsiaTheme="minorEastAsia" w:hAnsiTheme="minorEastAsia" w:cs="微软雅黑"/>
          <w:b/>
          <w:bCs/>
          <w:color w:val="313131"/>
          <w:spacing w:val="3"/>
          <w:sz w:val="24"/>
          <w:szCs w:val="24"/>
          <w:lang w:eastAsia="zh-CN"/>
        </w:rPr>
      </w:pPr>
      <w:r>
        <w:rPr>
          <w:rFonts w:asciiTheme="minorEastAsia" w:eastAsiaTheme="minorEastAsia" w:hAnsiTheme="minorEastAsia" w:cs="微软雅黑"/>
          <w:b/>
          <w:bCs/>
          <w:color w:val="313131"/>
          <w:spacing w:val="3"/>
          <w:sz w:val="24"/>
          <w:szCs w:val="24"/>
          <w:lang w:eastAsia="zh-CN"/>
        </w:rPr>
        <w:t>三、参加人员</w:t>
      </w:r>
    </w:p>
    <w:p w:rsidR="00AF0B6F" w:rsidRDefault="00AF0B6F">
      <w:pPr>
        <w:spacing w:line="276" w:lineRule="auto"/>
        <w:rPr>
          <w:lang w:eastAsia="zh-CN"/>
        </w:rPr>
      </w:pPr>
    </w:p>
    <w:p w:rsidR="00AF0B6F" w:rsidRDefault="00D51B8D">
      <w:pPr>
        <w:pStyle w:val="a0"/>
        <w:spacing w:before="78" w:line="348" w:lineRule="auto"/>
        <w:ind w:left="151" w:right="22" w:firstLine="473"/>
        <w:jc w:val="both"/>
        <w:rPr>
          <w:snapToGrid/>
          <w:color w:val="auto"/>
          <w:kern w:val="2"/>
          <w:lang w:eastAsia="zh-CN"/>
        </w:rPr>
      </w:pPr>
      <w:r>
        <w:rPr>
          <w:rFonts w:hint="eastAsia"/>
          <w:snapToGrid/>
          <w:color w:val="auto"/>
          <w:kern w:val="2"/>
          <w:lang w:eastAsia="zh-CN"/>
        </w:rPr>
        <w:t>本基金管理人及运营管理机构等相关业务负责人、</w:t>
      </w:r>
      <w:r>
        <w:rPr>
          <w:snapToGrid/>
          <w:color w:val="auto"/>
          <w:kern w:val="2"/>
          <w:lang w:eastAsia="zh-CN"/>
        </w:rPr>
        <w:t>中航</w:t>
      </w:r>
      <w:r>
        <w:rPr>
          <w:rFonts w:hint="eastAsia"/>
          <w:snapToGrid/>
          <w:color w:val="auto"/>
          <w:kern w:val="2"/>
          <w:lang w:eastAsia="zh-CN"/>
        </w:rPr>
        <w:t>首</w:t>
      </w:r>
      <w:r>
        <w:rPr>
          <w:snapToGrid/>
          <w:color w:val="auto"/>
          <w:kern w:val="2"/>
          <w:lang w:eastAsia="zh-CN"/>
        </w:rPr>
        <w:t>钢绿能</w:t>
      </w:r>
      <w:r>
        <w:rPr>
          <w:snapToGrid/>
          <w:color w:val="auto"/>
          <w:kern w:val="2"/>
          <w:lang w:eastAsia="zh-CN"/>
        </w:rPr>
        <w:t>REIT</w:t>
      </w:r>
      <w:r>
        <w:rPr>
          <w:snapToGrid/>
          <w:color w:val="auto"/>
          <w:kern w:val="2"/>
          <w:lang w:eastAsia="zh-CN"/>
        </w:rPr>
        <w:t>投资者</w:t>
      </w:r>
      <w:r>
        <w:rPr>
          <w:rFonts w:hint="eastAsia"/>
          <w:snapToGrid/>
          <w:color w:val="auto"/>
          <w:kern w:val="2"/>
          <w:lang w:eastAsia="zh-CN"/>
        </w:rPr>
        <w:t>等</w:t>
      </w:r>
      <w:r>
        <w:rPr>
          <w:snapToGrid/>
          <w:color w:val="auto"/>
          <w:kern w:val="2"/>
          <w:lang w:eastAsia="zh-CN"/>
        </w:rPr>
        <w:t>。</w:t>
      </w:r>
    </w:p>
    <w:p w:rsidR="00AF0B6F" w:rsidRDefault="00D51B8D">
      <w:pPr>
        <w:spacing w:before="309" w:line="188" w:lineRule="auto"/>
        <w:ind w:left="459"/>
        <w:rPr>
          <w:rFonts w:asciiTheme="minorEastAsia" w:eastAsiaTheme="minorEastAsia" w:hAnsiTheme="minorEastAsia" w:cs="微软雅黑"/>
          <w:b/>
          <w:bCs/>
          <w:color w:val="313131"/>
          <w:spacing w:val="3"/>
          <w:sz w:val="24"/>
          <w:szCs w:val="24"/>
        </w:rPr>
      </w:pPr>
      <w:r>
        <w:rPr>
          <w:rFonts w:asciiTheme="minorEastAsia" w:eastAsiaTheme="minorEastAsia" w:hAnsiTheme="minorEastAsia" w:cs="微软雅黑"/>
          <w:b/>
          <w:bCs/>
          <w:color w:val="313131"/>
          <w:spacing w:val="3"/>
          <w:sz w:val="24"/>
          <w:szCs w:val="24"/>
        </w:rPr>
        <w:t>四、报名方式</w:t>
      </w:r>
    </w:p>
    <w:p w:rsidR="00AF0B6F" w:rsidRDefault="00AF0B6F">
      <w:pPr>
        <w:spacing w:line="314" w:lineRule="auto"/>
      </w:pPr>
    </w:p>
    <w:p w:rsidR="00AF0B6F" w:rsidRDefault="00D51B8D" w:rsidP="00D51B8D">
      <w:pPr>
        <w:spacing w:line="360" w:lineRule="auto"/>
        <w:ind w:firstLineChars="200" w:firstLine="472"/>
        <w:jc w:val="both"/>
        <w:rPr>
          <w:rFonts w:ascii="宋体" w:eastAsia="宋体" w:hAnsi="宋体" w:cs="宋体"/>
          <w:color w:val="323232"/>
          <w:spacing w:val="-4"/>
          <w:sz w:val="24"/>
          <w:szCs w:val="24"/>
        </w:rPr>
      </w:pPr>
      <w:r>
        <w:rPr>
          <w:rFonts w:ascii="宋体" w:eastAsia="宋体" w:hAnsi="宋体" w:cs="宋体" w:hint="eastAsia"/>
          <w:color w:val="323232"/>
          <w:spacing w:val="-4"/>
          <w:sz w:val="24"/>
          <w:szCs w:val="24"/>
        </w:rPr>
        <w:t>方式一：投资者可发送报名邮件至</w:t>
      </w:r>
      <w:r>
        <w:rPr>
          <w:rFonts w:ascii="宋体" w:eastAsia="宋体" w:hAnsi="宋体" w:cs="宋体" w:hint="eastAsia"/>
          <w:color w:val="323232"/>
          <w:spacing w:val="-4"/>
          <w:sz w:val="24"/>
          <w:szCs w:val="24"/>
        </w:rPr>
        <w:t>IR_REITs@avicfund.cn</w:t>
      </w:r>
      <w:r>
        <w:rPr>
          <w:rFonts w:ascii="宋体" w:eastAsia="宋体" w:hAnsi="宋体" w:cs="宋体" w:hint="eastAsia"/>
          <w:color w:val="323232"/>
          <w:spacing w:val="-4"/>
          <w:sz w:val="24"/>
          <w:szCs w:val="24"/>
        </w:rPr>
        <w:t>进行报名。</w:t>
      </w:r>
      <w:bookmarkStart w:id="0" w:name="_GoBack"/>
      <w:bookmarkEnd w:id="0"/>
      <w:r>
        <w:rPr>
          <w:rFonts w:ascii="宋体" w:eastAsia="宋体" w:hAnsi="宋体" w:cs="宋体" w:hint="eastAsia"/>
          <w:color w:val="323232"/>
          <w:spacing w:val="-4"/>
          <w:sz w:val="24"/>
          <w:szCs w:val="24"/>
        </w:rPr>
        <w:t>邮件主题为“机构</w:t>
      </w:r>
      <w:r>
        <w:rPr>
          <w:rFonts w:ascii="宋体" w:eastAsia="宋体" w:hAnsi="宋体" w:cs="宋体" w:hint="eastAsia"/>
          <w:color w:val="323232"/>
          <w:spacing w:val="-4"/>
          <w:sz w:val="24"/>
          <w:szCs w:val="24"/>
        </w:rPr>
        <w:t>-</w:t>
      </w:r>
      <w:r>
        <w:rPr>
          <w:rFonts w:ascii="宋体" w:eastAsia="宋体" w:hAnsi="宋体" w:cs="宋体" w:hint="eastAsia"/>
          <w:color w:val="323232"/>
          <w:spacing w:val="-4"/>
          <w:sz w:val="24"/>
          <w:szCs w:val="24"/>
        </w:rPr>
        <w:t>人名</w:t>
      </w:r>
      <w:r>
        <w:rPr>
          <w:rFonts w:ascii="宋体" w:eastAsia="宋体" w:hAnsi="宋体" w:cs="宋体" w:hint="eastAsia"/>
          <w:color w:val="323232"/>
          <w:spacing w:val="-4"/>
          <w:sz w:val="24"/>
          <w:szCs w:val="24"/>
        </w:rPr>
        <w:t>-</w:t>
      </w:r>
      <w:r>
        <w:rPr>
          <w:rFonts w:ascii="宋体" w:eastAsia="宋体" w:hAnsi="宋体" w:cs="宋体" w:hint="eastAsia"/>
          <w:color w:val="323232"/>
          <w:spacing w:val="-4"/>
          <w:sz w:val="24"/>
          <w:szCs w:val="24"/>
        </w:rPr>
        <w:t>中航</w:t>
      </w:r>
      <w:r>
        <w:rPr>
          <w:rFonts w:ascii="宋体" w:eastAsia="宋体" w:hAnsi="宋体" w:cs="宋体" w:hint="eastAsia"/>
          <w:color w:val="323232"/>
          <w:spacing w:val="-4"/>
          <w:sz w:val="24"/>
          <w:szCs w:val="24"/>
          <w:lang w:eastAsia="zh-CN"/>
        </w:rPr>
        <w:t>首钢绿能</w:t>
      </w:r>
      <w:r>
        <w:rPr>
          <w:rFonts w:ascii="宋体" w:eastAsia="宋体" w:hAnsi="宋体" w:cs="宋体" w:hint="eastAsia"/>
          <w:color w:val="323232"/>
          <w:spacing w:val="-4"/>
          <w:sz w:val="24"/>
          <w:szCs w:val="24"/>
        </w:rPr>
        <w:t>REIT</w:t>
      </w:r>
      <w:r>
        <w:rPr>
          <w:rFonts w:ascii="宋体" w:eastAsia="宋体" w:hAnsi="宋体" w:cs="宋体" w:hint="eastAsia"/>
          <w:color w:val="323232"/>
          <w:spacing w:val="-4"/>
          <w:sz w:val="24"/>
          <w:szCs w:val="24"/>
        </w:rPr>
        <w:t>”，邮件正文中填列以下报名表格及对本基金的相关问题并附所属机构身份证明（如名片、员工工牌等）。</w:t>
      </w:r>
    </w:p>
    <w:tbl>
      <w:tblPr>
        <w:tblStyle w:val="a8"/>
        <w:tblW w:w="9591" w:type="dxa"/>
        <w:jc w:val="center"/>
        <w:tblLook w:val="04A0"/>
      </w:tblPr>
      <w:tblGrid>
        <w:gridCol w:w="1446"/>
        <w:gridCol w:w="1446"/>
        <w:gridCol w:w="1446"/>
        <w:gridCol w:w="1446"/>
        <w:gridCol w:w="1988"/>
        <w:gridCol w:w="1819"/>
      </w:tblGrid>
      <w:tr w:rsidR="00AF0B6F">
        <w:trPr>
          <w:trHeight w:val="622"/>
          <w:jc w:val="center"/>
        </w:trPr>
        <w:tc>
          <w:tcPr>
            <w:tcW w:w="1446" w:type="dxa"/>
            <w:vAlign w:val="center"/>
          </w:tcPr>
          <w:p w:rsidR="00AF0B6F" w:rsidRDefault="00D51B8D">
            <w:pPr>
              <w:widowControl/>
              <w:jc w:val="center"/>
              <w:rPr>
                <w:rFonts w:ascii="Times New Roman" w:eastAsia="宋体" w:hAnsi="Times New Roman" w:cs="Times New Roman"/>
                <w:color w:val="323232"/>
                <w:spacing w:val="-4"/>
                <w:sz w:val="24"/>
                <w:szCs w:val="24"/>
              </w:rPr>
            </w:pPr>
            <w:r>
              <w:rPr>
                <w:rFonts w:ascii="Times New Roman" w:eastAsia="宋体" w:hAnsi="Times New Roman" w:cs="Times New Roman"/>
                <w:color w:val="323232"/>
                <w:spacing w:val="-4"/>
                <w:sz w:val="24"/>
                <w:szCs w:val="24"/>
              </w:rPr>
              <w:t>所属机构</w:t>
            </w:r>
          </w:p>
        </w:tc>
        <w:tc>
          <w:tcPr>
            <w:tcW w:w="1446" w:type="dxa"/>
            <w:vAlign w:val="center"/>
          </w:tcPr>
          <w:p w:rsidR="00AF0B6F" w:rsidRDefault="00D51B8D">
            <w:pPr>
              <w:widowControl/>
              <w:jc w:val="center"/>
              <w:rPr>
                <w:rFonts w:ascii="Times New Roman" w:eastAsia="宋体" w:hAnsi="Times New Roman" w:cs="Times New Roman"/>
                <w:color w:val="323232"/>
                <w:spacing w:val="-4"/>
                <w:sz w:val="24"/>
                <w:szCs w:val="24"/>
              </w:rPr>
            </w:pPr>
            <w:r>
              <w:rPr>
                <w:rFonts w:ascii="Times New Roman" w:eastAsia="宋体" w:hAnsi="Times New Roman" w:cs="Times New Roman"/>
                <w:color w:val="323232"/>
                <w:spacing w:val="-4"/>
                <w:sz w:val="24"/>
                <w:szCs w:val="24"/>
              </w:rPr>
              <w:t>姓名</w:t>
            </w:r>
          </w:p>
        </w:tc>
        <w:tc>
          <w:tcPr>
            <w:tcW w:w="1446" w:type="dxa"/>
            <w:vAlign w:val="center"/>
          </w:tcPr>
          <w:p w:rsidR="00AF0B6F" w:rsidRDefault="00D51B8D">
            <w:pPr>
              <w:widowControl/>
              <w:jc w:val="center"/>
              <w:rPr>
                <w:rFonts w:ascii="Times New Roman" w:eastAsia="宋体" w:hAnsi="Times New Roman" w:cs="Times New Roman"/>
                <w:color w:val="323232"/>
                <w:spacing w:val="-4"/>
                <w:sz w:val="24"/>
                <w:szCs w:val="24"/>
              </w:rPr>
            </w:pPr>
            <w:r>
              <w:rPr>
                <w:rFonts w:ascii="Times New Roman" w:eastAsia="宋体" w:hAnsi="Times New Roman" w:cs="Times New Roman"/>
                <w:color w:val="323232"/>
                <w:spacing w:val="-4"/>
                <w:sz w:val="24"/>
                <w:szCs w:val="24"/>
              </w:rPr>
              <w:t>职务</w:t>
            </w:r>
          </w:p>
        </w:tc>
        <w:tc>
          <w:tcPr>
            <w:tcW w:w="1446" w:type="dxa"/>
            <w:vAlign w:val="center"/>
          </w:tcPr>
          <w:p w:rsidR="00AF0B6F" w:rsidRDefault="00D51B8D">
            <w:pPr>
              <w:widowControl/>
              <w:jc w:val="center"/>
              <w:rPr>
                <w:rFonts w:ascii="Times New Roman" w:eastAsia="宋体" w:hAnsi="Times New Roman" w:cs="Times New Roman"/>
                <w:color w:val="323232"/>
                <w:spacing w:val="-4"/>
                <w:sz w:val="24"/>
                <w:szCs w:val="24"/>
              </w:rPr>
            </w:pPr>
            <w:r>
              <w:rPr>
                <w:rFonts w:ascii="Times New Roman" w:eastAsia="宋体" w:hAnsi="Times New Roman" w:cs="Times New Roman"/>
                <w:color w:val="323232"/>
                <w:spacing w:val="-4"/>
                <w:sz w:val="24"/>
                <w:szCs w:val="24"/>
              </w:rPr>
              <w:t>联系方式</w:t>
            </w:r>
          </w:p>
        </w:tc>
        <w:tc>
          <w:tcPr>
            <w:tcW w:w="1988" w:type="dxa"/>
            <w:vAlign w:val="center"/>
          </w:tcPr>
          <w:p w:rsidR="00AF0B6F" w:rsidRDefault="00D51B8D">
            <w:pPr>
              <w:widowControl/>
              <w:jc w:val="center"/>
              <w:rPr>
                <w:rFonts w:ascii="Times New Roman" w:eastAsia="宋体" w:hAnsi="Times New Roman" w:cs="Times New Roman"/>
                <w:color w:val="323232"/>
                <w:spacing w:val="-4"/>
                <w:sz w:val="24"/>
                <w:szCs w:val="24"/>
              </w:rPr>
            </w:pPr>
            <w:r>
              <w:rPr>
                <w:rFonts w:ascii="Times New Roman" w:eastAsia="宋体" w:hAnsi="Times New Roman" w:cs="Times New Roman" w:hint="eastAsia"/>
                <w:color w:val="323232"/>
                <w:spacing w:val="-4"/>
                <w:sz w:val="24"/>
                <w:szCs w:val="24"/>
              </w:rPr>
              <w:t>投资者</w:t>
            </w:r>
            <w:r>
              <w:rPr>
                <w:rFonts w:ascii="Times New Roman" w:eastAsia="宋体" w:hAnsi="Times New Roman" w:cs="Times New Roman"/>
                <w:color w:val="323232"/>
                <w:spacing w:val="-4"/>
                <w:sz w:val="24"/>
                <w:szCs w:val="24"/>
              </w:rPr>
              <w:t>问题</w:t>
            </w:r>
          </w:p>
        </w:tc>
        <w:tc>
          <w:tcPr>
            <w:tcW w:w="1819" w:type="dxa"/>
            <w:vAlign w:val="center"/>
          </w:tcPr>
          <w:p w:rsidR="00AF0B6F" w:rsidRDefault="00D51B8D">
            <w:pPr>
              <w:widowControl/>
              <w:jc w:val="center"/>
              <w:rPr>
                <w:rFonts w:ascii="Times New Roman" w:eastAsia="宋体" w:hAnsi="Times New Roman" w:cs="Times New Roman"/>
                <w:color w:val="323232"/>
                <w:spacing w:val="-4"/>
                <w:sz w:val="24"/>
                <w:szCs w:val="24"/>
              </w:rPr>
            </w:pPr>
            <w:r>
              <w:rPr>
                <w:rFonts w:ascii="Times New Roman" w:eastAsia="宋体" w:hAnsi="Times New Roman" w:cs="Times New Roman" w:hint="eastAsia"/>
                <w:color w:val="323232"/>
                <w:spacing w:val="-4"/>
                <w:sz w:val="24"/>
                <w:szCs w:val="24"/>
              </w:rPr>
              <w:t>备注</w:t>
            </w:r>
          </w:p>
        </w:tc>
      </w:tr>
      <w:tr w:rsidR="00AF0B6F">
        <w:trPr>
          <w:trHeight w:val="622"/>
          <w:jc w:val="center"/>
        </w:trPr>
        <w:tc>
          <w:tcPr>
            <w:tcW w:w="1446" w:type="dxa"/>
            <w:vAlign w:val="center"/>
          </w:tcPr>
          <w:p w:rsidR="00AF0B6F" w:rsidRDefault="00AF0B6F">
            <w:pPr>
              <w:widowControl/>
              <w:jc w:val="center"/>
              <w:rPr>
                <w:rFonts w:ascii="Times New Roman" w:eastAsia="宋体" w:hAnsi="Times New Roman" w:cs="Times New Roman"/>
                <w:color w:val="323232"/>
                <w:spacing w:val="-4"/>
                <w:sz w:val="24"/>
                <w:szCs w:val="24"/>
              </w:rPr>
            </w:pPr>
          </w:p>
        </w:tc>
        <w:tc>
          <w:tcPr>
            <w:tcW w:w="1446" w:type="dxa"/>
            <w:vAlign w:val="center"/>
          </w:tcPr>
          <w:p w:rsidR="00AF0B6F" w:rsidRDefault="00AF0B6F">
            <w:pPr>
              <w:widowControl/>
              <w:jc w:val="center"/>
              <w:rPr>
                <w:rFonts w:ascii="Times New Roman" w:eastAsia="宋体" w:hAnsi="Times New Roman" w:cs="Times New Roman"/>
                <w:color w:val="323232"/>
                <w:spacing w:val="-4"/>
                <w:sz w:val="24"/>
                <w:szCs w:val="24"/>
              </w:rPr>
            </w:pPr>
          </w:p>
        </w:tc>
        <w:tc>
          <w:tcPr>
            <w:tcW w:w="1446" w:type="dxa"/>
            <w:vAlign w:val="center"/>
          </w:tcPr>
          <w:p w:rsidR="00AF0B6F" w:rsidRDefault="00AF0B6F">
            <w:pPr>
              <w:widowControl/>
              <w:jc w:val="center"/>
              <w:rPr>
                <w:rFonts w:ascii="Times New Roman" w:eastAsia="宋体" w:hAnsi="Times New Roman" w:cs="Times New Roman"/>
                <w:color w:val="323232"/>
                <w:spacing w:val="-4"/>
                <w:sz w:val="24"/>
                <w:szCs w:val="24"/>
              </w:rPr>
            </w:pPr>
          </w:p>
        </w:tc>
        <w:tc>
          <w:tcPr>
            <w:tcW w:w="1446" w:type="dxa"/>
            <w:vAlign w:val="center"/>
          </w:tcPr>
          <w:p w:rsidR="00AF0B6F" w:rsidRDefault="00AF0B6F">
            <w:pPr>
              <w:widowControl/>
              <w:jc w:val="center"/>
              <w:rPr>
                <w:rFonts w:ascii="Times New Roman" w:eastAsia="宋体" w:hAnsi="Times New Roman" w:cs="Times New Roman"/>
                <w:color w:val="323232"/>
                <w:spacing w:val="-4"/>
                <w:sz w:val="24"/>
                <w:szCs w:val="24"/>
              </w:rPr>
            </w:pPr>
          </w:p>
        </w:tc>
        <w:tc>
          <w:tcPr>
            <w:tcW w:w="1988" w:type="dxa"/>
            <w:vAlign w:val="center"/>
          </w:tcPr>
          <w:p w:rsidR="00AF0B6F" w:rsidRDefault="00AF0B6F">
            <w:pPr>
              <w:widowControl/>
              <w:jc w:val="center"/>
              <w:rPr>
                <w:rFonts w:ascii="Times New Roman" w:eastAsia="宋体" w:hAnsi="Times New Roman" w:cs="Times New Roman"/>
                <w:color w:val="323232"/>
                <w:spacing w:val="-4"/>
                <w:sz w:val="24"/>
                <w:szCs w:val="24"/>
              </w:rPr>
            </w:pPr>
          </w:p>
        </w:tc>
        <w:tc>
          <w:tcPr>
            <w:tcW w:w="1819" w:type="dxa"/>
            <w:vAlign w:val="center"/>
          </w:tcPr>
          <w:p w:rsidR="00AF0B6F" w:rsidRDefault="00AF0B6F">
            <w:pPr>
              <w:widowControl/>
              <w:jc w:val="center"/>
              <w:rPr>
                <w:rFonts w:ascii="Times New Roman" w:eastAsia="宋体" w:hAnsi="Times New Roman" w:cs="Times New Roman"/>
                <w:color w:val="323232"/>
                <w:spacing w:val="-4"/>
                <w:sz w:val="24"/>
                <w:szCs w:val="24"/>
              </w:rPr>
            </w:pPr>
          </w:p>
        </w:tc>
      </w:tr>
      <w:tr w:rsidR="00AF0B6F">
        <w:trPr>
          <w:trHeight w:val="622"/>
          <w:jc w:val="center"/>
        </w:trPr>
        <w:tc>
          <w:tcPr>
            <w:tcW w:w="1446" w:type="dxa"/>
            <w:vAlign w:val="center"/>
          </w:tcPr>
          <w:p w:rsidR="00AF0B6F" w:rsidRDefault="00AF0B6F">
            <w:pPr>
              <w:widowControl/>
              <w:jc w:val="center"/>
              <w:rPr>
                <w:rFonts w:ascii="Times New Roman" w:eastAsia="宋体" w:hAnsi="Times New Roman" w:cs="Times New Roman"/>
                <w:color w:val="323232"/>
                <w:spacing w:val="-4"/>
                <w:sz w:val="24"/>
                <w:szCs w:val="24"/>
              </w:rPr>
            </w:pPr>
          </w:p>
        </w:tc>
        <w:tc>
          <w:tcPr>
            <w:tcW w:w="1446" w:type="dxa"/>
            <w:vAlign w:val="center"/>
          </w:tcPr>
          <w:p w:rsidR="00AF0B6F" w:rsidRDefault="00AF0B6F">
            <w:pPr>
              <w:widowControl/>
              <w:jc w:val="center"/>
              <w:rPr>
                <w:rFonts w:ascii="Times New Roman" w:eastAsia="宋体" w:hAnsi="Times New Roman" w:cs="Times New Roman"/>
                <w:color w:val="323232"/>
                <w:spacing w:val="-4"/>
                <w:sz w:val="24"/>
                <w:szCs w:val="24"/>
              </w:rPr>
            </w:pPr>
          </w:p>
        </w:tc>
        <w:tc>
          <w:tcPr>
            <w:tcW w:w="1446" w:type="dxa"/>
            <w:vAlign w:val="center"/>
          </w:tcPr>
          <w:p w:rsidR="00AF0B6F" w:rsidRDefault="00AF0B6F">
            <w:pPr>
              <w:widowControl/>
              <w:jc w:val="center"/>
              <w:rPr>
                <w:rFonts w:ascii="Times New Roman" w:eastAsia="宋体" w:hAnsi="Times New Roman" w:cs="Times New Roman"/>
                <w:color w:val="323232"/>
                <w:spacing w:val="-4"/>
                <w:sz w:val="24"/>
                <w:szCs w:val="24"/>
              </w:rPr>
            </w:pPr>
          </w:p>
        </w:tc>
        <w:tc>
          <w:tcPr>
            <w:tcW w:w="1446" w:type="dxa"/>
            <w:vAlign w:val="center"/>
          </w:tcPr>
          <w:p w:rsidR="00AF0B6F" w:rsidRDefault="00AF0B6F">
            <w:pPr>
              <w:widowControl/>
              <w:jc w:val="center"/>
              <w:rPr>
                <w:rFonts w:ascii="Times New Roman" w:eastAsia="宋体" w:hAnsi="Times New Roman" w:cs="Times New Roman"/>
                <w:color w:val="323232"/>
                <w:spacing w:val="-4"/>
                <w:sz w:val="24"/>
                <w:szCs w:val="24"/>
              </w:rPr>
            </w:pPr>
          </w:p>
        </w:tc>
        <w:tc>
          <w:tcPr>
            <w:tcW w:w="1988" w:type="dxa"/>
            <w:vAlign w:val="center"/>
          </w:tcPr>
          <w:p w:rsidR="00AF0B6F" w:rsidRDefault="00AF0B6F">
            <w:pPr>
              <w:widowControl/>
              <w:jc w:val="center"/>
              <w:rPr>
                <w:rFonts w:ascii="Times New Roman" w:eastAsia="宋体" w:hAnsi="Times New Roman" w:cs="Times New Roman"/>
                <w:color w:val="323232"/>
                <w:spacing w:val="-4"/>
                <w:sz w:val="24"/>
                <w:szCs w:val="24"/>
              </w:rPr>
            </w:pPr>
          </w:p>
        </w:tc>
        <w:tc>
          <w:tcPr>
            <w:tcW w:w="1819" w:type="dxa"/>
            <w:vAlign w:val="center"/>
          </w:tcPr>
          <w:p w:rsidR="00AF0B6F" w:rsidRDefault="00AF0B6F">
            <w:pPr>
              <w:widowControl/>
              <w:jc w:val="center"/>
              <w:rPr>
                <w:rFonts w:ascii="Times New Roman" w:eastAsia="宋体" w:hAnsi="Times New Roman" w:cs="Times New Roman"/>
                <w:color w:val="323232"/>
                <w:spacing w:val="-4"/>
                <w:sz w:val="24"/>
                <w:szCs w:val="24"/>
              </w:rPr>
            </w:pPr>
          </w:p>
        </w:tc>
      </w:tr>
    </w:tbl>
    <w:p w:rsidR="00AF0B6F" w:rsidRDefault="00D51B8D" w:rsidP="00D51B8D">
      <w:pPr>
        <w:spacing w:line="360" w:lineRule="auto"/>
        <w:ind w:firstLineChars="200" w:firstLine="472"/>
        <w:rPr>
          <w:rFonts w:ascii="Times New Roman" w:eastAsia="宋体" w:hAnsi="Times New Roman" w:cs="Times New Roman"/>
          <w:color w:val="323232"/>
          <w:spacing w:val="-4"/>
          <w:sz w:val="24"/>
          <w:szCs w:val="24"/>
        </w:rPr>
      </w:pPr>
      <w:r>
        <w:rPr>
          <w:rFonts w:ascii="Times New Roman" w:eastAsia="宋体" w:hAnsi="Times New Roman" w:cs="Times New Roman" w:hint="eastAsia"/>
          <w:color w:val="323232"/>
          <w:spacing w:val="-4"/>
          <w:sz w:val="24"/>
          <w:szCs w:val="24"/>
        </w:rPr>
        <w:t>方式二：投资者可通过报名链接（</w:t>
      </w:r>
      <w:r>
        <w:rPr>
          <w:rFonts w:ascii="Times New Roman" w:eastAsia="宋体" w:hAnsi="Times New Roman" w:cs="Times New Roman" w:hint="eastAsia"/>
          <w:color w:val="323232"/>
          <w:spacing w:val="-4"/>
          <w:sz w:val="24"/>
          <w:szCs w:val="24"/>
        </w:rPr>
        <w:t>https://v.wjx.cn/vm/rLjUD3L.aspx</w:t>
      </w:r>
      <w:r>
        <w:rPr>
          <w:rFonts w:ascii="Times New Roman" w:eastAsia="宋体" w:hAnsi="Times New Roman" w:cs="Times New Roman" w:hint="eastAsia"/>
          <w:color w:val="323232"/>
          <w:spacing w:val="-4"/>
          <w:sz w:val="24"/>
          <w:szCs w:val="24"/>
        </w:rPr>
        <w:t>）或扫描二维码进行报名：</w:t>
      </w:r>
    </w:p>
    <w:p w:rsidR="00AF0B6F" w:rsidRDefault="00D51B8D">
      <w:pPr>
        <w:pStyle w:val="a0"/>
        <w:jc w:val="center"/>
        <w:rPr>
          <w:lang w:eastAsia="zh-CN"/>
        </w:rPr>
      </w:pPr>
      <w:r>
        <w:rPr>
          <w:noProof/>
          <w:lang w:eastAsia="zh-CN"/>
        </w:rPr>
        <w:drawing>
          <wp:inline distT="0" distB="0" distL="114300" distR="114300">
            <wp:extent cx="1186180" cy="1191895"/>
            <wp:effectExtent l="0" t="0" r="4445" b="825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8" cstate="print"/>
                    <a:stretch>
                      <a:fillRect/>
                    </a:stretch>
                  </pic:blipFill>
                  <pic:spPr>
                    <a:xfrm>
                      <a:off x="0" y="0"/>
                      <a:ext cx="1186180" cy="1191895"/>
                    </a:xfrm>
                    <a:prstGeom prst="rect">
                      <a:avLst/>
                    </a:prstGeom>
                    <a:noFill/>
                    <a:ln>
                      <a:noFill/>
                    </a:ln>
                  </pic:spPr>
                </pic:pic>
              </a:graphicData>
            </a:graphic>
          </wp:inline>
        </w:drawing>
      </w:r>
    </w:p>
    <w:p w:rsidR="00AF0B6F" w:rsidRDefault="00D51B8D">
      <w:pPr>
        <w:pStyle w:val="a0"/>
        <w:spacing w:before="78" w:line="348" w:lineRule="auto"/>
        <w:ind w:left="151" w:right="22" w:firstLine="473"/>
        <w:jc w:val="both"/>
        <w:rPr>
          <w:snapToGrid/>
          <w:color w:val="auto"/>
          <w:kern w:val="2"/>
          <w:lang w:eastAsia="zh-CN"/>
        </w:rPr>
      </w:pPr>
      <w:r>
        <w:rPr>
          <w:rFonts w:ascii="Times New Roman" w:hAnsi="Times New Roman" w:cs="Times New Roman" w:hint="eastAsia"/>
          <w:color w:val="323232"/>
          <w:spacing w:val="-4"/>
        </w:rPr>
        <w:t>基于会议现场管理要求，每家机构限报名</w:t>
      </w:r>
      <w:r>
        <w:rPr>
          <w:rFonts w:hint="eastAsia"/>
          <w:color w:val="323232"/>
          <w:spacing w:val="-4"/>
        </w:rPr>
        <w:t>2</w:t>
      </w:r>
      <w:r>
        <w:rPr>
          <w:rFonts w:ascii="Times New Roman" w:hAnsi="Times New Roman" w:cs="Times New Roman" w:hint="eastAsia"/>
          <w:color w:val="323232"/>
          <w:spacing w:val="-4"/>
        </w:rPr>
        <w:t>人。</w:t>
      </w:r>
      <w:r>
        <w:rPr>
          <w:rFonts w:ascii="Times New Roman" w:hAnsi="Times New Roman" w:cs="Times New Roman"/>
          <w:color w:val="323232"/>
          <w:spacing w:val="-4"/>
        </w:rPr>
        <w:t>经审核后本基金</w:t>
      </w:r>
      <w:r>
        <w:rPr>
          <w:rFonts w:ascii="Times New Roman" w:hAnsi="Times New Roman" w:cs="Times New Roman" w:hint="eastAsia"/>
          <w:color w:val="323232"/>
          <w:spacing w:val="-4"/>
        </w:rPr>
        <w:t>管理人</w:t>
      </w:r>
      <w:r>
        <w:rPr>
          <w:rFonts w:ascii="Times New Roman" w:hAnsi="Times New Roman" w:cs="Times New Roman"/>
          <w:color w:val="323232"/>
          <w:spacing w:val="-4"/>
        </w:rPr>
        <w:t>将发送审核</w:t>
      </w:r>
      <w:r>
        <w:rPr>
          <w:rFonts w:ascii="Times New Roman" w:hAnsi="Times New Roman" w:cs="Times New Roman" w:hint="eastAsia"/>
          <w:color w:val="323232"/>
          <w:spacing w:val="-4"/>
        </w:rPr>
        <w:t>通知</w:t>
      </w:r>
      <w:r>
        <w:rPr>
          <w:rFonts w:ascii="Times New Roman" w:hAnsi="Times New Roman" w:cs="Times New Roman"/>
          <w:color w:val="323232"/>
          <w:spacing w:val="-4"/>
        </w:rPr>
        <w:t>邮件，届时投资者凭审核通知邮件</w:t>
      </w:r>
      <w:r>
        <w:rPr>
          <w:rFonts w:ascii="Times New Roman" w:hAnsi="Times New Roman" w:cs="Times New Roman" w:hint="eastAsia"/>
          <w:color w:val="323232"/>
          <w:spacing w:val="-4"/>
        </w:rPr>
        <w:t>参加本次活动</w:t>
      </w:r>
      <w:r>
        <w:rPr>
          <w:rFonts w:ascii="Times New Roman" w:hAnsi="Times New Roman" w:cs="Times New Roman"/>
          <w:color w:val="323232"/>
          <w:spacing w:val="-4"/>
        </w:rPr>
        <w:t>。</w:t>
      </w:r>
    </w:p>
    <w:p w:rsidR="00AF0B6F" w:rsidRDefault="00D51B8D">
      <w:pPr>
        <w:pStyle w:val="a0"/>
        <w:spacing w:before="78" w:line="348" w:lineRule="auto"/>
        <w:ind w:left="151" w:right="22" w:firstLine="473"/>
        <w:jc w:val="both"/>
        <w:rPr>
          <w:rFonts w:ascii="Times New Roman" w:hAnsi="Times New Roman" w:cs="Times New Roman"/>
          <w:color w:val="323232"/>
          <w:spacing w:val="-4"/>
          <w:lang w:eastAsia="zh-CN"/>
        </w:rPr>
      </w:pPr>
      <w:r>
        <w:rPr>
          <w:rFonts w:ascii="Times New Roman" w:hAnsi="Times New Roman" w:cs="Times New Roman" w:hint="eastAsia"/>
          <w:color w:val="323232"/>
          <w:spacing w:val="-4"/>
          <w:lang w:eastAsia="zh-CN"/>
        </w:rPr>
        <w:lastRenderedPageBreak/>
        <w:t>报名截止时间为</w:t>
      </w:r>
      <w:r>
        <w:rPr>
          <w:rFonts w:ascii="Times New Roman" w:hAnsi="Times New Roman" w:cs="Times New Roman" w:hint="eastAsia"/>
          <w:color w:val="323232"/>
          <w:spacing w:val="-4"/>
          <w:lang w:eastAsia="zh-CN"/>
        </w:rPr>
        <w:t>：</w:t>
      </w:r>
      <w:r>
        <w:rPr>
          <w:rFonts w:hint="eastAsia"/>
          <w:color w:val="323232"/>
          <w:spacing w:val="-4"/>
          <w:lang w:eastAsia="zh-CN"/>
        </w:rPr>
        <w:t>2025</w:t>
      </w:r>
      <w:r>
        <w:rPr>
          <w:rFonts w:hint="eastAsia"/>
          <w:color w:val="323232"/>
          <w:spacing w:val="-4"/>
          <w:lang w:eastAsia="zh-CN"/>
        </w:rPr>
        <w:t>年</w:t>
      </w:r>
      <w:r>
        <w:rPr>
          <w:rFonts w:hint="eastAsia"/>
          <w:color w:val="323232"/>
          <w:spacing w:val="-4"/>
          <w:lang w:eastAsia="zh-CN"/>
        </w:rPr>
        <w:t>11</w:t>
      </w:r>
      <w:r>
        <w:rPr>
          <w:rFonts w:hint="eastAsia"/>
          <w:color w:val="323232"/>
          <w:spacing w:val="-4"/>
          <w:lang w:eastAsia="zh-CN"/>
        </w:rPr>
        <w:t>月</w:t>
      </w:r>
      <w:r>
        <w:rPr>
          <w:rFonts w:hint="eastAsia"/>
          <w:color w:val="323232"/>
          <w:spacing w:val="-4"/>
          <w:lang w:eastAsia="zh-CN"/>
        </w:rPr>
        <w:t>11</w:t>
      </w:r>
      <w:r>
        <w:rPr>
          <w:rFonts w:hint="eastAsia"/>
          <w:color w:val="323232"/>
          <w:spacing w:val="-4"/>
          <w:lang w:eastAsia="zh-CN"/>
        </w:rPr>
        <w:t>日（星期</w:t>
      </w:r>
      <w:r>
        <w:rPr>
          <w:rFonts w:hint="eastAsia"/>
          <w:color w:val="323232"/>
          <w:spacing w:val="-4"/>
          <w:lang w:eastAsia="zh-CN"/>
        </w:rPr>
        <w:t>二</w:t>
      </w:r>
      <w:r>
        <w:rPr>
          <w:rFonts w:hint="eastAsia"/>
          <w:color w:val="323232"/>
          <w:spacing w:val="-4"/>
          <w:lang w:eastAsia="zh-CN"/>
        </w:rPr>
        <w:t>）</w:t>
      </w:r>
      <w:r>
        <w:rPr>
          <w:rFonts w:hint="eastAsia"/>
          <w:color w:val="323232"/>
          <w:spacing w:val="-4"/>
          <w:lang w:eastAsia="zh-CN"/>
        </w:rPr>
        <w:t>下午</w:t>
      </w:r>
      <w:r>
        <w:rPr>
          <w:rFonts w:hint="eastAsia"/>
          <w:color w:val="323232"/>
          <w:spacing w:val="-4"/>
          <w:lang w:eastAsia="zh-CN"/>
        </w:rPr>
        <w:t>1</w:t>
      </w:r>
      <w:r>
        <w:rPr>
          <w:rFonts w:hint="eastAsia"/>
          <w:color w:val="323232"/>
          <w:spacing w:val="-4"/>
          <w:lang w:eastAsia="zh-CN"/>
        </w:rPr>
        <w:t>6</w:t>
      </w:r>
      <w:r>
        <w:rPr>
          <w:rFonts w:hint="eastAsia"/>
          <w:color w:val="323232"/>
          <w:spacing w:val="-4"/>
          <w:lang w:eastAsia="zh-CN"/>
        </w:rPr>
        <w:t>:00</w:t>
      </w:r>
      <w:r>
        <w:rPr>
          <w:rFonts w:hint="eastAsia"/>
          <w:color w:val="323232"/>
          <w:spacing w:val="-4"/>
          <w:lang w:eastAsia="zh-CN"/>
        </w:rPr>
        <w:t>。</w:t>
      </w:r>
    </w:p>
    <w:p w:rsidR="00AF0B6F" w:rsidRDefault="00D51B8D">
      <w:pPr>
        <w:pStyle w:val="a0"/>
        <w:spacing w:before="78" w:line="348" w:lineRule="auto"/>
        <w:ind w:left="151" w:right="22" w:firstLine="473"/>
        <w:jc w:val="both"/>
        <w:rPr>
          <w:rFonts w:ascii="Times New Roman" w:hAnsi="Times New Roman" w:cs="Times New Roman"/>
          <w:color w:val="323232"/>
          <w:spacing w:val="-4"/>
          <w:lang w:eastAsia="zh-CN"/>
        </w:rPr>
      </w:pPr>
      <w:r>
        <w:rPr>
          <w:rFonts w:ascii="Times New Roman" w:hAnsi="Times New Roman" w:cs="Times New Roman" w:hint="eastAsia"/>
          <w:color w:val="323232"/>
          <w:spacing w:val="-4"/>
          <w:lang w:eastAsia="zh-CN"/>
        </w:rPr>
        <w:t>特此公告。</w:t>
      </w:r>
    </w:p>
    <w:p w:rsidR="00AF0B6F" w:rsidRDefault="00AF0B6F">
      <w:pPr>
        <w:spacing w:line="307" w:lineRule="auto"/>
        <w:rPr>
          <w:sz w:val="24"/>
          <w:szCs w:val="24"/>
          <w:lang w:eastAsia="zh-CN"/>
        </w:rPr>
      </w:pPr>
    </w:p>
    <w:p w:rsidR="00AF0B6F" w:rsidRDefault="00AF0B6F">
      <w:pPr>
        <w:spacing w:line="307" w:lineRule="auto"/>
        <w:rPr>
          <w:sz w:val="24"/>
          <w:szCs w:val="24"/>
          <w:lang w:eastAsia="zh-CN"/>
        </w:rPr>
      </w:pPr>
    </w:p>
    <w:p w:rsidR="00AF0B6F" w:rsidRDefault="00D51B8D">
      <w:pPr>
        <w:pStyle w:val="a0"/>
        <w:spacing w:before="79" w:line="420" w:lineRule="auto"/>
        <w:ind w:right="113" w:firstLine="17"/>
        <w:jc w:val="right"/>
        <w:rPr>
          <w:spacing w:val="-3"/>
          <w:lang w:eastAsia="zh-CN"/>
        </w:rPr>
      </w:pPr>
      <w:r>
        <w:rPr>
          <w:spacing w:val="-3"/>
          <w:lang w:eastAsia="zh-CN"/>
        </w:rPr>
        <w:t>中航基金管理有限公司</w:t>
      </w:r>
    </w:p>
    <w:p w:rsidR="00AF0B6F" w:rsidRDefault="00D51B8D">
      <w:pPr>
        <w:pStyle w:val="a0"/>
        <w:spacing w:before="79" w:line="420" w:lineRule="auto"/>
        <w:ind w:right="113" w:firstLine="17"/>
        <w:jc w:val="right"/>
      </w:pPr>
      <w:r>
        <w:rPr>
          <w:spacing w:val="-2"/>
        </w:rPr>
        <w:t>二〇二</w:t>
      </w:r>
      <w:r>
        <w:rPr>
          <w:rFonts w:hint="eastAsia"/>
          <w:spacing w:val="-2"/>
          <w:lang w:eastAsia="zh-CN"/>
        </w:rPr>
        <w:t>五</w:t>
      </w:r>
      <w:r>
        <w:rPr>
          <w:spacing w:val="-2"/>
        </w:rPr>
        <w:t>年</w:t>
      </w:r>
      <w:r>
        <w:rPr>
          <w:rFonts w:hint="eastAsia"/>
          <w:spacing w:val="-2"/>
          <w:lang w:eastAsia="zh-CN"/>
        </w:rPr>
        <w:t>十一</w:t>
      </w:r>
      <w:r>
        <w:rPr>
          <w:spacing w:val="-2"/>
        </w:rPr>
        <w:t>月</w:t>
      </w:r>
      <w:r>
        <w:rPr>
          <w:rFonts w:hint="eastAsia"/>
          <w:spacing w:val="-2"/>
          <w:lang w:eastAsia="zh-CN"/>
        </w:rPr>
        <w:t>七</w:t>
      </w:r>
      <w:r>
        <w:rPr>
          <w:spacing w:val="-2"/>
        </w:rPr>
        <w:t>日</w:t>
      </w:r>
    </w:p>
    <w:sectPr w:rsidR="00AF0B6F" w:rsidSect="00AF0B6F">
      <w:headerReference w:type="even" r:id="rId9"/>
      <w:headerReference w:type="default" r:id="rId10"/>
      <w:footerReference w:type="even" r:id="rId11"/>
      <w:footerReference w:type="default" r:id="rId12"/>
      <w:headerReference w:type="first" r:id="rId13"/>
      <w:footerReference w:type="first" r:id="rId14"/>
      <w:pgSz w:w="11905" w:h="16836"/>
      <w:pgMar w:top="1418" w:right="963" w:bottom="1317" w:left="889" w:header="0" w:footer="115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F0B6F" w:rsidRDefault="00AF0B6F" w:rsidP="00AF0B6F">
      <w:r>
        <w:separator/>
      </w:r>
    </w:p>
  </w:endnote>
  <w:endnote w:type="continuationSeparator" w:id="0">
    <w:p w:rsidR="00AF0B6F" w:rsidRDefault="00AF0B6F" w:rsidP="00AF0B6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B6F" w:rsidRDefault="00AF0B6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9100607"/>
    </w:sdtPr>
    <w:sdtContent>
      <w:p w:rsidR="00AF0B6F" w:rsidRDefault="00AF0B6F">
        <w:pPr>
          <w:pStyle w:val="a5"/>
          <w:jc w:val="center"/>
        </w:pPr>
        <w:r>
          <w:fldChar w:fldCharType="begin"/>
        </w:r>
        <w:r w:rsidR="00D51B8D">
          <w:instrText>PAGE   \* MERGEFORMAT</w:instrText>
        </w:r>
        <w:r>
          <w:fldChar w:fldCharType="separate"/>
        </w:r>
        <w:r w:rsidR="00D51B8D" w:rsidRPr="00D51B8D">
          <w:rPr>
            <w:noProof/>
            <w:lang w:val="zh-CN" w:eastAsia="zh-CN"/>
          </w:rPr>
          <w:t>1</w:t>
        </w:r>
        <w:r>
          <w:fldChar w:fldCharType="end"/>
        </w:r>
      </w:p>
    </w:sdtContent>
  </w:sdt>
  <w:p w:rsidR="00AF0B6F" w:rsidRDefault="00AF0B6F">
    <w:pPr>
      <w:spacing w:line="182" w:lineRule="auto"/>
      <w:ind w:left="5038"/>
      <w:rPr>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B6F" w:rsidRDefault="00AF0B6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F0B6F" w:rsidRDefault="00AF0B6F" w:rsidP="00AF0B6F">
      <w:r>
        <w:separator/>
      </w:r>
    </w:p>
  </w:footnote>
  <w:footnote w:type="continuationSeparator" w:id="0">
    <w:p w:rsidR="00AF0B6F" w:rsidRDefault="00AF0B6F" w:rsidP="00AF0B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B6F" w:rsidRDefault="00AF0B6F">
    <w:pPr>
      <w:pStyle w:val="a6"/>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B6F" w:rsidRDefault="00AF0B6F">
    <w:pPr>
      <w:pStyle w:val="a6"/>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F0B6F" w:rsidRDefault="00AF0B6F">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38FA0F"/>
    <w:multiLevelType w:val="singleLevel"/>
    <w:tmpl w:val="7438FA0F"/>
    <w:lvl w:ilvl="0">
      <w:start w:val="1"/>
      <w:numFmt w:val="bullet"/>
      <w:lvlText w:val=""/>
      <w:lvlJc w:val="left"/>
      <w:pPr>
        <w:ind w:left="420" w:hanging="42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eyJoZGlkIjoiNjQxNjRjMDcwNzNlYTE3MGQxMDNmMjBkY2RkYzdkNWIifQ=="/>
  </w:docVars>
  <w:rsids>
    <w:rsidRoot w:val="00FF45A7"/>
    <w:rsid w:val="00037FD7"/>
    <w:rsid w:val="00127B4A"/>
    <w:rsid w:val="00161E6E"/>
    <w:rsid w:val="001F0515"/>
    <w:rsid w:val="002E0618"/>
    <w:rsid w:val="005E4890"/>
    <w:rsid w:val="006A63AD"/>
    <w:rsid w:val="006F53A7"/>
    <w:rsid w:val="007B0F83"/>
    <w:rsid w:val="0080623F"/>
    <w:rsid w:val="00955863"/>
    <w:rsid w:val="00987C8F"/>
    <w:rsid w:val="00AA647B"/>
    <w:rsid w:val="00AC0298"/>
    <w:rsid w:val="00AE6CE0"/>
    <w:rsid w:val="00AF0B6F"/>
    <w:rsid w:val="00C97180"/>
    <w:rsid w:val="00D51B8D"/>
    <w:rsid w:val="00D6590A"/>
    <w:rsid w:val="00D82462"/>
    <w:rsid w:val="00F90E1D"/>
    <w:rsid w:val="00FF45A7"/>
    <w:rsid w:val="01200F7F"/>
    <w:rsid w:val="01266D78"/>
    <w:rsid w:val="04FC07BA"/>
    <w:rsid w:val="07585B24"/>
    <w:rsid w:val="0A677422"/>
    <w:rsid w:val="0AB00C59"/>
    <w:rsid w:val="0B2D6095"/>
    <w:rsid w:val="0E0F599B"/>
    <w:rsid w:val="13191A65"/>
    <w:rsid w:val="15C41EC2"/>
    <w:rsid w:val="196D72B4"/>
    <w:rsid w:val="1B0057A7"/>
    <w:rsid w:val="1BC5039F"/>
    <w:rsid w:val="1C115064"/>
    <w:rsid w:val="1E0864DE"/>
    <w:rsid w:val="21980BF1"/>
    <w:rsid w:val="21EF1A6D"/>
    <w:rsid w:val="27555798"/>
    <w:rsid w:val="27FA0805"/>
    <w:rsid w:val="2A01667B"/>
    <w:rsid w:val="2C0E00AC"/>
    <w:rsid w:val="2C3D22C9"/>
    <w:rsid w:val="2F144BDE"/>
    <w:rsid w:val="348802E0"/>
    <w:rsid w:val="354E03E2"/>
    <w:rsid w:val="3ABD5BC0"/>
    <w:rsid w:val="3BAD70E5"/>
    <w:rsid w:val="3D7570E2"/>
    <w:rsid w:val="3F744629"/>
    <w:rsid w:val="413A09FE"/>
    <w:rsid w:val="420B0DEA"/>
    <w:rsid w:val="4362296E"/>
    <w:rsid w:val="47EA5402"/>
    <w:rsid w:val="4EEA1914"/>
    <w:rsid w:val="516D1A20"/>
    <w:rsid w:val="534655F4"/>
    <w:rsid w:val="56FF0A48"/>
    <w:rsid w:val="587B479B"/>
    <w:rsid w:val="5B182E26"/>
    <w:rsid w:val="65994925"/>
    <w:rsid w:val="66BF76E8"/>
    <w:rsid w:val="67EE4F89"/>
    <w:rsid w:val="76DB2B7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semiHidden="1"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qFormat="1"/>
    <w:lsdException w:name="footer" w:uiPriority="99" w:qFormat="1"/>
    <w:lsdException w:name="caption" w:semiHidden="1" w:unhideWhenUsed="1" w:qFormat="1"/>
    <w:lsdException w:name="annotation reference" w:qFormat="1"/>
    <w:lsdException w:name="Title" w:qFormat="1"/>
    <w:lsdException w:name="Default Paragraph Font" w:semiHidden="1" w:uiPriority="1" w:unhideWhenUsed="1" w:qFormat="1"/>
    <w:lsdException w:name="Body Tex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semiHidden/>
    <w:qFormat/>
    <w:rsid w:val="00AF0B6F"/>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semiHidden/>
    <w:qFormat/>
    <w:rsid w:val="00AF0B6F"/>
    <w:rPr>
      <w:rFonts w:ascii="宋体" w:eastAsia="宋体" w:hAnsi="宋体" w:cs="宋体"/>
      <w:sz w:val="24"/>
      <w:szCs w:val="24"/>
    </w:rPr>
  </w:style>
  <w:style w:type="paragraph" w:styleId="a4">
    <w:name w:val="annotation text"/>
    <w:basedOn w:val="a"/>
    <w:link w:val="Char"/>
    <w:qFormat/>
    <w:rsid w:val="00AF0B6F"/>
  </w:style>
  <w:style w:type="paragraph" w:styleId="a5">
    <w:name w:val="footer"/>
    <w:basedOn w:val="a"/>
    <w:link w:val="Char0"/>
    <w:uiPriority w:val="99"/>
    <w:qFormat/>
    <w:rsid w:val="00AF0B6F"/>
    <w:pPr>
      <w:tabs>
        <w:tab w:val="center" w:pos="4153"/>
        <w:tab w:val="right" w:pos="8306"/>
      </w:tabs>
    </w:pPr>
    <w:rPr>
      <w:sz w:val="18"/>
      <w:szCs w:val="18"/>
    </w:rPr>
  </w:style>
  <w:style w:type="paragraph" w:styleId="a6">
    <w:name w:val="header"/>
    <w:basedOn w:val="a"/>
    <w:link w:val="Char1"/>
    <w:qFormat/>
    <w:rsid w:val="00AF0B6F"/>
    <w:pPr>
      <w:tabs>
        <w:tab w:val="center" w:pos="4153"/>
        <w:tab w:val="right" w:pos="8306"/>
      </w:tabs>
      <w:jc w:val="center"/>
    </w:pPr>
    <w:rPr>
      <w:sz w:val="18"/>
      <w:szCs w:val="18"/>
    </w:rPr>
  </w:style>
  <w:style w:type="paragraph" w:styleId="a7">
    <w:name w:val="annotation subject"/>
    <w:basedOn w:val="a4"/>
    <w:next w:val="a4"/>
    <w:link w:val="Char2"/>
    <w:qFormat/>
    <w:rsid w:val="00AF0B6F"/>
    <w:rPr>
      <w:b/>
      <w:bCs/>
    </w:rPr>
  </w:style>
  <w:style w:type="table" w:styleId="a8">
    <w:name w:val="Table Grid"/>
    <w:basedOn w:val="a2"/>
    <w:qFormat/>
    <w:rsid w:val="00AF0B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FollowedHyperlink"/>
    <w:basedOn w:val="a1"/>
    <w:qFormat/>
    <w:rsid w:val="00AF0B6F"/>
    <w:rPr>
      <w:color w:val="800080"/>
      <w:u w:val="single"/>
    </w:rPr>
  </w:style>
  <w:style w:type="character" w:styleId="aa">
    <w:name w:val="Hyperlink"/>
    <w:basedOn w:val="a1"/>
    <w:qFormat/>
    <w:rsid w:val="00AF0B6F"/>
    <w:rPr>
      <w:color w:val="0000FF"/>
      <w:u w:val="single"/>
    </w:rPr>
  </w:style>
  <w:style w:type="character" w:styleId="ab">
    <w:name w:val="annotation reference"/>
    <w:basedOn w:val="a1"/>
    <w:qFormat/>
    <w:rsid w:val="00AF0B6F"/>
    <w:rPr>
      <w:sz w:val="21"/>
      <w:szCs w:val="21"/>
    </w:rPr>
  </w:style>
  <w:style w:type="table" w:customStyle="1" w:styleId="TableNormal">
    <w:name w:val="Table Normal"/>
    <w:semiHidden/>
    <w:unhideWhenUsed/>
    <w:qFormat/>
    <w:rsid w:val="00AF0B6F"/>
    <w:tblPr>
      <w:tblCellMar>
        <w:top w:w="0" w:type="dxa"/>
        <w:left w:w="0" w:type="dxa"/>
        <w:bottom w:w="0" w:type="dxa"/>
        <w:right w:w="0" w:type="dxa"/>
      </w:tblCellMar>
    </w:tblPr>
  </w:style>
  <w:style w:type="paragraph" w:customStyle="1" w:styleId="TableText">
    <w:name w:val="Table Text"/>
    <w:basedOn w:val="a"/>
    <w:semiHidden/>
    <w:qFormat/>
    <w:rsid w:val="00AF0B6F"/>
    <w:rPr>
      <w:rFonts w:ascii="宋体" w:eastAsia="宋体" w:hAnsi="宋体" w:cs="宋体"/>
      <w:sz w:val="24"/>
      <w:szCs w:val="24"/>
    </w:rPr>
  </w:style>
  <w:style w:type="character" w:customStyle="1" w:styleId="Char">
    <w:name w:val="批注文字 Char"/>
    <w:basedOn w:val="a1"/>
    <w:link w:val="a4"/>
    <w:qFormat/>
    <w:rsid w:val="00AF0B6F"/>
    <w:rPr>
      <w:rFonts w:eastAsia="Arial"/>
      <w:snapToGrid w:val="0"/>
      <w:color w:val="000000"/>
      <w:sz w:val="21"/>
      <w:szCs w:val="21"/>
      <w:lang w:eastAsia="en-US"/>
    </w:rPr>
  </w:style>
  <w:style w:type="character" w:customStyle="1" w:styleId="Char2">
    <w:name w:val="批注主题 Char"/>
    <w:basedOn w:val="Char"/>
    <w:link w:val="a7"/>
    <w:qFormat/>
    <w:rsid w:val="00AF0B6F"/>
    <w:rPr>
      <w:rFonts w:eastAsia="Arial"/>
      <w:b/>
      <w:bCs/>
      <w:snapToGrid w:val="0"/>
      <w:color w:val="000000"/>
      <w:sz w:val="21"/>
      <w:szCs w:val="21"/>
      <w:lang w:eastAsia="en-US"/>
    </w:rPr>
  </w:style>
  <w:style w:type="paragraph" w:customStyle="1" w:styleId="1">
    <w:name w:val="修订1"/>
    <w:hidden/>
    <w:uiPriority w:val="99"/>
    <w:unhideWhenUsed/>
    <w:qFormat/>
    <w:rsid w:val="00AF0B6F"/>
    <w:rPr>
      <w:rFonts w:ascii="Arial" w:eastAsia="Arial" w:hAnsi="Arial" w:cs="Arial"/>
      <w:snapToGrid w:val="0"/>
      <w:color w:val="000000"/>
      <w:sz w:val="21"/>
      <w:szCs w:val="21"/>
      <w:lang w:eastAsia="en-US"/>
    </w:rPr>
  </w:style>
  <w:style w:type="paragraph" w:styleId="ac">
    <w:name w:val="List Paragraph"/>
    <w:basedOn w:val="a"/>
    <w:autoRedefine/>
    <w:uiPriority w:val="99"/>
    <w:qFormat/>
    <w:rsid w:val="00AF0B6F"/>
    <w:pPr>
      <w:widowControl w:val="0"/>
      <w:kinsoku/>
      <w:autoSpaceDE/>
      <w:autoSpaceDN/>
      <w:adjustRightInd/>
      <w:snapToGrid/>
      <w:ind w:firstLineChars="200" w:firstLine="420"/>
      <w:jc w:val="both"/>
      <w:textAlignment w:val="auto"/>
    </w:pPr>
    <w:rPr>
      <w:rFonts w:asciiTheme="minorHAnsi" w:eastAsiaTheme="minorEastAsia" w:hAnsiTheme="minorHAnsi" w:cstheme="minorBidi"/>
      <w:snapToGrid/>
      <w:color w:val="auto"/>
      <w:kern w:val="2"/>
      <w:szCs w:val="24"/>
      <w:lang w:eastAsia="zh-CN"/>
    </w:rPr>
  </w:style>
  <w:style w:type="paragraph" w:customStyle="1" w:styleId="2">
    <w:name w:val="修订2"/>
    <w:hidden/>
    <w:uiPriority w:val="99"/>
    <w:unhideWhenUsed/>
    <w:qFormat/>
    <w:rsid w:val="00AF0B6F"/>
    <w:rPr>
      <w:rFonts w:ascii="Arial" w:eastAsia="Arial" w:hAnsi="Arial" w:cs="Arial"/>
      <w:snapToGrid w:val="0"/>
      <w:color w:val="000000"/>
      <w:sz w:val="21"/>
      <w:szCs w:val="21"/>
      <w:lang w:eastAsia="en-US"/>
    </w:rPr>
  </w:style>
  <w:style w:type="character" w:customStyle="1" w:styleId="Char1">
    <w:name w:val="页眉 Char"/>
    <w:basedOn w:val="a1"/>
    <w:link w:val="a6"/>
    <w:qFormat/>
    <w:rsid w:val="00AF0B6F"/>
    <w:rPr>
      <w:rFonts w:eastAsia="Arial"/>
      <w:snapToGrid w:val="0"/>
      <w:color w:val="000000"/>
      <w:sz w:val="18"/>
      <w:szCs w:val="18"/>
      <w:lang w:eastAsia="en-US"/>
    </w:rPr>
  </w:style>
  <w:style w:type="character" w:customStyle="1" w:styleId="Char0">
    <w:name w:val="页脚 Char"/>
    <w:basedOn w:val="a1"/>
    <w:link w:val="a5"/>
    <w:uiPriority w:val="99"/>
    <w:qFormat/>
    <w:rsid w:val="00AF0B6F"/>
    <w:rPr>
      <w:rFonts w:eastAsia="Arial"/>
      <w:snapToGrid w:val="0"/>
      <w:color w:val="000000"/>
      <w:sz w:val="18"/>
      <w:szCs w:val="18"/>
      <w:lang w:eastAsia="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mailto:&#25353;&#35201;&#27714;&#21457;&#36865;&#25253;&#21517;&#37038;&#20214;&#33267;&#26412;&#22522;&#37329;&#25237;&#36164;&#32773;&#20851;&#31995;&#31649;&#29702;&#37038;&#31665;IR_REITs@avicfund.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195</Words>
  <Characters>1114</Characters>
  <Application>Microsoft Office Word</Application>
  <DocSecurity>4</DocSecurity>
  <Lines>9</Lines>
  <Paragraphs>2</Paragraphs>
  <ScaleCrop>false</ScaleCrop>
  <Company>CNSTOCK</Company>
  <LinksUpToDate>false</LinksUpToDate>
  <CharactersWithSpaces>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Hx</dc:creator>
  <cp:lastModifiedBy>ZHONGM</cp:lastModifiedBy>
  <cp:revision>2</cp:revision>
  <dcterms:created xsi:type="dcterms:W3CDTF">2025-11-06T16:01:00Z</dcterms:created>
  <dcterms:modified xsi:type="dcterms:W3CDTF">2025-11-06T16:01:00Z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2024-10-24T09:12:52Z</vt:filetime>
  </property>
  <property fmtid="{D5CDD505-2E9C-101B-9397-08002B2CF9AE}" pid="4" name="KSOProductBuildVer">
    <vt:lpwstr>2052-12.1.0.23542</vt:lpwstr>
  </property>
  <property fmtid="{D5CDD505-2E9C-101B-9397-08002B2CF9AE}" pid="5" name="ICV">
    <vt:lpwstr>1C7542674F9748818B19ACD343DBF3B9_13</vt:lpwstr>
  </property>
  <property fmtid="{D5CDD505-2E9C-101B-9397-08002B2CF9AE}" pid="6" name="KSOTemplateDocerSaveRecord">
    <vt:lpwstr>eyJoZGlkIjoiN2E1MTZiYzg3MjJkNGNmYTA1ODU2YWNhOTJmODA3ZjAiLCJ1c2VySWQiOiI0MTQ2NDQyNDgifQ==</vt:lpwstr>
  </property>
</Properties>
</file>