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55" w:rsidRPr="003D5AD5" w:rsidRDefault="00E32CC6" w:rsidP="00EF1855">
      <w:pPr>
        <w:autoSpaceDE w:val="0"/>
        <w:autoSpaceDN w:val="0"/>
        <w:adjustRightInd w:val="0"/>
        <w:spacing w:line="360" w:lineRule="auto"/>
        <w:jc w:val="center"/>
        <w:rPr>
          <w:rFonts w:asciiTheme="minorEastAsia" w:hAnsiTheme="minorEastAsia" w:cs="宋体"/>
          <w:b/>
          <w:color w:val="000000" w:themeColor="text1"/>
          <w:kern w:val="0"/>
          <w:sz w:val="24"/>
          <w:szCs w:val="24"/>
        </w:rPr>
      </w:pPr>
      <w:r w:rsidRPr="003D5AD5">
        <w:rPr>
          <w:rFonts w:asciiTheme="minorEastAsia" w:hAnsiTheme="minorEastAsia" w:cs="宋体"/>
          <w:b/>
          <w:color w:val="000000" w:themeColor="text1"/>
          <w:kern w:val="0"/>
          <w:sz w:val="28"/>
          <w:szCs w:val="24"/>
        </w:rPr>
        <w:t xml:space="preserve">  </w:t>
      </w:r>
      <w:r w:rsidR="00B945AF" w:rsidRPr="003D5AD5">
        <w:rPr>
          <w:rFonts w:asciiTheme="minorEastAsia" w:hAnsiTheme="minorEastAsia" w:cs="宋体" w:hint="eastAsia"/>
          <w:b/>
          <w:color w:val="000000" w:themeColor="text1"/>
          <w:kern w:val="0"/>
          <w:sz w:val="28"/>
          <w:szCs w:val="24"/>
        </w:rPr>
        <w:t>万家基金管理有限公司关于旗下</w:t>
      </w:r>
      <w:r w:rsidR="00243770">
        <w:rPr>
          <w:rFonts w:asciiTheme="minorEastAsia" w:hAnsiTheme="minorEastAsia" w:cs="宋体" w:hint="eastAsia"/>
          <w:b/>
          <w:color w:val="000000" w:themeColor="text1"/>
          <w:kern w:val="0"/>
          <w:sz w:val="28"/>
          <w:szCs w:val="24"/>
        </w:rPr>
        <w:t>部分</w:t>
      </w:r>
      <w:r w:rsidR="00B945AF" w:rsidRPr="003D5AD5">
        <w:rPr>
          <w:rFonts w:asciiTheme="minorEastAsia" w:hAnsiTheme="minorEastAsia" w:cs="宋体" w:hint="eastAsia"/>
          <w:b/>
          <w:color w:val="000000" w:themeColor="text1"/>
          <w:kern w:val="0"/>
          <w:sz w:val="28"/>
          <w:szCs w:val="24"/>
        </w:rPr>
        <w:t>基金在</w:t>
      </w:r>
      <w:r w:rsidR="00782A53">
        <w:rPr>
          <w:rFonts w:asciiTheme="minorEastAsia" w:hAnsiTheme="minorEastAsia" w:cs="宋体" w:hint="eastAsia"/>
          <w:b/>
          <w:color w:val="000000" w:themeColor="text1"/>
          <w:kern w:val="0"/>
          <w:sz w:val="28"/>
          <w:szCs w:val="24"/>
        </w:rPr>
        <w:t>中泰证券</w:t>
      </w:r>
      <w:r w:rsidR="00B945AF" w:rsidRPr="003D5AD5">
        <w:rPr>
          <w:rFonts w:asciiTheme="minorEastAsia" w:hAnsiTheme="minorEastAsia" w:cs="宋体" w:hint="eastAsia"/>
          <w:b/>
          <w:color w:val="000000" w:themeColor="text1"/>
          <w:kern w:val="0"/>
          <w:sz w:val="28"/>
          <w:szCs w:val="24"/>
        </w:rPr>
        <w:t>开通定投业务的公告</w:t>
      </w:r>
      <w:r w:rsidR="00B945AF" w:rsidRPr="003D5AD5">
        <w:rPr>
          <w:rFonts w:asciiTheme="minorEastAsia" w:hAnsiTheme="minorEastAsia" w:cs="宋体"/>
          <w:b/>
          <w:color w:val="000000" w:themeColor="text1"/>
          <w:kern w:val="0"/>
          <w:sz w:val="28"/>
          <w:szCs w:val="24"/>
        </w:rPr>
        <w:t xml:space="preserve"> </w:t>
      </w:r>
      <w:r w:rsidR="00C12985" w:rsidRPr="003D5AD5">
        <w:rPr>
          <w:rFonts w:asciiTheme="minorEastAsia" w:hAnsiTheme="minorEastAsia" w:cs="宋体"/>
          <w:b/>
          <w:color w:val="000000" w:themeColor="text1"/>
          <w:kern w:val="0"/>
          <w:sz w:val="24"/>
          <w:szCs w:val="24"/>
        </w:rPr>
        <w:t xml:space="preserve"> </w:t>
      </w:r>
    </w:p>
    <w:p w:rsidR="00EF1855" w:rsidRPr="003D5AD5" w:rsidRDefault="00EF1855" w:rsidP="00EF1855">
      <w:pPr>
        <w:autoSpaceDE w:val="0"/>
        <w:autoSpaceDN w:val="0"/>
        <w:adjustRightInd w:val="0"/>
        <w:spacing w:line="360" w:lineRule="auto"/>
        <w:jc w:val="center"/>
        <w:rPr>
          <w:rFonts w:asciiTheme="minorEastAsia" w:hAnsiTheme="minorEastAsia" w:cs="宋体"/>
          <w:b/>
          <w:color w:val="000000" w:themeColor="text1"/>
          <w:kern w:val="0"/>
          <w:sz w:val="24"/>
          <w:szCs w:val="24"/>
        </w:rPr>
      </w:pPr>
    </w:p>
    <w:p w:rsidR="001340E7" w:rsidRPr="003D5AD5" w:rsidRDefault="00EF1855" w:rsidP="005E6C95">
      <w:pPr>
        <w:autoSpaceDE w:val="0"/>
        <w:autoSpaceDN w:val="0"/>
        <w:adjustRightInd w:val="0"/>
        <w:spacing w:line="360" w:lineRule="auto"/>
        <w:ind w:firstLineChars="200" w:firstLine="480"/>
        <w:rPr>
          <w:rFonts w:asciiTheme="minorEastAsia" w:hAnsiTheme="minorEastAsia" w:cs="宋体"/>
          <w:color w:val="000000" w:themeColor="text1"/>
          <w:kern w:val="0"/>
          <w:sz w:val="24"/>
          <w:szCs w:val="24"/>
        </w:rPr>
      </w:pPr>
      <w:r w:rsidRPr="003D5AD5">
        <w:rPr>
          <w:rFonts w:asciiTheme="minorEastAsia" w:hAnsiTheme="minorEastAsia" w:cs="宋体" w:hint="eastAsia"/>
          <w:color w:val="000000" w:themeColor="text1"/>
          <w:kern w:val="0"/>
          <w:sz w:val="24"/>
          <w:szCs w:val="24"/>
        </w:rPr>
        <w:t>根据万家基金管理有限公司（以下简称“本公司”）与</w:t>
      </w:r>
      <w:r w:rsidR="00F2587F" w:rsidRPr="00F2587F">
        <w:rPr>
          <w:rFonts w:asciiTheme="minorEastAsia" w:hAnsiTheme="minorEastAsia" w:cs="宋体" w:hint="eastAsia"/>
          <w:color w:val="000000" w:themeColor="text1"/>
          <w:kern w:val="0"/>
          <w:sz w:val="24"/>
          <w:szCs w:val="24"/>
        </w:rPr>
        <w:t>中泰证券股份有限公司</w:t>
      </w:r>
      <w:r w:rsidRPr="003D5AD5">
        <w:rPr>
          <w:rFonts w:asciiTheme="minorEastAsia" w:hAnsiTheme="minorEastAsia" w:cs="宋体" w:hint="eastAsia"/>
          <w:color w:val="000000" w:themeColor="text1"/>
          <w:kern w:val="0"/>
          <w:sz w:val="24"/>
          <w:szCs w:val="24"/>
        </w:rPr>
        <w:t>（以下简称“</w:t>
      </w:r>
      <w:r w:rsidR="00782A53">
        <w:rPr>
          <w:rFonts w:asciiTheme="minorEastAsia" w:hAnsiTheme="minorEastAsia" w:cs="宋体" w:hint="eastAsia"/>
          <w:color w:val="000000" w:themeColor="text1"/>
          <w:kern w:val="0"/>
          <w:sz w:val="24"/>
          <w:szCs w:val="24"/>
        </w:rPr>
        <w:t>中泰证券</w:t>
      </w:r>
      <w:r w:rsidRPr="003D5AD5">
        <w:rPr>
          <w:rFonts w:asciiTheme="minorEastAsia" w:hAnsiTheme="minorEastAsia" w:cs="宋体" w:hint="eastAsia"/>
          <w:color w:val="000000" w:themeColor="text1"/>
          <w:kern w:val="0"/>
          <w:sz w:val="24"/>
          <w:szCs w:val="24"/>
        </w:rPr>
        <w:t>”）签订的销售协议，</w:t>
      </w:r>
      <w:r w:rsidR="006E77AC" w:rsidRPr="003D5AD5">
        <w:rPr>
          <w:rFonts w:asciiTheme="minorEastAsia" w:hAnsiTheme="minorEastAsia" w:cs="宋体" w:hint="eastAsia"/>
          <w:color w:val="000000" w:themeColor="text1"/>
          <w:kern w:val="0"/>
          <w:sz w:val="24"/>
          <w:szCs w:val="24"/>
        </w:rPr>
        <w:t>自</w:t>
      </w:r>
      <w:r w:rsidR="00E1047E">
        <w:rPr>
          <w:rFonts w:asciiTheme="minorEastAsia" w:hAnsiTheme="minorEastAsia" w:cs="宋体"/>
          <w:color w:val="000000" w:themeColor="text1"/>
          <w:kern w:val="0"/>
          <w:sz w:val="24"/>
          <w:szCs w:val="24"/>
        </w:rPr>
        <w:t>2025年</w:t>
      </w:r>
      <w:r w:rsidR="00F2587F">
        <w:rPr>
          <w:rFonts w:asciiTheme="minorEastAsia" w:hAnsiTheme="minorEastAsia" w:cs="宋体"/>
          <w:color w:val="000000" w:themeColor="text1"/>
          <w:kern w:val="0"/>
          <w:sz w:val="24"/>
          <w:szCs w:val="24"/>
        </w:rPr>
        <w:t>11月6日</w:t>
      </w:r>
      <w:r w:rsidR="006E77AC" w:rsidRPr="003D5AD5">
        <w:rPr>
          <w:rFonts w:asciiTheme="minorEastAsia" w:hAnsiTheme="minorEastAsia" w:cs="宋体" w:hint="eastAsia"/>
          <w:color w:val="000000" w:themeColor="text1"/>
          <w:kern w:val="0"/>
          <w:sz w:val="24"/>
          <w:szCs w:val="24"/>
        </w:rPr>
        <w:t>起，本公司</w:t>
      </w:r>
      <w:r w:rsidR="001218E6" w:rsidRPr="003D5AD5">
        <w:rPr>
          <w:rFonts w:asciiTheme="minorEastAsia" w:hAnsiTheme="minorEastAsia" w:cs="宋体" w:hint="eastAsia"/>
          <w:color w:val="000000" w:themeColor="text1"/>
          <w:kern w:val="0"/>
          <w:sz w:val="24"/>
          <w:szCs w:val="24"/>
        </w:rPr>
        <w:t>旗下</w:t>
      </w:r>
      <w:r w:rsidR="00575B4F">
        <w:rPr>
          <w:rFonts w:asciiTheme="minorEastAsia" w:hAnsiTheme="minorEastAsia" w:cs="宋体" w:hint="eastAsia"/>
          <w:color w:val="000000" w:themeColor="text1"/>
          <w:kern w:val="0"/>
          <w:sz w:val="24"/>
          <w:szCs w:val="24"/>
        </w:rPr>
        <w:t>部分</w:t>
      </w:r>
      <w:bookmarkStart w:id="0" w:name="_GoBack"/>
      <w:bookmarkEnd w:id="0"/>
      <w:r w:rsidR="00002BE6" w:rsidRPr="003D5AD5">
        <w:rPr>
          <w:rFonts w:asciiTheme="minorEastAsia" w:hAnsiTheme="minorEastAsia" w:cs="宋体" w:hint="eastAsia"/>
          <w:color w:val="000000" w:themeColor="text1"/>
          <w:kern w:val="0"/>
          <w:sz w:val="24"/>
          <w:szCs w:val="24"/>
        </w:rPr>
        <w:t>基金</w:t>
      </w:r>
      <w:r w:rsidR="00746738" w:rsidRPr="003D5AD5">
        <w:rPr>
          <w:rFonts w:asciiTheme="minorEastAsia" w:hAnsiTheme="minorEastAsia" w:cs="宋体" w:hint="eastAsia"/>
          <w:color w:val="000000" w:themeColor="text1"/>
          <w:kern w:val="0"/>
          <w:sz w:val="24"/>
          <w:szCs w:val="24"/>
        </w:rPr>
        <w:t>在</w:t>
      </w:r>
      <w:r w:rsidR="00782A53">
        <w:rPr>
          <w:rFonts w:asciiTheme="minorEastAsia" w:hAnsiTheme="minorEastAsia" w:cs="宋体" w:hint="eastAsia"/>
          <w:color w:val="000000" w:themeColor="text1"/>
          <w:kern w:val="0"/>
          <w:sz w:val="24"/>
          <w:szCs w:val="24"/>
        </w:rPr>
        <w:t>中泰证券</w:t>
      </w:r>
      <w:r w:rsidR="00210C2E" w:rsidRPr="003D5AD5">
        <w:rPr>
          <w:rFonts w:asciiTheme="minorEastAsia" w:hAnsiTheme="minorEastAsia" w:cs="宋体" w:hint="eastAsia"/>
          <w:color w:val="000000" w:themeColor="text1"/>
          <w:kern w:val="0"/>
          <w:sz w:val="24"/>
          <w:szCs w:val="24"/>
        </w:rPr>
        <w:t>开通定投</w:t>
      </w:r>
      <w:r w:rsidR="00210008">
        <w:rPr>
          <w:rFonts w:asciiTheme="minorEastAsia" w:hAnsiTheme="minorEastAsia" w:cs="宋体" w:hint="eastAsia"/>
          <w:color w:val="000000" w:themeColor="text1"/>
          <w:kern w:val="0"/>
          <w:sz w:val="24"/>
          <w:szCs w:val="24"/>
        </w:rPr>
        <w:t>业务</w:t>
      </w:r>
      <w:r w:rsidR="006E77AC" w:rsidRPr="003D5AD5">
        <w:rPr>
          <w:rFonts w:asciiTheme="minorEastAsia" w:hAnsiTheme="minorEastAsia" w:cs="宋体" w:hint="eastAsia"/>
          <w:color w:val="000000" w:themeColor="text1"/>
          <w:kern w:val="0"/>
          <w:sz w:val="24"/>
          <w:szCs w:val="24"/>
        </w:rPr>
        <w:t>。投资者可在</w:t>
      </w:r>
      <w:r w:rsidR="00782A53">
        <w:rPr>
          <w:rFonts w:asciiTheme="minorEastAsia" w:hAnsiTheme="minorEastAsia" w:cs="宋体" w:hint="eastAsia"/>
          <w:color w:val="000000" w:themeColor="text1"/>
          <w:kern w:val="0"/>
          <w:sz w:val="24"/>
          <w:szCs w:val="24"/>
        </w:rPr>
        <w:t>中泰证券</w:t>
      </w:r>
      <w:r w:rsidR="006E77AC" w:rsidRPr="003D5AD5">
        <w:rPr>
          <w:rFonts w:asciiTheme="minorEastAsia" w:hAnsiTheme="minorEastAsia" w:cs="宋体" w:hint="eastAsia"/>
          <w:color w:val="000000" w:themeColor="text1"/>
          <w:kern w:val="0"/>
          <w:sz w:val="24"/>
          <w:szCs w:val="24"/>
        </w:rPr>
        <w:t>办理</w:t>
      </w:r>
      <w:r w:rsidR="00210008">
        <w:rPr>
          <w:rFonts w:asciiTheme="minorEastAsia" w:hAnsiTheme="minorEastAsia" w:cs="宋体" w:hint="eastAsia"/>
          <w:color w:val="000000" w:themeColor="text1"/>
          <w:kern w:val="0"/>
          <w:sz w:val="24"/>
          <w:szCs w:val="24"/>
        </w:rPr>
        <w:t>该</w:t>
      </w:r>
      <w:r w:rsidR="006E77AC" w:rsidRPr="003D5AD5">
        <w:rPr>
          <w:rFonts w:asciiTheme="minorEastAsia" w:hAnsiTheme="minorEastAsia" w:cs="宋体" w:hint="eastAsia"/>
          <w:color w:val="000000" w:themeColor="text1"/>
          <w:kern w:val="0"/>
          <w:sz w:val="24"/>
          <w:szCs w:val="24"/>
        </w:rPr>
        <w:t>基金的</w:t>
      </w:r>
      <w:r w:rsidR="00210008">
        <w:rPr>
          <w:rFonts w:asciiTheme="minorEastAsia" w:hAnsiTheme="minorEastAsia" w:cs="宋体" w:hint="eastAsia"/>
          <w:color w:val="000000" w:themeColor="text1"/>
          <w:kern w:val="0"/>
          <w:sz w:val="24"/>
          <w:szCs w:val="24"/>
        </w:rPr>
        <w:t>定投</w:t>
      </w:r>
      <w:r w:rsidR="006E77AC" w:rsidRPr="003D5AD5">
        <w:rPr>
          <w:rFonts w:asciiTheme="minorEastAsia" w:hAnsiTheme="minorEastAsia" w:cs="宋体" w:hint="eastAsia"/>
          <w:color w:val="000000" w:themeColor="text1"/>
          <w:kern w:val="0"/>
          <w:sz w:val="24"/>
          <w:szCs w:val="24"/>
        </w:rPr>
        <w:t>业务，业务办理的具体事宜请遵从</w:t>
      </w:r>
      <w:r w:rsidR="00782A53">
        <w:rPr>
          <w:rFonts w:asciiTheme="minorEastAsia" w:hAnsiTheme="minorEastAsia" w:cs="宋体" w:hint="eastAsia"/>
          <w:color w:val="000000" w:themeColor="text1"/>
          <w:kern w:val="0"/>
          <w:sz w:val="24"/>
          <w:szCs w:val="24"/>
        </w:rPr>
        <w:t>中泰证券</w:t>
      </w:r>
      <w:r w:rsidR="006E77AC" w:rsidRPr="003D5AD5">
        <w:rPr>
          <w:rFonts w:asciiTheme="minorEastAsia" w:hAnsiTheme="minorEastAsia" w:cs="宋体" w:hint="eastAsia"/>
          <w:color w:val="000000" w:themeColor="text1"/>
          <w:kern w:val="0"/>
          <w:sz w:val="24"/>
          <w:szCs w:val="24"/>
        </w:rPr>
        <w:t>的相关规定。</w:t>
      </w:r>
      <w:r w:rsidR="006E77AC" w:rsidRPr="003D5AD5">
        <w:rPr>
          <w:rFonts w:asciiTheme="minorEastAsia" w:hAnsiTheme="minorEastAsia" w:cs="宋体"/>
          <w:color w:val="000000" w:themeColor="text1"/>
          <w:kern w:val="0"/>
          <w:sz w:val="24"/>
          <w:szCs w:val="24"/>
        </w:rPr>
        <w:t xml:space="preserve">   </w:t>
      </w:r>
    </w:p>
    <w:p w:rsidR="00271AFD" w:rsidRPr="003D5AD5" w:rsidRDefault="00271AFD" w:rsidP="006E77AC">
      <w:pPr>
        <w:autoSpaceDE w:val="0"/>
        <w:autoSpaceDN w:val="0"/>
        <w:adjustRightInd w:val="0"/>
        <w:spacing w:line="360" w:lineRule="auto"/>
        <w:ind w:firstLine="420"/>
        <w:rPr>
          <w:rFonts w:asciiTheme="minorEastAsia" w:hAnsiTheme="minorEastAsia" w:cs="宋体"/>
          <w:color w:val="000000" w:themeColor="text1"/>
          <w:kern w:val="0"/>
          <w:sz w:val="24"/>
          <w:szCs w:val="24"/>
        </w:rPr>
      </w:pPr>
    </w:p>
    <w:p w:rsidR="00920AE9" w:rsidRPr="00920AE9" w:rsidRDefault="00CB7069" w:rsidP="00920AE9">
      <w:pPr>
        <w:adjustRightInd w:val="0"/>
        <w:snapToGrid w:val="0"/>
        <w:spacing w:line="360" w:lineRule="auto"/>
        <w:rPr>
          <w:rStyle w:val="fontstyle01"/>
          <w:rFonts w:asciiTheme="minorEastAsia" w:eastAsiaTheme="minorEastAsia" w:hAnsiTheme="minorEastAsia" w:hint="default"/>
          <w:color w:val="000000" w:themeColor="text1"/>
          <w:sz w:val="24"/>
          <w:szCs w:val="24"/>
        </w:rPr>
      </w:pPr>
      <w:r>
        <w:rPr>
          <w:rStyle w:val="fontstyle01"/>
          <w:rFonts w:asciiTheme="minorEastAsia" w:eastAsiaTheme="minorEastAsia" w:hAnsiTheme="minorEastAsia" w:hint="default"/>
          <w:color w:val="000000" w:themeColor="text1"/>
          <w:sz w:val="24"/>
          <w:szCs w:val="24"/>
        </w:rPr>
        <w:t>一</w:t>
      </w:r>
      <w:r w:rsidR="00B36B97" w:rsidRPr="003D5AD5">
        <w:rPr>
          <w:rStyle w:val="fontstyle01"/>
          <w:rFonts w:asciiTheme="minorEastAsia" w:eastAsiaTheme="minorEastAsia" w:hAnsiTheme="minorEastAsia" w:hint="default"/>
          <w:color w:val="000000" w:themeColor="text1"/>
          <w:sz w:val="24"/>
          <w:szCs w:val="24"/>
        </w:rPr>
        <w:t>、</w:t>
      </w:r>
      <w:r w:rsidR="00920AE9" w:rsidRPr="00920AE9">
        <w:rPr>
          <w:rStyle w:val="fontstyle01"/>
          <w:rFonts w:asciiTheme="minorEastAsia" w:eastAsiaTheme="minorEastAsia" w:hAnsiTheme="minorEastAsia" w:hint="default"/>
          <w:color w:val="000000" w:themeColor="text1"/>
          <w:sz w:val="24"/>
          <w:szCs w:val="24"/>
        </w:rPr>
        <w:t>开通基金定投业务</w:t>
      </w:r>
    </w:p>
    <w:p w:rsidR="00920AE9" w:rsidRPr="00920AE9" w:rsidRDefault="00920AE9" w:rsidP="00762CFE">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基金定投是指投资者通过向</w:t>
      </w:r>
      <w:r w:rsidR="00782A53">
        <w:rPr>
          <w:rStyle w:val="fontstyle01"/>
          <w:rFonts w:asciiTheme="minorEastAsia" w:eastAsiaTheme="minorEastAsia" w:hAnsiTheme="minorEastAsia" w:hint="default"/>
          <w:color w:val="000000" w:themeColor="text1"/>
          <w:sz w:val="24"/>
          <w:szCs w:val="24"/>
        </w:rPr>
        <w:t>中泰证券</w:t>
      </w:r>
      <w:r w:rsidRPr="00920AE9">
        <w:rPr>
          <w:rStyle w:val="fontstyle01"/>
          <w:rFonts w:asciiTheme="minorEastAsia" w:eastAsiaTheme="minorEastAsia" w:hAnsiTheme="minorEastAsia" w:hint="default"/>
          <w:color w:val="000000" w:themeColor="text1"/>
          <w:sz w:val="24"/>
          <w:szCs w:val="24"/>
        </w:rPr>
        <w:t>提交申请，约定申购周期、申购时间和申购金额，由各销售机构在设定期限内按照约定的自动投资日在投资者指定资金账户内自动完成基金申购申请的一种长期投资方式。有关基金定投事宜公告如下：</w:t>
      </w:r>
    </w:p>
    <w:p w:rsidR="00920AE9" w:rsidRPr="00920AE9" w:rsidRDefault="00920AE9" w:rsidP="00920AE9">
      <w:pPr>
        <w:adjustRightInd w:val="0"/>
        <w:snapToGrid w:val="0"/>
        <w:spacing w:line="360" w:lineRule="auto"/>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1、适用投资者范围</w:t>
      </w:r>
    </w:p>
    <w:p w:rsidR="00920AE9" w:rsidRPr="00920AE9" w:rsidRDefault="00920AE9" w:rsidP="00DA3E83">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符合相关基金合同规定的所有投资者。</w:t>
      </w:r>
    </w:p>
    <w:p w:rsidR="00920AE9" w:rsidRPr="00920AE9" w:rsidRDefault="00920AE9" w:rsidP="00920AE9">
      <w:pPr>
        <w:adjustRightInd w:val="0"/>
        <w:snapToGrid w:val="0"/>
        <w:spacing w:line="360" w:lineRule="auto"/>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2、本次开通基金定投业务的基金产品如下：</w:t>
      </w:r>
    </w:p>
    <w:tbl>
      <w:tblPr>
        <w:tblW w:w="8040" w:type="dxa"/>
        <w:tblInd w:w="-10" w:type="dxa"/>
        <w:tblLook w:val="04A0"/>
      </w:tblPr>
      <w:tblGrid>
        <w:gridCol w:w="1418"/>
        <w:gridCol w:w="6622"/>
      </w:tblGrid>
      <w:tr w:rsidR="00920AE9" w:rsidRPr="002D3B61" w:rsidTr="00E240D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0AE9" w:rsidRPr="002D3B61" w:rsidRDefault="00920AE9" w:rsidP="00E240DC">
            <w:pPr>
              <w:widowControl/>
              <w:jc w:val="center"/>
              <w:rPr>
                <w:rFonts w:asciiTheme="minorEastAsia" w:hAnsiTheme="minorEastAsia" w:cs="Arial"/>
                <w:color w:val="333333"/>
                <w:sz w:val="24"/>
                <w:szCs w:val="24"/>
              </w:rPr>
            </w:pPr>
            <w:r w:rsidRPr="002D3B61">
              <w:rPr>
                <w:rFonts w:asciiTheme="minorEastAsia" w:hAnsiTheme="minorEastAsia" w:cs="Arial" w:hint="eastAsia"/>
                <w:color w:val="333333"/>
                <w:sz w:val="24"/>
                <w:szCs w:val="24"/>
              </w:rPr>
              <w:t>基金代码</w:t>
            </w:r>
          </w:p>
        </w:tc>
        <w:tc>
          <w:tcPr>
            <w:tcW w:w="6622" w:type="dxa"/>
            <w:tcBorders>
              <w:top w:val="single" w:sz="8" w:space="0" w:color="auto"/>
              <w:left w:val="nil"/>
              <w:bottom w:val="single" w:sz="8" w:space="0" w:color="auto"/>
              <w:right w:val="single" w:sz="8" w:space="0" w:color="auto"/>
            </w:tcBorders>
            <w:shd w:val="clear" w:color="auto" w:fill="auto"/>
            <w:noWrap/>
            <w:vAlign w:val="center"/>
            <w:hideMark/>
          </w:tcPr>
          <w:p w:rsidR="00920AE9" w:rsidRPr="002D3B61" w:rsidRDefault="00920AE9" w:rsidP="00E240DC">
            <w:pPr>
              <w:widowControl/>
              <w:jc w:val="center"/>
              <w:rPr>
                <w:rFonts w:asciiTheme="minorEastAsia" w:hAnsiTheme="minorEastAsia" w:cs="Arial"/>
                <w:color w:val="333333"/>
                <w:sz w:val="24"/>
                <w:szCs w:val="24"/>
              </w:rPr>
            </w:pPr>
            <w:r w:rsidRPr="002D3B61">
              <w:rPr>
                <w:rFonts w:asciiTheme="minorEastAsia" w:hAnsiTheme="minorEastAsia" w:cs="Arial" w:hint="eastAsia"/>
                <w:color w:val="333333"/>
                <w:sz w:val="24"/>
                <w:szCs w:val="24"/>
              </w:rPr>
              <w:t>基金名称</w:t>
            </w:r>
          </w:p>
        </w:tc>
      </w:tr>
      <w:tr w:rsidR="00920AE9" w:rsidRPr="008357C2" w:rsidTr="00E240D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0AE9" w:rsidRPr="008357C2" w:rsidRDefault="005E1049" w:rsidP="00E240DC">
            <w:pPr>
              <w:widowControl/>
              <w:jc w:val="center"/>
              <w:rPr>
                <w:rFonts w:asciiTheme="minorEastAsia" w:hAnsiTheme="minorEastAsia" w:cs="Arial"/>
                <w:color w:val="333333"/>
                <w:sz w:val="24"/>
                <w:szCs w:val="24"/>
              </w:rPr>
            </w:pPr>
            <w:r w:rsidRPr="005E1049">
              <w:rPr>
                <w:rFonts w:asciiTheme="minorEastAsia" w:hAnsiTheme="minorEastAsia" w:cs="Arial"/>
                <w:color w:val="333333"/>
                <w:sz w:val="24"/>
                <w:szCs w:val="24"/>
              </w:rPr>
              <w:t>003520</w:t>
            </w:r>
          </w:p>
        </w:tc>
        <w:tc>
          <w:tcPr>
            <w:tcW w:w="6622" w:type="dxa"/>
            <w:tcBorders>
              <w:top w:val="single" w:sz="8" w:space="0" w:color="auto"/>
              <w:left w:val="nil"/>
              <w:bottom w:val="single" w:sz="8" w:space="0" w:color="auto"/>
              <w:right w:val="single" w:sz="8" w:space="0" w:color="auto"/>
            </w:tcBorders>
            <w:shd w:val="clear" w:color="auto" w:fill="auto"/>
            <w:noWrap/>
            <w:vAlign w:val="center"/>
            <w:hideMark/>
          </w:tcPr>
          <w:p w:rsidR="00920AE9" w:rsidRPr="008357C2" w:rsidRDefault="005E1049" w:rsidP="00894EB5">
            <w:pPr>
              <w:widowControl/>
              <w:jc w:val="center"/>
              <w:rPr>
                <w:rFonts w:asciiTheme="minorEastAsia" w:hAnsiTheme="minorEastAsia" w:cs="Arial"/>
                <w:color w:val="333333"/>
                <w:sz w:val="24"/>
                <w:szCs w:val="24"/>
              </w:rPr>
            </w:pPr>
            <w:r w:rsidRPr="005E1049">
              <w:rPr>
                <w:rFonts w:asciiTheme="minorEastAsia" w:hAnsiTheme="minorEastAsia" w:cs="Arial" w:hint="eastAsia"/>
                <w:color w:val="333333"/>
                <w:sz w:val="24"/>
                <w:szCs w:val="24"/>
              </w:rPr>
              <w:t>万家1-3年政策性金融债纯债债券型证券投资基金</w:t>
            </w:r>
            <w:r>
              <w:rPr>
                <w:rFonts w:asciiTheme="minorEastAsia" w:hAnsiTheme="minorEastAsia" w:cs="Arial" w:hint="eastAsia"/>
                <w:color w:val="333333"/>
                <w:sz w:val="24"/>
                <w:szCs w:val="24"/>
              </w:rPr>
              <w:t>A</w:t>
            </w:r>
            <w:r w:rsidR="00920AE9" w:rsidRPr="008357C2">
              <w:rPr>
                <w:rFonts w:asciiTheme="minorEastAsia" w:hAnsiTheme="minorEastAsia" w:cs="Arial" w:hint="eastAsia"/>
                <w:color w:val="333333"/>
                <w:sz w:val="24"/>
                <w:szCs w:val="24"/>
              </w:rPr>
              <w:t>类</w:t>
            </w:r>
          </w:p>
        </w:tc>
      </w:tr>
      <w:tr w:rsidR="005E1049" w:rsidRPr="008357C2" w:rsidTr="00E240D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1049" w:rsidRPr="00894EB5" w:rsidRDefault="005E1049" w:rsidP="00E240DC">
            <w:pPr>
              <w:widowControl/>
              <w:jc w:val="center"/>
              <w:rPr>
                <w:rFonts w:asciiTheme="minorEastAsia" w:hAnsiTheme="minorEastAsia" w:cs="Arial"/>
                <w:color w:val="333333"/>
                <w:sz w:val="24"/>
                <w:szCs w:val="24"/>
              </w:rPr>
            </w:pPr>
            <w:r>
              <w:rPr>
                <w:rFonts w:asciiTheme="minorEastAsia" w:hAnsiTheme="minorEastAsia" w:cs="Arial"/>
                <w:color w:val="333333"/>
                <w:sz w:val="24"/>
                <w:szCs w:val="24"/>
              </w:rPr>
              <w:t>003521</w:t>
            </w:r>
          </w:p>
        </w:tc>
        <w:tc>
          <w:tcPr>
            <w:tcW w:w="6622" w:type="dxa"/>
            <w:tcBorders>
              <w:top w:val="single" w:sz="8" w:space="0" w:color="auto"/>
              <w:left w:val="nil"/>
              <w:bottom w:val="single" w:sz="8" w:space="0" w:color="auto"/>
              <w:right w:val="single" w:sz="8" w:space="0" w:color="auto"/>
            </w:tcBorders>
            <w:shd w:val="clear" w:color="auto" w:fill="auto"/>
            <w:noWrap/>
            <w:vAlign w:val="center"/>
          </w:tcPr>
          <w:p w:rsidR="005E1049" w:rsidRPr="005E1049" w:rsidRDefault="005E1049" w:rsidP="00894EB5">
            <w:pPr>
              <w:widowControl/>
              <w:jc w:val="center"/>
              <w:rPr>
                <w:rFonts w:asciiTheme="minorEastAsia" w:hAnsiTheme="minorEastAsia" w:cs="Arial"/>
                <w:color w:val="333333"/>
                <w:sz w:val="24"/>
                <w:szCs w:val="24"/>
              </w:rPr>
            </w:pPr>
            <w:r w:rsidRPr="005E1049">
              <w:rPr>
                <w:rFonts w:asciiTheme="minorEastAsia" w:hAnsiTheme="minorEastAsia" w:cs="Arial" w:hint="eastAsia"/>
                <w:color w:val="333333"/>
                <w:sz w:val="24"/>
                <w:szCs w:val="24"/>
              </w:rPr>
              <w:t>万家1-3年政策性金融债纯债债券型证券投资基金</w:t>
            </w:r>
            <w:r>
              <w:rPr>
                <w:rFonts w:asciiTheme="minorEastAsia" w:hAnsiTheme="minorEastAsia" w:cs="Arial" w:hint="eastAsia"/>
                <w:color w:val="333333"/>
                <w:sz w:val="24"/>
                <w:szCs w:val="24"/>
              </w:rPr>
              <w:t>C类</w:t>
            </w:r>
          </w:p>
        </w:tc>
      </w:tr>
    </w:tbl>
    <w:p w:rsidR="00920AE9" w:rsidRDefault="00920AE9" w:rsidP="00920AE9">
      <w:pPr>
        <w:adjustRightInd w:val="0"/>
        <w:snapToGrid w:val="0"/>
        <w:spacing w:line="360" w:lineRule="auto"/>
        <w:rPr>
          <w:rStyle w:val="fontstyle01"/>
          <w:rFonts w:asciiTheme="minorEastAsia" w:eastAsiaTheme="minorEastAsia" w:hAnsiTheme="minorEastAsia" w:hint="default"/>
          <w:color w:val="000000" w:themeColor="text1"/>
          <w:sz w:val="24"/>
          <w:szCs w:val="24"/>
        </w:rPr>
      </w:pPr>
    </w:p>
    <w:p w:rsidR="00920AE9" w:rsidRPr="00920AE9" w:rsidRDefault="00920AE9" w:rsidP="00920AE9">
      <w:pPr>
        <w:adjustRightInd w:val="0"/>
        <w:snapToGrid w:val="0"/>
        <w:spacing w:line="360" w:lineRule="auto"/>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3、办理方式</w:t>
      </w:r>
    </w:p>
    <w:p w:rsidR="00920AE9" w:rsidRPr="00920AE9" w:rsidRDefault="00920AE9" w:rsidP="00E41D2B">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（1）申请办理定期定额申购业务的投资者须拥有开放式基金账户，具体开户程序请遵循各销售机构的相关规定。</w:t>
      </w:r>
    </w:p>
    <w:p w:rsidR="00920AE9" w:rsidRPr="00920AE9" w:rsidRDefault="00920AE9" w:rsidP="00E41D2B">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（2）投资者开立基金账户后即可到各销售机构申请办理相关万家开放式基金的基金定投业务，具体办理程序请遵循各销售机构的相关规定。</w:t>
      </w:r>
    </w:p>
    <w:p w:rsidR="00920AE9" w:rsidRPr="00920AE9" w:rsidRDefault="00920AE9" w:rsidP="00920AE9">
      <w:pPr>
        <w:adjustRightInd w:val="0"/>
        <w:snapToGrid w:val="0"/>
        <w:spacing w:line="360" w:lineRule="auto"/>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4、办理时间</w:t>
      </w:r>
    </w:p>
    <w:p w:rsidR="00920AE9" w:rsidRPr="00920AE9" w:rsidRDefault="00920AE9" w:rsidP="00E41D2B">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本业务的申请受理时间与基金日常申购业务受理时间相同。</w:t>
      </w:r>
    </w:p>
    <w:p w:rsidR="00920AE9" w:rsidRPr="00920AE9" w:rsidRDefault="00920AE9" w:rsidP="00920AE9">
      <w:pPr>
        <w:adjustRightInd w:val="0"/>
        <w:snapToGrid w:val="0"/>
        <w:spacing w:line="360" w:lineRule="auto"/>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5、申购金额</w:t>
      </w:r>
    </w:p>
    <w:p w:rsidR="00920AE9" w:rsidRPr="00920AE9" w:rsidRDefault="00920AE9" w:rsidP="00E41D2B">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投资者可与各销售机构约定每期固定投资金额，每期定期定额申购金额最低下限为</w:t>
      </w:r>
      <w:r w:rsidR="008F4E5D">
        <w:rPr>
          <w:rStyle w:val="fontstyle01"/>
          <w:rFonts w:asciiTheme="minorEastAsia" w:eastAsiaTheme="minorEastAsia" w:hAnsiTheme="minorEastAsia" w:hint="default"/>
          <w:color w:val="000000" w:themeColor="text1"/>
          <w:sz w:val="24"/>
          <w:szCs w:val="24"/>
        </w:rPr>
        <w:t>1</w:t>
      </w:r>
      <w:r w:rsidRPr="00920AE9">
        <w:rPr>
          <w:rStyle w:val="fontstyle01"/>
          <w:rFonts w:asciiTheme="minorEastAsia" w:eastAsiaTheme="minorEastAsia" w:hAnsiTheme="minorEastAsia" w:hint="default"/>
          <w:color w:val="000000" w:themeColor="text1"/>
          <w:sz w:val="24"/>
          <w:szCs w:val="24"/>
        </w:rPr>
        <w:t>元。</w:t>
      </w:r>
    </w:p>
    <w:p w:rsidR="00920AE9" w:rsidRPr="00920AE9" w:rsidRDefault="00920AE9" w:rsidP="00920AE9">
      <w:pPr>
        <w:adjustRightInd w:val="0"/>
        <w:snapToGrid w:val="0"/>
        <w:spacing w:line="360" w:lineRule="auto"/>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6、扣款日期及扣款方式</w:t>
      </w:r>
    </w:p>
    <w:p w:rsidR="00920AE9" w:rsidRPr="00920AE9" w:rsidRDefault="00920AE9" w:rsidP="00CD15F7">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lastRenderedPageBreak/>
        <w:t>（1）投资者应遵循相关各销售机构的规定与其约定每期扣款日期。</w:t>
      </w:r>
    </w:p>
    <w:p w:rsidR="00920AE9" w:rsidRPr="00920AE9" w:rsidRDefault="00920AE9" w:rsidP="00CD15F7">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（2）各销售机构将按照投资者申请时所约定的每期约定扣款日、扣款金额扣款，若遇非基金开放日则顺延到下一基金开放日，并以该日为基金申购申请日。</w:t>
      </w:r>
    </w:p>
    <w:p w:rsidR="00920AE9" w:rsidRPr="00920AE9" w:rsidRDefault="00920AE9" w:rsidP="00CD15F7">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（3</w:t>
      </w:r>
      <w:r w:rsidR="00B50A50">
        <w:rPr>
          <w:rStyle w:val="fontstyle01"/>
          <w:rFonts w:asciiTheme="minorEastAsia" w:eastAsiaTheme="minorEastAsia" w:hAnsiTheme="minorEastAsia" w:hint="default"/>
          <w:color w:val="000000" w:themeColor="text1"/>
          <w:sz w:val="24"/>
          <w:szCs w:val="24"/>
        </w:rPr>
        <w:t xml:space="preserve">） </w:t>
      </w:r>
      <w:r w:rsidRPr="00920AE9">
        <w:rPr>
          <w:rStyle w:val="fontstyle01"/>
          <w:rFonts w:asciiTheme="minorEastAsia" w:eastAsiaTheme="minorEastAsia" w:hAnsiTheme="minorEastAsia" w:hint="default"/>
          <w:color w:val="000000" w:themeColor="text1"/>
          <w:sz w:val="24"/>
          <w:szCs w:val="24"/>
        </w:rPr>
        <w:t>投资者需指定相关各销售机构认可的资金账户作为每期固定扣款账户。</w:t>
      </w:r>
    </w:p>
    <w:p w:rsidR="00920AE9" w:rsidRPr="00920AE9" w:rsidRDefault="00920AE9" w:rsidP="00CD15F7">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（4</w:t>
      </w:r>
      <w:r w:rsidR="00B50A50">
        <w:rPr>
          <w:rStyle w:val="fontstyle01"/>
          <w:rFonts w:asciiTheme="minorEastAsia" w:eastAsiaTheme="minorEastAsia" w:hAnsiTheme="minorEastAsia" w:hint="default"/>
          <w:color w:val="000000" w:themeColor="text1"/>
          <w:sz w:val="24"/>
          <w:szCs w:val="24"/>
        </w:rPr>
        <w:t>）</w:t>
      </w:r>
      <w:r w:rsidRPr="00920AE9">
        <w:rPr>
          <w:rStyle w:val="fontstyle01"/>
          <w:rFonts w:asciiTheme="minorEastAsia" w:eastAsiaTheme="minorEastAsia" w:hAnsiTheme="minorEastAsia" w:hint="default"/>
          <w:color w:val="000000" w:themeColor="text1"/>
          <w:sz w:val="24"/>
          <w:szCs w:val="24"/>
        </w:rPr>
        <w:t>扣款等其他相关事项请以各销售机构的规定为准。</w:t>
      </w:r>
    </w:p>
    <w:p w:rsidR="00920AE9" w:rsidRPr="00920AE9" w:rsidRDefault="00920AE9" w:rsidP="00920AE9">
      <w:pPr>
        <w:adjustRightInd w:val="0"/>
        <w:snapToGrid w:val="0"/>
        <w:spacing w:line="360" w:lineRule="auto"/>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7、扣款和交易确认</w:t>
      </w:r>
    </w:p>
    <w:p w:rsidR="00920AE9" w:rsidRPr="00920AE9" w:rsidRDefault="00920AE9" w:rsidP="00E41D2B">
      <w:pPr>
        <w:adjustRightInd w:val="0"/>
        <w:snapToGrid w:val="0"/>
        <w:spacing w:line="360" w:lineRule="auto"/>
        <w:ind w:firstLineChars="200" w:firstLine="480"/>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基金的注册登记人按照本款第</w:t>
      </w:r>
      <w:r w:rsidR="00D07235">
        <w:rPr>
          <w:rStyle w:val="fontstyle01"/>
          <w:rFonts w:asciiTheme="minorEastAsia" w:eastAsiaTheme="minorEastAsia" w:hAnsiTheme="minorEastAsia" w:hint="default"/>
          <w:color w:val="000000" w:themeColor="text1"/>
          <w:sz w:val="24"/>
          <w:szCs w:val="24"/>
        </w:rPr>
        <w:t xml:space="preserve"> 6 </w:t>
      </w:r>
      <w:r w:rsidRPr="00920AE9">
        <w:rPr>
          <w:rStyle w:val="fontstyle01"/>
          <w:rFonts w:asciiTheme="minorEastAsia" w:eastAsiaTheme="minorEastAsia" w:hAnsiTheme="minorEastAsia" w:hint="default"/>
          <w:color w:val="000000" w:themeColor="text1"/>
          <w:sz w:val="24"/>
          <w:szCs w:val="24"/>
        </w:rPr>
        <w:t>条规则确定的基金申购申请日（T 日）的基金份额净值为基准计算申购份额。申购份额将在确认成功后直接计入投资者的基金账户。投资者可自确认成功后1个工作日起查询申购成交情况。</w:t>
      </w:r>
    </w:p>
    <w:p w:rsidR="00920AE9" w:rsidRPr="00920AE9" w:rsidRDefault="00920AE9" w:rsidP="00920AE9">
      <w:pPr>
        <w:adjustRightInd w:val="0"/>
        <w:snapToGrid w:val="0"/>
        <w:spacing w:line="360" w:lineRule="auto"/>
        <w:rPr>
          <w:rStyle w:val="fontstyle01"/>
          <w:rFonts w:asciiTheme="minorEastAsia" w:eastAsiaTheme="minorEastAsia" w:hAnsiTheme="minorEastAsia" w:hint="default"/>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8、变更与解约</w:t>
      </w:r>
    </w:p>
    <w:p w:rsidR="00B36B97" w:rsidRPr="003D5AD5" w:rsidRDefault="00920AE9" w:rsidP="00E41D2B">
      <w:pPr>
        <w:adjustRightInd w:val="0"/>
        <w:snapToGrid w:val="0"/>
        <w:spacing w:line="360" w:lineRule="auto"/>
        <w:ind w:firstLineChars="200" w:firstLine="480"/>
        <w:rPr>
          <w:rFonts w:asciiTheme="minorEastAsia" w:hAnsiTheme="minorEastAsia"/>
          <w:color w:val="000000" w:themeColor="text1"/>
          <w:sz w:val="24"/>
          <w:szCs w:val="24"/>
        </w:rPr>
      </w:pPr>
      <w:r w:rsidRPr="00920AE9">
        <w:rPr>
          <w:rStyle w:val="fontstyle01"/>
          <w:rFonts w:asciiTheme="minorEastAsia" w:eastAsiaTheme="minorEastAsia" w:hAnsiTheme="minorEastAsia" w:hint="default"/>
          <w:color w:val="000000" w:themeColor="text1"/>
          <w:sz w:val="24"/>
          <w:szCs w:val="24"/>
        </w:rPr>
        <w:t>如果投资者想变更每月扣款金额和扣款日期，可提出变更申请；如果投资者想终止定期定额申购业务，可提出解除申请，具体办理程序请遵循各销售机构的相关规定。</w:t>
      </w:r>
    </w:p>
    <w:p w:rsidR="00905DF4" w:rsidRPr="003D5AD5" w:rsidRDefault="00905DF4" w:rsidP="00B36B97">
      <w:pPr>
        <w:adjustRightInd w:val="0"/>
        <w:snapToGrid w:val="0"/>
        <w:spacing w:line="360" w:lineRule="auto"/>
        <w:rPr>
          <w:rFonts w:asciiTheme="minorEastAsia" w:hAnsiTheme="minorEastAsia"/>
          <w:color w:val="000000" w:themeColor="text1"/>
          <w:sz w:val="24"/>
          <w:szCs w:val="24"/>
        </w:rPr>
      </w:pPr>
    </w:p>
    <w:p w:rsidR="0029296E" w:rsidRPr="003D5AD5" w:rsidRDefault="00EF1855" w:rsidP="00E865D8">
      <w:pPr>
        <w:adjustRightInd w:val="0"/>
        <w:snapToGrid w:val="0"/>
        <w:spacing w:line="360" w:lineRule="auto"/>
        <w:rPr>
          <w:rFonts w:asciiTheme="minorEastAsia" w:hAnsiTheme="minorEastAsia" w:cs="宋体"/>
          <w:color w:val="000000" w:themeColor="text1"/>
          <w:kern w:val="0"/>
          <w:sz w:val="24"/>
          <w:szCs w:val="24"/>
        </w:rPr>
      </w:pPr>
      <w:r w:rsidRPr="003D5AD5">
        <w:rPr>
          <w:rFonts w:asciiTheme="minorEastAsia" w:hAnsiTheme="minorEastAsia" w:cs="宋体" w:hint="eastAsia"/>
          <w:color w:val="000000" w:themeColor="text1"/>
          <w:kern w:val="0"/>
          <w:sz w:val="24"/>
          <w:szCs w:val="24"/>
        </w:rPr>
        <w:t>投资者可以通过以下途径咨询有关详情：</w:t>
      </w:r>
    </w:p>
    <w:p w:rsidR="00F2587F" w:rsidRPr="00F2587F" w:rsidRDefault="00E308B9" w:rsidP="00F2587F">
      <w:pPr>
        <w:adjustRightInd w:val="0"/>
        <w:snapToGrid w:val="0"/>
        <w:spacing w:line="360" w:lineRule="auto"/>
        <w:rPr>
          <w:rFonts w:asciiTheme="minorEastAsia" w:hAnsiTheme="minorEastAsia" w:cs="宋体"/>
          <w:color w:val="000000" w:themeColor="text1"/>
          <w:kern w:val="0"/>
          <w:sz w:val="24"/>
          <w:szCs w:val="24"/>
        </w:rPr>
      </w:pPr>
      <w:r w:rsidRPr="003D5AD5">
        <w:rPr>
          <w:rFonts w:asciiTheme="minorEastAsia" w:hAnsiTheme="minorEastAsia" w:cs="宋体"/>
          <w:color w:val="000000" w:themeColor="text1"/>
          <w:kern w:val="0"/>
          <w:sz w:val="24"/>
          <w:szCs w:val="24"/>
        </w:rPr>
        <w:t>1</w:t>
      </w:r>
      <w:r w:rsidR="002F3067" w:rsidRPr="003D5AD5">
        <w:rPr>
          <w:rFonts w:asciiTheme="minorEastAsia" w:hAnsiTheme="minorEastAsia" w:cs="宋体" w:hint="eastAsia"/>
          <w:color w:val="000000" w:themeColor="text1"/>
          <w:kern w:val="0"/>
          <w:sz w:val="24"/>
          <w:szCs w:val="24"/>
        </w:rPr>
        <w:t>、</w:t>
      </w:r>
      <w:r w:rsidR="00F2587F" w:rsidRPr="00F2587F">
        <w:rPr>
          <w:rFonts w:asciiTheme="minorEastAsia" w:hAnsiTheme="minorEastAsia" w:cs="宋体" w:hint="eastAsia"/>
          <w:color w:val="000000" w:themeColor="text1"/>
          <w:kern w:val="0"/>
          <w:sz w:val="24"/>
          <w:szCs w:val="24"/>
        </w:rPr>
        <w:t>中泰证券股份有限公司</w:t>
      </w:r>
    </w:p>
    <w:p w:rsidR="00F2587F" w:rsidRPr="00F2587F" w:rsidRDefault="00F2587F" w:rsidP="00F2587F">
      <w:pPr>
        <w:adjustRightInd w:val="0"/>
        <w:snapToGrid w:val="0"/>
        <w:spacing w:line="360" w:lineRule="auto"/>
        <w:rPr>
          <w:rFonts w:asciiTheme="minorEastAsia" w:hAnsiTheme="minorEastAsia" w:cs="宋体"/>
          <w:color w:val="000000" w:themeColor="text1"/>
          <w:kern w:val="0"/>
          <w:sz w:val="24"/>
          <w:szCs w:val="24"/>
        </w:rPr>
      </w:pPr>
      <w:r w:rsidRPr="00F2587F">
        <w:rPr>
          <w:rFonts w:asciiTheme="minorEastAsia" w:hAnsiTheme="minorEastAsia" w:cs="宋体" w:hint="eastAsia"/>
          <w:color w:val="000000" w:themeColor="text1"/>
          <w:kern w:val="0"/>
          <w:sz w:val="24"/>
          <w:szCs w:val="24"/>
        </w:rPr>
        <w:t>客服电话：95538</w:t>
      </w:r>
    </w:p>
    <w:p w:rsidR="00FC3053" w:rsidRPr="003D5AD5" w:rsidRDefault="00F2587F" w:rsidP="00F2587F">
      <w:pPr>
        <w:adjustRightInd w:val="0"/>
        <w:snapToGrid w:val="0"/>
        <w:spacing w:line="360" w:lineRule="auto"/>
        <w:rPr>
          <w:rFonts w:asciiTheme="minorEastAsia" w:hAnsiTheme="minorEastAsia" w:cs="宋体"/>
          <w:color w:val="000000" w:themeColor="text1"/>
          <w:kern w:val="0"/>
          <w:sz w:val="24"/>
          <w:szCs w:val="24"/>
        </w:rPr>
      </w:pPr>
      <w:r w:rsidRPr="00F2587F">
        <w:rPr>
          <w:rFonts w:asciiTheme="minorEastAsia" w:hAnsiTheme="minorEastAsia" w:cs="宋体" w:hint="eastAsia"/>
          <w:color w:val="000000" w:themeColor="text1"/>
          <w:kern w:val="0"/>
          <w:sz w:val="24"/>
          <w:szCs w:val="24"/>
        </w:rPr>
        <w:t>网址：www.zts.com.cn</w:t>
      </w:r>
    </w:p>
    <w:p w:rsidR="00FC3053" w:rsidRPr="003D5AD5" w:rsidRDefault="00FC3053" w:rsidP="00FC3053">
      <w:pPr>
        <w:adjustRightInd w:val="0"/>
        <w:snapToGrid w:val="0"/>
        <w:spacing w:line="360" w:lineRule="auto"/>
        <w:rPr>
          <w:rFonts w:asciiTheme="minorEastAsia" w:hAnsiTheme="minorEastAsia" w:cs="宋体"/>
          <w:color w:val="000000" w:themeColor="text1"/>
          <w:kern w:val="0"/>
          <w:sz w:val="24"/>
          <w:szCs w:val="24"/>
        </w:rPr>
      </w:pPr>
    </w:p>
    <w:p w:rsidR="00EF1855" w:rsidRPr="003D5AD5" w:rsidRDefault="002F3067" w:rsidP="00876C6A">
      <w:pPr>
        <w:adjustRightInd w:val="0"/>
        <w:snapToGrid w:val="0"/>
        <w:spacing w:line="360" w:lineRule="auto"/>
        <w:rPr>
          <w:rFonts w:asciiTheme="minorEastAsia" w:hAnsiTheme="minorEastAsia" w:cs="宋体"/>
          <w:color w:val="000000" w:themeColor="text1"/>
          <w:kern w:val="0"/>
          <w:sz w:val="24"/>
          <w:szCs w:val="24"/>
        </w:rPr>
      </w:pPr>
      <w:r w:rsidRPr="003D5AD5">
        <w:rPr>
          <w:rFonts w:asciiTheme="minorEastAsia" w:hAnsiTheme="minorEastAsia" w:cs="宋体"/>
          <w:color w:val="000000" w:themeColor="text1"/>
          <w:kern w:val="0"/>
          <w:sz w:val="24"/>
          <w:szCs w:val="24"/>
        </w:rPr>
        <w:t>2</w:t>
      </w:r>
      <w:r w:rsidR="00FC3053" w:rsidRPr="003D5AD5">
        <w:rPr>
          <w:rFonts w:asciiTheme="minorEastAsia" w:hAnsiTheme="minorEastAsia" w:cs="宋体" w:hint="eastAsia"/>
          <w:color w:val="000000" w:themeColor="text1"/>
          <w:kern w:val="0"/>
          <w:sz w:val="24"/>
          <w:szCs w:val="24"/>
        </w:rPr>
        <w:t>、</w:t>
      </w:r>
      <w:r w:rsidR="00EF1855" w:rsidRPr="003D5AD5">
        <w:rPr>
          <w:rFonts w:asciiTheme="minorEastAsia" w:hAnsiTheme="minorEastAsia" w:cs="宋体" w:hint="eastAsia"/>
          <w:color w:val="000000" w:themeColor="text1"/>
          <w:kern w:val="0"/>
          <w:sz w:val="24"/>
          <w:szCs w:val="24"/>
        </w:rPr>
        <w:t>万家基金管理有限公司</w:t>
      </w:r>
    </w:p>
    <w:p w:rsidR="00EF1855" w:rsidRPr="003D5AD5" w:rsidRDefault="00EF1855" w:rsidP="00876C6A">
      <w:pPr>
        <w:adjustRightInd w:val="0"/>
        <w:snapToGrid w:val="0"/>
        <w:spacing w:line="360" w:lineRule="auto"/>
        <w:rPr>
          <w:rFonts w:asciiTheme="minorEastAsia" w:hAnsiTheme="minorEastAsia" w:cs="宋体"/>
          <w:color w:val="000000" w:themeColor="text1"/>
          <w:kern w:val="0"/>
          <w:sz w:val="24"/>
          <w:szCs w:val="24"/>
        </w:rPr>
      </w:pPr>
      <w:r w:rsidRPr="003D5AD5">
        <w:rPr>
          <w:rFonts w:asciiTheme="minorEastAsia" w:hAnsiTheme="minorEastAsia" w:cs="宋体" w:hint="eastAsia"/>
          <w:color w:val="000000" w:themeColor="text1"/>
          <w:kern w:val="0"/>
          <w:sz w:val="24"/>
          <w:szCs w:val="24"/>
        </w:rPr>
        <w:t>客服电话：</w:t>
      </w:r>
      <w:r w:rsidR="00E612AC" w:rsidRPr="003D5AD5" w:rsidDel="00E612AC">
        <w:rPr>
          <w:rFonts w:asciiTheme="minorEastAsia" w:hAnsiTheme="minorEastAsia" w:cs="宋体"/>
          <w:color w:val="000000" w:themeColor="text1"/>
          <w:kern w:val="0"/>
          <w:sz w:val="24"/>
          <w:szCs w:val="24"/>
        </w:rPr>
        <w:t xml:space="preserve"> </w:t>
      </w:r>
      <w:r w:rsidRPr="003D5AD5">
        <w:rPr>
          <w:rFonts w:asciiTheme="minorEastAsia" w:hAnsiTheme="minorEastAsia" w:cs="宋体"/>
          <w:color w:val="000000" w:themeColor="text1"/>
          <w:kern w:val="0"/>
          <w:sz w:val="24"/>
          <w:szCs w:val="24"/>
        </w:rPr>
        <w:t>400-888-0800</w:t>
      </w:r>
    </w:p>
    <w:p w:rsidR="00EF1855" w:rsidRDefault="00EF1855" w:rsidP="00876C6A">
      <w:pPr>
        <w:adjustRightInd w:val="0"/>
        <w:snapToGrid w:val="0"/>
        <w:spacing w:line="360" w:lineRule="auto"/>
        <w:rPr>
          <w:rFonts w:asciiTheme="minorEastAsia" w:hAnsiTheme="minorEastAsia" w:cs="宋体"/>
          <w:color w:val="000000" w:themeColor="text1"/>
          <w:kern w:val="0"/>
          <w:sz w:val="24"/>
          <w:szCs w:val="24"/>
        </w:rPr>
      </w:pPr>
      <w:r w:rsidRPr="003D5AD5">
        <w:rPr>
          <w:rFonts w:asciiTheme="minorEastAsia" w:hAnsiTheme="minorEastAsia" w:cs="宋体" w:hint="eastAsia"/>
          <w:color w:val="000000" w:themeColor="text1"/>
          <w:kern w:val="0"/>
          <w:sz w:val="24"/>
          <w:szCs w:val="24"/>
        </w:rPr>
        <w:t>网址：</w:t>
      </w:r>
      <w:r w:rsidR="009D6B7A" w:rsidRPr="003D5AD5">
        <w:rPr>
          <w:rFonts w:asciiTheme="minorEastAsia" w:hAnsiTheme="minorEastAsia" w:cs="宋体"/>
          <w:color w:val="000000" w:themeColor="text1"/>
          <w:kern w:val="0"/>
          <w:sz w:val="24"/>
          <w:szCs w:val="24"/>
        </w:rPr>
        <w:t xml:space="preserve"> </w:t>
      </w:r>
      <w:hyperlink r:id="rId8" w:history="1">
        <w:r w:rsidR="00B436A2" w:rsidRPr="003D5AD5">
          <w:rPr>
            <w:rFonts w:asciiTheme="minorEastAsia" w:hAnsiTheme="minorEastAsia" w:cs="宋体"/>
            <w:color w:val="000000" w:themeColor="text1"/>
            <w:kern w:val="0"/>
            <w:sz w:val="24"/>
            <w:szCs w:val="24"/>
          </w:rPr>
          <w:t>www.wjasset.com</w:t>
        </w:r>
      </w:hyperlink>
    </w:p>
    <w:p w:rsidR="00C8631B" w:rsidRPr="00EB05E1" w:rsidRDefault="00C8631B" w:rsidP="00876C6A">
      <w:pPr>
        <w:adjustRightInd w:val="0"/>
        <w:snapToGrid w:val="0"/>
        <w:spacing w:line="360" w:lineRule="auto"/>
        <w:rPr>
          <w:rFonts w:ascii="宋体" w:eastAsia="宋体" w:hAnsi="宋体" w:cs="Tahoma"/>
          <w:color w:val="000000" w:themeColor="text1"/>
          <w:kern w:val="0"/>
          <w:sz w:val="24"/>
          <w:szCs w:val="24"/>
        </w:rPr>
      </w:pPr>
    </w:p>
    <w:p w:rsidR="008C16B6" w:rsidRPr="003D5AD5" w:rsidRDefault="00EF1855" w:rsidP="00401328">
      <w:pPr>
        <w:autoSpaceDE w:val="0"/>
        <w:autoSpaceDN w:val="0"/>
        <w:adjustRightInd w:val="0"/>
        <w:spacing w:line="360" w:lineRule="auto"/>
        <w:ind w:firstLine="420"/>
        <w:rPr>
          <w:rFonts w:asciiTheme="minorEastAsia" w:hAnsiTheme="minorEastAsia" w:cs="宋体"/>
          <w:color w:val="000000" w:themeColor="text1"/>
          <w:kern w:val="0"/>
          <w:sz w:val="24"/>
          <w:szCs w:val="24"/>
        </w:rPr>
      </w:pPr>
      <w:r w:rsidRPr="003D5AD5">
        <w:rPr>
          <w:rFonts w:asciiTheme="minorEastAsia" w:hAnsiTheme="minorEastAsia" w:cs="宋体" w:hint="eastAsia"/>
          <w:color w:val="000000" w:themeColor="text1"/>
          <w:kern w:val="0"/>
          <w:sz w:val="24"/>
          <w:szCs w:val="24"/>
        </w:rPr>
        <w:t>风险提示：</w:t>
      </w:r>
      <w:r w:rsidR="00D94FF9" w:rsidRPr="00D94FF9">
        <w:rPr>
          <w:rFonts w:asciiTheme="minorEastAsia" w:hAnsiTheme="minorEastAsia" w:cs="宋体" w:hint="eastAsia"/>
          <w:color w:val="000000" w:themeColor="text1"/>
          <w:kern w:val="0"/>
          <w:sz w:val="24"/>
          <w:szCs w:val="24"/>
        </w:rPr>
        <w:t>敬请投资者于投资前认真阅读各基金的《基金合同》和《招募说明书》等法律文件，基金管理人承诺以诚实信用、勤勉尽责的原则管理和运用基金资产，但不承诺基金投资最低收益、也不保证基金投资一定赢利，请投资者在充分考虑风险的情况下谨慎做出投资决策，在做出投资决策后，基金运营状况与基金净值变化引致的投资风险，由投资者自行负担</w:t>
      </w:r>
      <w:r w:rsidR="00401328" w:rsidRPr="003D5AD5">
        <w:rPr>
          <w:rFonts w:asciiTheme="minorEastAsia" w:hAnsiTheme="minorEastAsia" w:cs="宋体"/>
          <w:color w:val="000000" w:themeColor="text1"/>
          <w:kern w:val="0"/>
          <w:sz w:val="24"/>
          <w:szCs w:val="24"/>
        </w:rPr>
        <w:t>。</w:t>
      </w:r>
    </w:p>
    <w:p w:rsidR="00EF1855" w:rsidRPr="003D5AD5" w:rsidRDefault="00EF1855" w:rsidP="009D6B7A">
      <w:pPr>
        <w:autoSpaceDE w:val="0"/>
        <w:autoSpaceDN w:val="0"/>
        <w:adjustRightInd w:val="0"/>
        <w:spacing w:line="360" w:lineRule="auto"/>
        <w:ind w:firstLine="420"/>
        <w:rPr>
          <w:rFonts w:asciiTheme="minorEastAsia" w:hAnsiTheme="minorEastAsia" w:cs="宋体"/>
          <w:color w:val="000000" w:themeColor="text1"/>
          <w:kern w:val="0"/>
          <w:sz w:val="24"/>
          <w:szCs w:val="24"/>
        </w:rPr>
      </w:pPr>
      <w:r w:rsidRPr="003D5AD5">
        <w:rPr>
          <w:rFonts w:asciiTheme="minorEastAsia" w:hAnsiTheme="minorEastAsia" w:cs="宋体" w:hint="eastAsia"/>
          <w:color w:val="000000" w:themeColor="text1"/>
          <w:kern w:val="0"/>
          <w:sz w:val="24"/>
          <w:szCs w:val="24"/>
        </w:rPr>
        <w:t>特此公告。</w:t>
      </w:r>
    </w:p>
    <w:p w:rsidR="00EF1855" w:rsidRPr="003D5AD5" w:rsidRDefault="00EF1855" w:rsidP="00EF1855">
      <w:pPr>
        <w:autoSpaceDE w:val="0"/>
        <w:autoSpaceDN w:val="0"/>
        <w:adjustRightInd w:val="0"/>
        <w:spacing w:line="360" w:lineRule="auto"/>
        <w:jc w:val="right"/>
        <w:rPr>
          <w:rFonts w:asciiTheme="minorEastAsia" w:hAnsiTheme="minorEastAsia" w:cs="宋体"/>
          <w:color w:val="000000" w:themeColor="text1"/>
          <w:kern w:val="0"/>
          <w:sz w:val="24"/>
          <w:szCs w:val="24"/>
        </w:rPr>
      </w:pPr>
      <w:r w:rsidRPr="003D5AD5">
        <w:rPr>
          <w:rFonts w:asciiTheme="minorEastAsia" w:hAnsiTheme="minorEastAsia" w:cs="宋体" w:hint="eastAsia"/>
          <w:color w:val="000000" w:themeColor="text1"/>
          <w:kern w:val="0"/>
          <w:sz w:val="24"/>
          <w:szCs w:val="24"/>
        </w:rPr>
        <w:t>万家基金管理有限公司</w:t>
      </w:r>
    </w:p>
    <w:p w:rsidR="00D1034D" w:rsidRPr="003D5AD5" w:rsidRDefault="00937BB4" w:rsidP="00ED1B53">
      <w:pPr>
        <w:wordWrap w:val="0"/>
        <w:spacing w:line="360" w:lineRule="auto"/>
        <w:jc w:val="right"/>
        <w:rPr>
          <w:rFonts w:asciiTheme="minorEastAsia" w:hAnsiTheme="minorEastAsia"/>
          <w:color w:val="000000" w:themeColor="text1"/>
          <w:sz w:val="24"/>
          <w:szCs w:val="24"/>
        </w:rPr>
      </w:pPr>
      <w:r>
        <w:rPr>
          <w:rFonts w:asciiTheme="minorEastAsia" w:hAnsiTheme="minorEastAsia" w:cs="宋体" w:hint="eastAsia"/>
          <w:color w:val="000000" w:themeColor="text1"/>
          <w:kern w:val="0"/>
          <w:sz w:val="24"/>
          <w:szCs w:val="24"/>
        </w:rPr>
        <w:lastRenderedPageBreak/>
        <w:t>二〇二五</w:t>
      </w:r>
      <w:r w:rsidR="006E0E73" w:rsidRPr="003D5AD5">
        <w:rPr>
          <w:rFonts w:asciiTheme="minorEastAsia" w:hAnsiTheme="minorEastAsia" w:cs="宋体" w:hint="eastAsia"/>
          <w:color w:val="000000" w:themeColor="text1"/>
          <w:kern w:val="0"/>
          <w:sz w:val="24"/>
          <w:szCs w:val="24"/>
        </w:rPr>
        <w:t>年</w:t>
      </w:r>
      <w:r w:rsidR="00E90BDA">
        <w:rPr>
          <w:rFonts w:asciiTheme="minorEastAsia" w:hAnsiTheme="minorEastAsia" w:cs="宋体" w:hint="eastAsia"/>
          <w:color w:val="000000" w:themeColor="text1"/>
          <w:kern w:val="0"/>
          <w:sz w:val="24"/>
          <w:szCs w:val="24"/>
        </w:rPr>
        <w:t>十一</w:t>
      </w:r>
      <w:r w:rsidR="00A96B26" w:rsidRPr="003D5AD5">
        <w:rPr>
          <w:rFonts w:asciiTheme="minorEastAsia" w:hAnsiTheme="minorEastAsia" w:cs="宋体" w:hint="eastAsia"/>
          <w:color w:val="000000" w:themeColor="text1"/>
          <w:kern w:val="0"/>
          <w:sz w:val="24"/>
          <w:szCs w:val="24"/>
        </w:rPr>
        <w:t>月</w:t>
      </w:r>
      <w:r w:rsidR="00552ECC">
        <w:rPr>
          <w:rFonts w:asciiTheme="minorEastAsia" w:hAnsiTheme="minorEastAsia" w:cs="宋体" w:hint="eastAsia"/>
          <w:color w:val="000000" w:themeColor="text1"/>
          <w:kern w:val="0"/>
          <w:sz w:val="24"/>
          <w:szCs w:val="24"/>
        </w:rPr>
        <w:t>六</w:t>
      </w:r>
      <w:r w:rsidR="006E0E73" w:rsidRPr="003D5AD5">
        <w:rPr>
          <w:rFonts w:asciiTheme="minorEastAsia" w:hAnsiTheme="minorEastAsia" w:cs="宋体" w:hint="eastAsia"/>
          <w:color w:val="000000" w:themeColor="text1"/>
          <w:kern w:val="0"/>
          <w:sz w:val="24"/>
          <w:szCs w:val="24"/>
        </w:rPr>
        <w:t>日</w:t>
      </w:r>
    </w:p>
    <w:sectPr w:rsidR="00D1034D" w:rsidRPr="003D5AD5" w:rsidSect="00861F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779" w:rsidRDefault="006A4779" w:rsidP="0096273E">
      <w:r>
        <w:separator/>
      </w:r>
    </w:p>
  </w:endnote>
  <w:endnote w:type="continuationSeparator" w:id="0">
    <w:p w:rsidR="006A4779" w:rsidRDefault="006A4779" w:rsidP="00962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779" w:rsidRDefault="006A4779" w:rsidP="0096273E">
      <w:r>
        <w:separator/>
      </w:r>
    </w:p>
  </w:footnote>
  <w:footnote w:type="continuationSeparator" w:id="0">
    <w:p w:rsidR="006A4779" w:rsidRDefault="006A4779" w:rsidP="00962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A63"/>
    <w:multiLevelType w:val="hybridMultilevel"/>
    <w:tmpl w:val="3BCEC5DA"/>
    <w:lvl w:ilvl="0" w:tplc="00D8BA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A33F7"/>
    <w:multiLevelType w:val="hybridMultilevel"/>
    <w:tmpl w:val="C7FE0FC4"/>
    <w:lvl w:ilvl="0" w:tplc="4DAE9968">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7A370B"/>
    <w:multiLevelType w:val="hybridMultilevel"/>
    <w:tmpl w:val="D480BB0C"/>
    <w:lvl w:ilvl="0" w:tplc="C3B0B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B7373A"/>
    <w:multiLevelType w:val="hybridMultilevel"/>
    <w:tmpl w:val="66AEB24C"/>
    <w:lvl w:ilvl="0" w:tplc="4614D740">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601CFC"/>
    <w:multiLevelType w:val="hybridMultilevel"/>
    <w:tmpl w:val="0BD2BC3A"/>
    <w:lvl w:ilvl="0" w:tplc="F60A64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D85BDA"/>
    <w:multiLevelType w:val="hybridMultilevel"/>
    <w:tmpl w:val="EDDEF09C"/>
    <w:lvl w:ilvl="0" w:tplc="1EA2B010">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6">
    <w:nsid w:val="67796491"/>
    <w:multiLevelType w:val="hybridMultilevel"/>
    <w:tmpl w:val="5522699C"/>
    <w:lvl w:ilvl="0" w:tplc="358EEE52">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1855"/>
    <w:rsid w:val="000019B2"/>
    <w:rsid w:val="00002BE6"/>
    <w:rsid w:val="000149F9"/>
    <w:rsid w:val="000225D5"/>
    <w:rsid w:val="00062B64"/>
    <w:rsid w:val="00063DC3"/>
    <w:rsid w:val="00071994"/>
    <w:rsid w:val="000763A0"/>
    <w:rsid w:val="000814D2"/>
    <w:rsid w:val="000924AC"/>
    <w:rsid w:val="000A1131"/>
    <w:rsid w:val="000A18D2"/>
    <w:rsid w:val="000A26C3"/>
    <w:rsid w:val="000A2CE9"/>
    <w:rsid w:val="000A5B0F"/>
    <w:rsid w:val="000B1A17"/>
    <w:rsid w:val="000B413A"/>
    <w:rsid w:val="000B472E"/>
    <w:rsid w:val="000C1A21"/>
    <w:rsid w:val="000C24E2"/>
    <w:rsid w:val="000E3F32"/>
    <w:rsid w:val="000F7B63"/>
    <w:rsid w:val="000F7E92"/>
    <w:rsid w:val="0010204D"/>
    <w:rsid w:val="001210EE"/>
    <w:rsid w:val="001218E6"/>
    <w:rsid w:val="00121BC1"/>
    <w:rsid w:val="00124C65"/>
    <w:rsid w:val="00125C12"/>
    <w:rsid w:val="00125FDB"/>
    <w:rsid w:val="001340E7"/>
    <w:rsid w:val="00136D24"/>
    <w:rsid w:val="001373CF"/>
    <w:rsid w:val="0014126C"/>
    <w:rsid w:val="001457F1"/>
    <w:rsid w:val="001555F8"/>
    <w:rsid w:val="00162905"/>
    <w:rsid w:val="00170A59"/>
    <w:rsid w:val="0017119F"/>
    <w:rsid w:val="001719BC"/>
    <w:rsid w:val="00181B99"/>
    <w:rsid w:val="00197701"/>
    <w:rsid w:val="001A0705"/>
    <w:rsid w:val="001A32E9"/>
    <w:rsid w:val="001A3B68"/>
    <w:rsid w:val="001B6626"/>
    <w:rsid w:val="001D7D44"/>
    <w:rsid w:val="001E2C25"/>
    <w:rsid w:val="001E71BC"/>
    <w:rsid w:val="00202F94"/>
    <w:rsid w:val="00210008"/>
    <w:rsid w:val="00210C2E"/>
    <w:rsid w:val="0023547B"/>
    <w:rsid w:val="00243770"/>
    <w:rsid w:val="002455EE"/>
    <w:rsid w:val="00263CF4"/>
    <w:rsid w:val="00267319"/>
    <w:rsid w:val="00271AFD"/>
    <w:rsid w:val="00273401"/>
    <w:rsid w:val="00274710"/>
    <w:rsid w:val="002806DC"/>
    <w:rsid w:val="0029084B"/>
    <w:rsid w:val="0029296E"/>
    <w:rsid w:val="0029479F"/>
    <w:rsid w:val="002C6BB1"/>
    <w:rsid w:val="002C6E1E"/>
    <w:rsid w:val="002D1404"/>
    <w:rsid w:val="002E0029"/>
    <w:rsid w:val="002E05CB"/>
    <w:rsid w:val="002E0FE9"/>
    <w:rsid w:val="002E4239"/>
    <w:rsid w:val="002F02AC"/>
    <w:rsid w:val="002F25B7"/>
    <w:rsid w:val="002F3067"/>
    <w:rsid w:val="003132AA"/>
    <w:rsid w:val="00313E31"/>
    <w:rsid w:val="00313E4F"/>
    <w:rsid w:val="00314D02"/>
    <w:rsid w:val="003231A2"/>
    <w:rsid w:val="003365E2"/>
    <w:rsid w:val="003376A2"/>
    <w:rsid w:val="00340A63"/>
    <w:rsid w:val="00343367"/>
    <w:rsid w:val="0034354B"/>
    <w:rsid w:val="00357D9D"/>
    <w:rsid w:val="00364C67"/>
    <w:rsid w:val="00366BF7"/>
    <w:rsid w:val="003738EA"/>
    <w:rsid w:val="003751FE"/>
    <w:rsid w:val="003806D9"/>
    <w:rsid w:val="00380D8D"/>
    <w:rsid w:val="00382B96"/>
    <w:rsid w:val="0038404A"/>
    <w:rsid w:val="0038707B"/>
    <w:rsid w:val="00392EB8"/>
    <w:rsid w:val="00393C6B"/>
    <w:rsid w:val="003947A8"/>
    <w:rsid w:val="00394E2A"/>
    <w:rsid w:val="003A1F8B"/>
    <w:rsid w:val="003A55A2"/>
    <w:rsid w:val="003B4317"/>
    <w:rsid w:val="003B57D0"/>
    <w:rsid w:val="003C1223"/>
    <w:rsid w:val="003D0F78"/>
    <w:rsid w:val="003D5AD5"/>
    <w:rsid w:val="003D7F0E"/>
    <w:rsid w:val="003E4621"/>
    <w:rsid w:val="003F49B3"/>
    <w:rsid w:val="00400B91"/>
    <w:rsid w:val="00401328"/>
    <w:rsid w:val="00404CD8"/>
    <w:rsid w:val="00423C70"/>
    <w:rsid w:val="0044154B"/>
    <w:rsid w:val="0044198F"/>
    <w:rsid w:val="004446A0"/>
    <w:rsid w:val="00445304"/>
    <w:rsid w:val="00455BF2"/>
    <w:rsid w:val="00457231"/>
    <w:rsid w:val="00463786"/>
    <w:rsid w:val="00467FF6"/>
    <w:rsid w:val="00470E7C"/>
    <w:rsid w:val="00475399"/>
    <w:rsid w:val="00491ADE"/>
    <w:rsid w:val="004971FC"/>
    <w:rsid w:val="004C7AFF"/>
    <w:rsid w:val="004D26F3"/>
    <w:rsid w:val="004E723A"/>
    <w:rsid w:val="004E7D07"/>
    <w:rsid w:val="004F4DED"/>
    <w:rsid w:val="004F638A"/>
    <w:rsid w:val="00500FB9"/>
    <w:rsid w:val="00503D0F"/>
    <w:rsid w:val="005042EF"/>
    <w:rsid w:val="00504805"/>
    <w:rsid w:val="005054F6"/>
    <w:rsid w:val="005134E5"/>
    <w:rsid w:val="00514BCB"/>
    <w:rsid w:val="005239CF"/>
    <w:rsid w:val="00524365"/>
    <w:rsid w:val="005336F4"/>
    <w:rsid w:val="00552ECC"/>
    <w:rsid w:val="00554C37"/>
    <w:rsid w:val="00575B4F"/>
    <w:rsid w:val="00580E25"/>
    <w:rsid w:val="0058189B"/>
    <w:rsid w:val="0058699F"/>
    <w:rsid w:val="005B473B"/>
    <w:rsid w:val="005B559B"/>
    <w:rsid w:val="005E1049"/>
    <w:rsid w:val="005E2C7F"/>
    <w:rsid w:val="005E3694"/>
    <w:rsid w:val="005E6C71"/>
    <w:rsid w:val="005E6C95"/>
    <w:rsid w:val="005F173A"/>
    <w:rsid w:val="005F2656"/>
    <w:rsid w:val="005F3D90"/>
    <w:rsid w:val="006026FB"/>
    <w:rsid w:val="00604604"/>
    <w:rsid w:val="00613501"/>
    <w:rsid w:val="00615AC4"/>
    <w:rsid w:val="00617861"/>
    <w:rsid w:val="00625A44"/>
    <w:rsid w:val="00627ED3"/>
    <w:rsid w:val="00630887"/>
    <w:rsid w:val="006543FC"/>
    <w:rsid w:val="006568DB"/>
    <w:rsid w:val="00665F40"/>
    <w:rsid w:val="00667E5B"/>
    <w:rsid w:val="00672929"/>
    <w:rsid w:val="006808B2"/>
    <w:rsid w:val="00686447"/>
    <w:rsid w:val="00693682"/>
    <w:rsid w:val="00696264"/>
    <w:rsid w:val="006A0B7B"/>
    <w:rsid w:val="006A4779"/>
    <w:rsid w:val="006B37D3"/>
    <w:rsid w:val="006C30DE"/>
    <w:rsid w:val="006C31D6"/>
    <w:rsid w:val="006C32F7"/>
    <w:rsid w:val="006D04BA"/>
    <w:rsid w:val="006E0E73"/>
    <w:rsid w:val="006E77AC"/>
    <w:rsid w:val="006F435A"/>
    <w:rsid w:val="006F5454"/>
    <w:rsid w:val="006F618B"/>
    <w:rsid w:val="0070199B"/>
    <w:rsid w:val="00711790"/>
    <w:rsid w:val="00711A1F"/>
    <w:rsid w:val="00712E27"/>
    <w:rsid w:val="00731694"/>
    <w:rsid w:val="00737524"/>
    <w:rsid w:val="007414FE"/>
    <w:rsid w:val="007445D5"/>
    <w:rsid w:val="00746738"/>
    <w:rsid w:val="00750A62"/>
    <w:rsid w:val="00753639"/>
    <w:rsid w:val="00754390"/>
    <w:rsid w:val="00762B87"/>
    <w:rsid w:val="00762CFE"/>
    <w:rsid w:val="007650A7"/>
    <w:rsid w:val="0077025B"/>
    <w:rsid w:val="00774996"/>
    <w:rsid w:val="00774AF0"/>
    <w:rsid w:val="0077784F"/>
    <w:rsid w:val="00782A53"/>
    <w:rsid w:val="0078667C"/>
    <w:rsid w:val="007A2894"/>
    <w:rsid w:val="007A57AE"/>
    <w:rsid w:val="007C16DF"/>
    <w:rsid w:val="007C58E9"/>
    <w:rsid w:val="007C6FF1"/>
    <w:rsid w:val="007D1B9B"/>
    <w:rsid w:val="007D1F82"/>
    <w:rsid w:val="007D4023"/>
    <w:rsid w:val="007D41A7"/>
    <w:rsid w:val="007E193A"/>
    <w:rsid w:val="007E348B"/>
    <w:rsid w:val="007E3847"/>
    <w:rsid w:val="007E5E2B"/>
    <w:rsid w:val="007F7565"/>
    <w:rsid w:val="008117FC"/>
    <w:rsid w:val="00822089"/>
    <w:rsid w:val="008320FB"/>
    <w:rsid w:val="00832579"/>
    <w:rsid w:val="00832D10"/>
    <w:rsid w:val="00833804"/>
    <w:rsid w:val="00844BE2"/>
    <w:rsid w:val="008459F4"/>
    <w:rsid w:val="008543AD"/>
    <w:rsid w:val="008546FD"/>
    <w:rsid w:val="00856763"/>
    <w:rsid w:val="00856C0E"/>
    <w:rsid w:val="00856C86"/>
    <w:rsid w:val="00860219"/>
    <w:rsid w:val="00861F31"/>
    <w:rsid w:val="0086446F"/>
    <w:rsid w:val="008647E6"/>
    <w:rsid w:val="00876C6A"/>
    <w:rsid w:val="00884A8E"/>
    <w:rsid w:val="00887558"/>
    <w:rsid w:val="008921F1"/>
    <w:rsid w:val="008923A1"/>
    <w:rsid w:val="00894EB5"/>
    <w:rsid w:val="008A117E"/>
    <w:rsid w:val="008A53EC"/>
    <w:rsid w:val="008B03C7"/>
    <w:rsid w:val="008C16B6"/>
    <w:rsid w:val="008C3E6A"/>
    <w:rsid w:val="008C4004"/>
    <w:rsid w:val="008D353B"/>
    <w:rsid w:val="008D47B1"/>
    <w:rsid w:val="008D5F54"/>
    <w:rsid w:val="008F2F7D"/>
    <w:rsid w:val="008F4E5D"/>
    <w:rsid w:val="008F7D5A"/>
    <w:rsid w:val="00905DF4"/>
    <w:rsid w:val="00907179"/>
    <w:rsid w:val="0090733E"/>
    <w:rsid w:val="00913464"/>
    <w:rsid w:val="009144D4"/>
    <w:rsid w:val="00916829"/>
    <w:rsid w:val="00920AE9"/>
    <w:rsid w:val="00934E49"/>
    <w:rsid w:val="00937BB4"/>
    <w:rsid w:val="00942956"/>
    <w:rsid w:val="00950D73"/>
    <w:rsid w:val="009533D0"/>
    <w:rsid w:val="009541B6"/>
    <w:rsid w:val="00961248"/>
    <w:rsid w:val="0096273E"/>
    <w:rsid w:val="009653D7"/>
    <w:rsid w:val="00965C24"/>
    <w:rsid w:val="00966795"/>
    <w:rsid w:val="00972D55"/>
    <w:rsid w:val="00974F4E"/>
    <w:rsid w:val="00975F9F"/>
    <w:rsid w:val="00976906"/>
    <w:rsid w:val="009872AE"/>
    <w:rsid w:val="009A7FE8"/>
    <w:rsid w:val="009C2844"/>
    <w:rsid w:val="009C2D7C"/>
    <w:rsid w:val="009D5622"/>
    <w:rsid w:val="009D6B7A"/>
    <w:rsid w:val="009E5A18"/>
    <w:rsid w:val="009F5706"/>
    <w:rsid w:val="009F7D5B"/>
    <w:rsid w:val="00A070D9"/>
    <w:rsid w:val="00A26857"/>
    <w:rsid w:val="00A27CEA"/>
    <w:rsid w:val="00A3200B"/>
    <w:rsid w:val="00A41695"/>
    <w:rsid w:val="00A440AC"/>
    <w:rsid w:val="00A44942"/>
    <w:rsid w:val="00A55988"/>
    <w:rsid w:val="00A55D9B"/>
    <w:rsid w:val="00A713E3"/>
    <w:rsid w:val="00A779F9"/>
    <w:rsid w:val="00A833DD"/>
    <w:rsid w:val="00A850C3"/>
    <w:rsid w:val="00A936A9"/>
    <w:rsid w:val="00A96B26"/>
    <w:rsid w:val="00A976F5"/>
    <w:rsid w:val="00AA0268"/>
    <w:rsid w:val="00AA2AB8"/>
    <w:rsid w:val="00AA47B5"/>
    <w:rsid w:val="00AB35C0"/>
    <w:rsid w:val="00AB5A50"/>
    <w:rsid w:val="00AC01A3"/>
    <w:rsid w:val="00AC02E2"/>
    <w:rsid w:val="00AC4298"/>
    <w:rsid w:val="00AF2132"/>
    <w:rsid w:val="00AF30CE"/>
    <w:rsid w:val="00AF3FA8"/>
    <w:rsid w:val="00AF5499"/>
    <w:rsid w:val="00AF5765"/>
    <w:rsid w:val="00AF5F74"/>
    <w:rsid w:val="00B0011C"/>
    <w:rsid w:val="00B107EF"/>
    <w:rsid w:val="00B10899"/>
    <w:rsid w:val="00B11D91"/>
    <w:rsid w:val="00B12F61"/>
    <w:rsid w:val="00B177BE"/>
    <w:rsid w:val="00B20065"/>
    <w:rsid w:val="00B320E3"/>
    <w:rsid w:val="00B36B97"/>
    <w:rsid w:val="00B42296"/>
    <w:rsid w:val="00B436A2"/>
    <w:rsid w:val="00B43C9D"/>
    <w:rsid w:val="00B50A50"/>
    <w:rsid w:val="00B529BC"/>
    <w:rsid w:val="00B52AD7"/>
    <w:rsid w:val="00B53DD7"/>
    <w:rsid w:val="00B706DE"/>
    <w:rsid w:val="00B72B48"/>
    <w:rsid w:val="00B73363"/>
    <w:rsid w:val="00B87662"/>
    <w:rsid w:val="00B945AF"/>
    <w:rsid w:val="00B955D3"/>
    <w:rsid w:val="00B974DA"/>
    <w:rsid w:val="00BB5A96"/>
    <w:rsid w:val="00BE0D6A"/>
    <w:rsid w:val="00BE59B7"/>
    <w:rsid w:val="00BE787A"/>
    <w:rsid w:val="00BF2965"/>
    <w:rsid w:val="00BF4AF2"/>
    <w:rsid w:val="00C063D9"/>
    <w:rsid w:val="00C12985"/>
    <w:rsid w:val="00C234B8"/>
    <w:rsid w:val="00C23C7E"/>
    <w:rsid w:val="00C257F5"/>
    <w:rsid w:val="00C3232B"/>
    <w:rsid w:val="00C32962"/>
    <w:rsid w:val="00C34ED1"/>
    <w:rsid w:val="00C36E07"/>
    <w:rsid w:val="00C407A5"/>
    <w:rsid w:val="00C43904"/>
    <w:rsid w:val="00C50871"/>
    <w:rsid w:val="00C5518A"/>
    <w:rsid w:val="00C56AA1"/>
    <w:rsid w:val="00C63E64"/>
    <w:rsid w:val="00C83957"/>
    <w:rsid w:val="00C8631B"/>
    <w:rsid w:val="00C90A8C"/>
    <w:rsid w:val="00CA08FD"/>
    <w:rsid w:val="00CB3ECB"/>
    <w:rsid w:val="00CB55E4"/>
    <w:rsid w:val="00CB7069"/>
    <w:rsid w:val="00CC1D48"/>
    <w:rsid w:val="00CC2250"/>
    <w:rsid w:val="00CC24FB"/>
    <w:rsid w:val="00CD10FF"/>
    <w:rsid w:val="00CD15F7"/>
    <w:rsid w:val="00CE4170"/>
    <w:rsid w:val="00CE571C"/>
    <w:rsid w:val="00CE67DF"/>
    <w:rsid w:val="00CF2168"/>
    <w:rsid w:val="00CF2454"/>
    <w:rsid w:val="00CF665E"/>
    <w:rsid w:val="00CF77C5"/>
    <w:rsid w:val="00D07235"/>
    <w:rsid w:val="00D1034D"/>
    <w:rsid w:val="00D108C7"/>
    <w:rsid w:val="00D11EFD"/>
    <w:rsid w:val="00D140E3"/>
    <w:rsid w:val="00D17338"/>
    <w:rsid w:val="00D17544"/>
    <w:rsid w:val="00D249DB"/>
    <w:rsid w:val="00D31B08"/>
    <w:rsid w:val="00D43BEC"/>
    <w:rsid w:val="00D51496"/>
    <w:rsid w:val="00D53B2F"/>
    <w:rsid w:val="00D70F05"/>
    <w:rsid w:val="00D76CDE"/>
    <w:rsid w:val="00D81199"/>
    <w:rsid w:val="00D82012"/>
    <w:rsid w:val="00D83DF0"/>
    <w:rsid w:val="00D85EF2"/>
    <w:rsid w:val="00D8629E"/>
    <w:rsid w:val="00D87129"/>
    <w:rsid w:val="00D87837"/>
    <w:rsid w:val="00D91D76"/>
    <w:rsid w:val="00D92254"/>
    <w:rsid w:val="00D9392F"/>
    <w:rsid w:val="00D94FF9"/>
    <w:rsid w:val="00D954EF"/>
    <w:rsid w:val="00DA047B"/>
    <w:rsid w:val="00DA2901"/>
    <w:rsid w:val="00DA3A32"/>
    <w:rsid w:val="00DA3E83"/>
    <w:rsid w:val="00DA4A29"/>
    <w:rsid w:val="00DC643B"/>
    <w:rsid w:val="00DD11FF"/>
    <w:rsid w:val="00DD2C1E"/>
    <w:rsid w:val="00DD5708"/>
    <w:rsid w:val="00DE0FBC"/>
    <w:rsid w:val="00DE2711"/>
    <w:rsid w:val="00DE7B49"/>
    <w:rsid w:val="00DF2FCE"/>
    <w:rsid w:val="00E045AE"/>
    <w:rsid w:val="00E1047E"/>
    <w:rsid w:val="00E171B9"/>
    <w:rsid w:val="00E23BD6"/>
    <w:rsid w:val="00E27406"/>
    <w:rsid w:val="00E308B9"/>
    <w:rsid w:val="00E32CC6"/>
    <w:rsid w:val="00E35C91"/>
    <w:rsid w:val="00E3685B"/>
    <w:rsid w:val="00E41D2B"/>
    <w:rsid w:val="00E426B4"/>
    <w:rsid w:val="00E51AF5"/>
    <w:rsid w:val="00E562D6"/>
    <w:rsid w:val="00E612AC"/>
    <w:rsid w:val="00E67CAF"/>
    <w:rsid w:val="00E67DD2"/>
    <w:rsid w:val="00E707BD"/>
    <w:rsid w:val="00E71C41"/>
    <w:rsid w:val="00E72ADA"/>
    <w:rsid w:val="00E7411B"/>
    <w:rsid w:val="00E751A5"/>
    <w:rsid w:val="00E865D8"/>
    <w:rsid w:val="00E90BDA"/>
    <w:rsid w:val="00EB05E1"/>
    <w:rsid w:val="00EB36ED"/>
    <w:rsid w:val="00EB3E4C"/>
    <w:rsid w:val="00EB75AE"/>
    <w:rsid w:val="00EC0476"/>
    <w:rsid w:val="00EC1D9A"/>
    <w:rsid w:val="00EC4031"/>
    <w:rsid w:val="00ED1B53"/>
    <w:rsid w:val="00ED4C4A"/>
    <w:rsid w:val="00ED520E"/>
    <w:rsid w:val="00ED5B0E"/>
    <w:rsid w:val="00ED6B25"/>
    <w:rsid w:val="00EE494C"/>
    <w:rsid w:val="00EE7FD1"/>
    <w:rsid w:val="00EF11E1"/>
    <w:rsid w:val="00EF1855"/>
    <w:rsid w:val="00EF199C"/>
    <w:rsid w:val="00F12E1D"/>
    <w:rsid w:val="00F14AE6"/>
    <w:rsid w:val="00F21818"/>
    <w:rsid w:val="00F24F25"/>
    <w:rsid w:val="00F2587F"/>
    <w:rsid w:val="00F267DD"/>
    <w:rsid w:val="00F32A6F"/>
    <w:rsid w:val="00F365B4"/>
    <w:rsid w:val="00F44D17"/>
    <w:rsid w:val="00F4782A"/>
    <w:rsid w:val="00F52015"/>
    <w:rsid w:val="00F65A8B"/>
    <w:rsid w:val="00F75AB2"/>
    <w:rsid w:val="00F840FA"/>
    <w:rsid w:val="00F96A39"/>
    <w:rsid w:val="00F979DF"/>
    <w:rsid w:val="00FA1FD8"/>
    <w:rsid w:val="00FA212E"/>
    <w:rsid w:val="00FC3053"/>
    <w:rsid w:val="00FC58C3"/>
    <w:rsid w:val="00FD3DCB"/>
    <w:rsid w:val="00FD5E15"/>
    <w:rsid w:val="00FE02D1"/>
    <w:rsid w:val="00FE3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4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howurl1">
    <w:name w:val="c-showurl1"/>
    <w:basedOn w:val="a0"/>
    <w:rsid w:val="000B1A17"/>
    <w:rPr>
      <w:color w:val="008000"/>
      <w:sz w:val="20"/>
      <w:szCs w:val="20"/>
    </w:rPr>
  </w:style>
  <w:style w:type="character" w:styleId="a4">
    <w:name w:val="Hyperlink"/>
    <w:basedOn w:val="a0"/>
    <w:uiPriority w:val="99"/>
    <w:unhideWhenUsed/>
    <w:rsid w:val="000B1A17"/>
    <w:rPr>
      <w:color w:val="0000FF" w:themeColor="hyperlink"/>
      <w:u w:val="single"/>
    </w:rPr>
  </w:style>
  <w:style w:type="paragraph" w:styleId="a5">
    <w:name w:val="header"/>
    <w:basedOn w:val="a"/>
    <w:link w:val="Char"/>
    <w:uiPriority w:val="99"/>
    <w:unhideWhenUsed/>
    <w:rsid w:val="00962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273E"/>
    <w:rPr>
      <w:sz w:val="18"/>
      <w:szCs w:val="18"/>
    </w:rPr>
  </w:style>
  <w:style w:type="paragraph" w:styleId="a6">
    <w:name w:val="footer"/>
    <w:basedOn w:val="a"/>
    <w:link w:val="Char0"/>
    <w:uiPriority w:val="99"/>
    <w:unhideWhenUsed/>
    <w:rsid w:val="0096273E"/>
    <w:pPr>
      <w:tabs>
        <w:tab w:val="center" w:pos="4153"/>
        <w:tab w:val="right" w:pos="8306"/>
      </w:tabs>
      <w:snapToGrid w:val="0"/>
      <w:jc w:val="left"/>
    </w:pPr>
    <w:rPr>
      <w:sz w:val="18"/>
      <w:szCs w:val="18"/>
    </w:rPr>
  </w:style>
  <w:style w:type="character" w:customStyle="1" w:styleId="Char0">
    <w:name w:val="页脚 Char"/>
    <w:basedOn w:val="a0"/>
    <w:link w:val="a6"/>
    <w:uiPriority w:val="99"/>
    <w:rsid w:val="0096273E"/>
    <w:rPr>
      <w:sz w:val="18"/>
      <w:szCs w:val="18"/>
    </w:rPr>
  </w:style>
  <w:style w:type="paragraph" w:styleId="a7">
    <w:name w:val="Balloon Text"/>
    <w:basedOn w:val="a"/>
    <w:link w:val="Char1"/>
    <w:uiPriority w:val="99"/>
    <w:semiHidden/>
    <w:unhideWhenUsed/>
    <w:rsid w:val="00B0011C"/>
    <w:rPr>
      <w:sz w:val="18"/>
      <w:szCs w:val="18"/>
    </w:rPr>
  </w:style>
  <w:style w:type="character" w:customStyle="1" w:styleId="Char1">
    <w:name w:val="批注框文本 Char"/>
    <w:basedOn w:val="a0"/>
    <w:link w:val="a7"/>
    <w:uiPriority w:val="99"/>
    <w:semiHidden/>
    <w:rsid w:val="00B0011C"/>
    <w:rPr>
      <w:sz w:val="18"/>
      <w:szCs w:val="18"/>
    </w:rPr>
  </w:style>
  <w:style w:type="paragraph" w:styleId="2">
    <w:name w:val="Body Text Indent 2"/>
    <w:basedOn w:val="a"/>
    <w:link w:val="2Char"/>
    <w:uiPriority w:val="99"/>
    <w:semiHidden/>
    <w:unhideWhenUsed/>
    <w:rsid w:val="00AA2AB8"/>
    <w:pPr>
      <w:spacing w:after="120" w:line="480" w:lineRule="auto"/>
      <w:ind w:leftChars="200" w:left="420"/>
    </w:pPr>
    <w:rPr>
      <w:rFonts w:ascii="Calibri" w:eastAsia="宋体" w:hAnsi="Calibri" w:cs="Times New Roman"/>
    </w:rPr>
  </w:style>
  <w:style w:type="character" w:customStyle="1" w:styleId="2Char">
    <w:name w:val="正文文本缩进 2 Char"/>
    <w:basedOn w:val="a0"/>
    <w:link w:val="2"/>
    <w:uiPriority w:val="99"/>
    <w:semiHidden/>
    <w:rsid w:val="00AA2AB8"/>
    <w:rPr>
      <w:rFonts w:ascii="Calibri" w:eastAsia="宋体" w:hAnsi="Calibri" w:cs="Times New Roman"/>
    </w:rPr>
  </w:style>
  <w:style w:type="paragraph" w:styleId="a8">
    <w:name w:val="List Paragraph"/>
    <w:basedOn w:val="a"/>
    <w:uiPriority w:val="34"/>
    <w:qFormat/>
    <w:rsid w:val="00731694"/>
    <w:pPr>
      <w:ind w:firstLineChars="200" w:firstLine="420"/>
    </w:pPr>
  </w:style>
  <w:style w:type="paragraph" w:styleId="a9">
    <w:name w:val="Normal (Web)"/>
    <w:basedOn w:val="a"/>
    <w:uiPriority w:val="99"/>
    <w:semiHidden/>
    <w:unhideWhenUsed/>
    <w:rsid w:val="00400B9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3F49B3"/>
    <w:rPr>
      <w:rFonts w:ascii="宋体" w:eastAsia="宋体" w:hAnsi="宋体" w:hint="eastAsia"/>
      <w:b w:val="0"/>
      <w:bCs w:val="0"/>
      <w:i w:val="0"/>
      <w:iCs w:val="0"/>
      <w:color w:val="000000"/>
      <w:sz w:val="22"/>
      <w:szCs w:val="22"/>
    </w:rPr>
  </w:style>
  <w:style w:type="character" w:customStyle="1" w:styleId="fontstyle11">
    <w:name w:val="fontstyle11"/>
    <w:basedOn w:val="a0"/>
    <w:rsid w:val="003F49B3"/>
    <w:rPr>
      <w:rFonts w:ascii="Calibri" w:hAnsi="Calibri" w:cs="Calibri" w:hint="default"/>
      <w:b w:val="0"/>
      <w:bCs w:val="0"/>
      <w:i w:val="0"/>
      <w:iCs w:val="0"/>
      <w:color w:val="000000"/>
      <w:sz w:val="22"/>
      <w:szCs w:val="22"/>
    </w:rPr>
  </w:style>
  <w:style w:type="character" w:styleId="aa">
    <w:name w:val="annotation reference"/>
    <w:basedOn w:val="a0"/>
    <w:uiPriority w:val="99"/>
    <w:semiHidden/>
    <w:unhideWhenUsed/>
    <w:rsid w:val="008459F4"/>
    <w:rPr>
      <w:sz w:val="21"/>
      <w:szCs w:val="21"/>
    </w:rPr>
  </w:style>
  <w:style w:type="paragraph" w:styleId="ab">
    <w:name w:val="annotation text"/>
    <w:basedOn w:val="a"/>
    <w:link w:val="Char2"/>
    <w:uiPriority w:val="99"/>
    <w:semiHidden/>
    <w:unhideWhenUsed/>
    <w:rsid w:val="008459F4"/>
    <w:pPr>
      <w:jc w:val="left"/>
    </w:pPr>
  </w:style>
  <w:style w:type="character" w:customStyle="1" w:styleId="Char2">
    <w:name w:val="批注文字 Char"/>
    <w:basedOn w:val="a0"/>
    <w:link w:val="ab"/>
    <w:uiPriority w:val="99"/>
    <w:semiHidden/>
    <w:rsid w:val="008459F4"/>
  </w:style>
  <w:style w:type="paragraph" w:styleId="ac">
    <w:name w:val="annotation subject"/>
    <w:basedOn w:val="ab"/>
    <w:next w:val="ab"/>
    <w:link w:val="Char3"/>
    <w:uiPriority w:val="99"/>
    <w:semiHidden/>
    <w:unhideWhenUsed/>
    <w:rsid w:val="008459F4"/>
    <w:rPr>
      <w:b/>
      <w:bCs/>
    </w:rPr>
  </w:style>
  <w:style w:type="character" w:customStyle="1" w:styleId="Char3">
    <w:name w:val="批注主题 Char"/>
    <w:basedOn w:val="Char2"/>
    <w:link w:val="ac"/>
    <w:uiPriority w:val="99"/>
    <w:semiHidden/>
    <w:rsid w:val="008459F4"/>
    <w:rPr>
      <w:b/>
      <w:bCs/>
    </w:rPr>
  </w:style>
  <w:style w:type="paragraph" w:styleId="ad">
    <w:name w:val="Revision"/>
    <w:hidden/>
    <w:uiPriority w:val="99"/>
    <w:semiHidden/>
    <w:rsid w:val="000019B2"/>
  </w:style>
  <w:style w:type="character" w:customStyle="1" w:styleId="1">
    <w:name w:val="未处理的提及1"/>
    <w:basedOn w:val="a0"/>
    <w:uiPriority w:val="99"/>
    <w:semiHidden/>
    <w:unhideWhenUsed/>
    <w:rsid w:val="00F44D17"/>
    <w:rPr>
      <w:color w:val="605E5C"/>
      <w:shd w:val="clear" w:color="auto" w:fill="E1DFDD"/>
    </w:rPr>
  </w:style>
  <w:style w:type="paragraph" w:customStyle="1" w:styleId="Default">
    <w:name w:val="Default"/>
    <w:rsid w:val="000F7E92"/>
    <w:pPr>
      <w:widowControl w:val="0"/>
      <w:autoSpaceDE w:val="0"/>
      <w:autoSpaceDN w:val="0"/>
      <w:adjustRightInd w:val="0"/>
    </w:pPr>
    <w:rPr>
      <w:rFonts w:ascii="宋体" w:eastAsia="宋体" w:cs="宋体"/>
      <w:color w:val="000000"/>
      <w:kern w:val="0"/>
      <w:sz w:val="24"/>
      <w:szCs w:val="24"/>
    </w:rPr>
  </w:style>
  <w:style w:type="character" w:customStyle="1" w:styleId="20">
    <w:name w:val="未处理的提及2"/>
    <w:basedOn w:val="a0"/>
    <w:uiPriority w:val="99"/>
    <w:semiHidden/>
    <w:unhideWhenUsed/>
    <w:rsid w:val="00B436A2"/>
    <w:rPr>
      <w:color w:val="605E5C"/>
      <w:shd w:val="clear" w:color="auto" w:fill="E1DFDD"/>
    </w:rPr>
  </w:style>
  <w:style w:type="character" w:customStyle="1" w:styleId="UnresolvedMention">
    <w:name w:val="Unresolved Mention"/>
    <w:basedOn w:val="a0"/>
    <w:uiPriority w:val="99"/>
    <w:semiHidden/>
    <w:unhideWhenUsed/>
    <w:rsid w:val="00AF30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389427">
      <w:bodyDiv w:val="1"/>
      <w:marLeft w:val="0"/>
      <w:marRight w:val="0"/>
      <w:marTop w:val="0"/>
      <w:marBottom w:val="0"/>
      <w:divBdr>
        <w:top w:val="none" w:sz="0" w:space="0" w:color="auto"/>
        <w:left w:val="none" w:sz="0" w:space="0" w:color="auto"/>
        <w:bottom w:val="none" w:sz="0" w:space="0" w:color="auto"/>
        <w:right w:val="none" w:sz="0" w:space="0" w:color="auto"/>
      </w:divBdr>
    </w:div>
    <w:div w:id="116879656">
      <w:bodyDiv w:val="1"/>
      <w:marLeft w:val="0"/>
      <w:marRight w:val="0"/>
      <w:marTop w:val="0"/>
      <w:marBottom w:val="0"/>
      <w:divBdr>
        <w:top w:val="none" w:sz="0" w:space="0" w:color="auto"/>
        <w:left w:val="none" w:sz="0" w:space="0" w:color="auto"/>
        <w:bottom w:val="none" w:sz="0" w:space="0" w:color="auto"/>
        <w:right w:val="none" w:sz="0" w:space="0" w:color="auto"/>
      </w:divBdr>
    </w:div>
    <w:div w:id="245499004">
      <w:bodyDiv w:val="1"/>
      <w:marLeft w:val="0"/>
      <w:marRight w:val="0"/>
      <w:marTop w:val="0"/>
      <w:marBottom w:val="0"/>
      <w:divBdr>
        <w:top w:val="none" w:sz="0" w:space="0" w:color="auto"/>
        <w:left w:val="none" w:sz="0" w:space="0" w:color="auto"/>
        <w:bottom w:val="none" w:sz="0" w:space="0" w:color="auto"/>
        <w:right w:val="none" w:sz="0" w:space="0" w:color="auto"/>
      </w:divBdr>
    </w:div>
    <w:div w:id="334571995">
      <w:bodyDiv w:val="1"/>
      <w:marLeft w:val="0"/>
      <w:marRight w:val="0"/>
      <w:marTop w:val="0"/>
      <w:marBottom w:val="0"/>
      <w:divBdr>
        <w:top w:val="none" w:sz="0" w:space="0" w:color="auto"/>
        <w:left w:val="none" w:sz="0" w:space="0" w:color="auto"/>
        <w:bottom w:val="none" w:sz="0" w:space="0" w:color="auto"/>
        <w:right w:val="none" w:sz="0" w:space="0" w:color="auto"/>
      </w:divBdr>
    </w:div>
    <w:div w:id="357783605">
      <w:bodyDiv w:val="1"/>
      <w:marLeft w:val="0"/>
      <w:marRight w:val="0"/>
      <w:marTop w:val="0"/>
      <w:marBottom w:val="0"/>
      <w:divBdr>
        <w:top w:val="none" w:sz="0" w:space="0" w:color="auto"/>
        <w:left w:val="none" w:sz="0" w:space="0" w:color="auto"/>
        <w:bottom w:val="none" w:sz="0" w:space="0" w:color="auto"/>
        <w:right w:val="none" w:sz="0" w:space="0" w:color="auto"/>
      </w:divBdr>
    </w:div>
    <w:div w:id="371155181">
      <w:bodyDiv w:val="1"/>
      <w:marLeft w:val="0"/>
      <w:marRight w:val="0"/>
      <w:marTop w:val="0"/>
      <w:marBottom w:val="0"/>
      <w:divBdr>
        <w:top w:val="none" w:sz="0" w:space="0" w:color="auto"/>
        <w:left w:val="none" w:sz="0" w:space="0" w:color="auto"/>
        <w:bottom w:val="none" w:sz="0" w:space="0" w:color="auto"/>
        <w:right w:val="none" w:sz="0" w:space="0" w:color="auto"/>
      </w:divBdr>
    </w:div>
    <w:div w:id="434835600">
      <w:bodyDiv w:val="1"/>
      <w:marLeft w:val="0"/>
      <w:marRight w:val="0"/>
      <w:marTop w:val="0"/>
      <w:marBottom w:val="0"/>
      <w:divBdr>
        <w:top w:val="none" w:sz="0" w:space="0" w:color="auto"/>
        <w:left w:val="none" w:sz="0" w:space="0" w:color="auto"/>
        <w:bottom w:val="none" w:sz="0" w:space="0" w:color="auto"/>
        <w:right w:val="none" w:sz="0" w:space="0" w:color="auto"/>
      </w:divBdr>
    </w:div>
    <w:div w:id="448091869">
      <w:bodyDiv w:val="1"/>
      <w:marLeft w:val="0"/>
      <w:marRight w:val="0"/>
      <w:marTop w:val="0"/>
      <w:marBottom w:val="0"/>
      <w:divBdr>
        <w:top w:val="none" w:sz="0" w:space="0" w:color="auto"/>
        <w:left w:val="none" w:sz="0" w:space="0" w:color="auto"/>
        <w:bottom w:val="none" w:sz="0" w:space="0" w:color="auto"/>
        <w:right w:val="none" w:sz="0" w:space="0" w:color="auto"/>
      </w:divBdr>
    </w:div>
    <w:div w:id="559249967">
      <w:bodyDiv w:val="1"/>
      <w:marLeft w:val="0"/>
      <w:marRight w:val="0"/>
      <w:marTop w:val="0"/>
      <w:marBottom w:val="0"/>
      <w:divBdr>
        <w:top w:val="none" w:sz="0" w:space="0" w:color="auto"/>
        <w:left w:val="none" w:sz="0" w:space="0" w:color="auto"/>
        <w:bottom w:val="none" w:sz="0" w:space="0" w:color="auto"/>
        <w:right w:val="none" w:sz="0" w:space="0" w:color="auto"/>
      </w:divBdr>
    </w:div>
    <w:div w:id="563371752">
      <w:bodyDiv w:val="1"/>
      <w:marLeft w:val="0"/>
      <w:marRight w:val="0"/>
      <w:marTop w:val="0"/>
      <w:marBottom w:val="0"/>
      <w:divBdr>
        <w:top w:val="none" w:sz="0" w:space="0" w:color="auto"/>
        <w:left w:val="none" w:sz="0" w:space="0" w:color="auto"/>
        <w:bottom w:val="none" w:sz="0" w:space="0" w:color="auto"/>
        <w:right w:val="none" w:sz="0" w:space="0" w:color="auto"/>
      </w:divBdr>
    </w:div>
    <w:div w:id="566458874">
      <w:bodyDiv w:val="1"/>
      <w:marLeft w:val="0"/>
      <w:marRight w:val="0"/>
      <w:marTop w:val="0"/>
      <w:marBottom w:val="0"/>
      <w:divBdr>
        <w:top w:val="none" w:sz="0" w:space="0" w:color="auto"/>
        <w:left w:val="none" w:sz="0" w:space="0" w:color="auto"/>
        <w:bottom w:val="none" w:sz="0" w:space="0" w:color="auto"/>
        <w:right w:val="none" w:sz="0" w:space="0" w:color="auto"/>
      </w:divBdr>
      <w:divsChild>
        <w:div w:id="1714227675">
          <w:marLeft w:val="0"/>
          <w:marRight w:val="0"/>
          <w:marTop w:val="0"/>
          <w:marBottom w:val="0"/>
          <w:divBdr>
            <w:top w:val="none" w:sz="0" w:space="0" w:color="auto"/>
            <w:left w:val="none" w:sz="0" w:space="0" w:color="auto"/>
            <w:bottom w:val="none" w:sz="0" w:space="0" w:color="auto"/>
            <w:right w:val="none" w:sz="0" w:space="0" w:color="auto"/>
          </w:divBdr>
          <w:divsChild>
            <w:div w:id="1493638736">
              <w:marLeft w:val="0"/>
              <w:marRight w:val="0"/>
              <w:marTop w:val="0"/>
              <w:marBottom w:val="0"/>
              <w:divBdr>
                <w:top w:val="none" w:sz="0" w:space="0" w:color="auto"/>
                <w:left w:val="none" w:sz="0" w:space="0" w:color="auto"/>
                <w:bottom w:val="none" w:sz="0" w:space="0" w:color="auto"/>
                <w:right w:val="none" w:sz="0" w:space="0" w:color="auto"/>
              </w:divBdr>
              <w:divsChild>
                <w:div w:id="1840149217">
                  <w:marLeft w:val="0"/>
                  <w:marRight w:val="0"/>
                  <w:marTop w:val="0"/>
                  <w:marBottom w:val="0"/>
                  <w:divBdr>
                    <w:top w:val="none" w:sz="0" w:space="0" w:color="auto"/>
                    <w:left w:val="none" w:sz="0" w:space="0" w:color="auto"/>
                    <w:bottom w:val="none" w:sz="0" w:space="0" w:color="auto"/>
                    <w:right w:val="none" w:sz="0" w:space="0" w:color="auto"/>
                  </w:divBdr>
                  <w:divsChild>
                    <w:div w:id="137067221">
                      <w:marLeft w:val="0"/>
                      <w:marRight w:val="0"/>
                      <w:marTop w:val="0"/>
                      <w:marBottom w:val="0"/>
                      <w:divBdr>
                        <w:top w:val="none" w:sz="0" w:space="0" w:color="auto"/>
                        <w:left w:val="none" w:sz="0" w:space="0" w:color="auto"/>
                        <w:bottom w:val="none" w:sz="0" w:space="0" w:color="auto"/>
                        <w:right w:val="none" w:sz="0" w:space="0" w:color="auto"/>
                      </w:divBdr>
                      <w:divsChild>
                        <w:div w:id="1329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508908">
      <w:bodyDiv w:val="1"/>
      <w:marLeft w:val="0"/>
      <w:marRight w:val="0"/>
      <w:marTop w:val="0"/>
      <w:marBottom w:val="0"/>
      <w:divBdr>
        <w:top w:val="none" w:sz="0" w:space="0" w:color="auto"/>
        <w:left w:val="none" w:sz="0" w:space="0" w:color="auto"/>
        <w:bottom w:val="none" w:sz="0" w:space="0" w:color="auto"/>
        <w:right w:val="none" w:sz="0" w:space="0" w:color="auto"/>
      </w:divBdr>
      <w:divsChild>
        <w:div w:id="1973975049">
          <w:marLeft w:val="0"/>
          <w:marRight w:val="0"/>
          <w:marTop w:val="0"/>
          <w:marBottom w:val="0"/>
          <w:divBdr>
            <w:top w:val="none" w:sz="0" w:space="0" w:color="auto"/>
            <w:left w:val="none" w:sz="0" w:space="0" w:color="auto"/>
            <w:bottom w:val="none" w:sz="0" w:space="0" w:color="auto"/>
            <w:right w:val="none" w:sz="0" w:space="0" w:color="auto"/>
          </w:divBdr>
          <w:divsChild>
            <w:div w:id="335305477">
              <w:marLeft w:val="0"/>
              <w:marRight w:val="0"/>
              <w:marTop w:val="0"/>
              <w:marBottom w:val="0"/>
              <w:divBdr>
                <w:top w:val="none" w:sz="0" w:space="0" w:color="auto"/>
                <w:left w:val="none" w:sz="0" w:space="0" w:color="auto"/>
                <w:bottom w:val="none" w:sz="0" w:space="0" w:color="auto"/>
                <w:right w:val="none" w:sz="0" w:space="0" w:color="auto"/>
              </w:divBdr>
              <w:divsChild>
                <w:div w:id="1058939430">
                  <w:marLeft w:val="0"/>
                  <w:marRight w:val="0"/>
                  <w:marTop w:val="0"/>
                  <w:marBottom w:val="0"/>
                  <w:divBdr>
                    <w:top w:val="none" w:sz="0" w:space="0" w:color="auto"/>
                    <w:left w:val="none" w:sz="0" w:space="0" w:color="auto"/>
                    <w:bottom w:val="none" w:sz="0" w:space="0" w:color="auto"/>
                    <w:right w:val="none" w:sz="0" w:space="0" w:color="auto"/>
                  </w:divBdr>
                  <w:divsChild>
                    <w:div w:id="1178158767">
                      <w:marLeft w:val="0"/>
                      <w:marRight w:val="0"/>
                      <w:marTop w:val="0"/>
                      <w:marBottom w:val="0"/>
                      <w:divBdr>
                        <w:top w:val="none" w:sz="0" w:space="0" w:color="auto"/>
                        <w:left w:val="none" w:sz="0" w:space="0" w:color="auto"/>
                        <w:bottom w:val="none" w:sz="0" w:space="0" w:color="auto"/>
                        <w:right w:val="none" w:sz="0" w:space="0" w:color="auto"/>
                      </w:divBdr>
                      <w:divsChild>
                        <w:div w:id="12919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22145">
      <w:bodyDiv w:val="1"/>
      <w:marLeft w:val="0"/>
      <w:marRight w:val="0"/>
      <w:marTop w:val="0"/>
      <w:marBottom w:val="0"/>
      <w:divBdr>
        <w:top w:val="none" w:sz="0" w:space="0" w:color="auto"/>
        <w:left w:val="none" w:sz="0" w:space="0" w:color="auto"/>
        <w:bottom w:val="none" w:sz="0" w:space="0" w:color="auto"/>
        <w:right w:val="none" w:sz="0" w:space="0" w:color="auto"/>
      </w:divBdr>
      <w:divsChild>
        <w:div w:id="1156073404">
          <w:marLeft w:val="0"/>
          <w:marRight w:val="0"/>
          <w:marTop w:val="0"/>
          <w:marBottom w:val="0"/>
          <w:divBdr>
            <w:top w:val="none" w:sz="0" w:space="0" w:color="auto"/>
            <w:left w:val="none" w:sz="0" w:space="0" w:color="auto"/>
            <w:bottom w:val="none" w:sz="0" w:space="0" w:color="auto"/>
            <w:right w:val="none" w:sz="0" w:space="0" w:color="auto"/>
          </w:divBdr>
          <w:divsChild>
            <w:div w:id="1861309201">
              <w:marLeft w:val="0"/>
              <w:marRight w:val="0"/>
              <w:marTop w:val="0"/>
              <w:marBottom w:val="0"/>
              <w:divBdr>
                <w:top w:val="none" w:sz="0" w:space="0" w:color="auto"/>
                <w:left w:val="none" w:sz="0" w:space="0" w:color="auto"/>
                <w:bottom w:val="none" w:sz="0" w:space="0" w:color="auto"/>
                <w:right w:val="none" w:sz="0" w:space="0" w:color="auto"/>
              </w:divBdr>
              <w:divsChild>
                <w:div w:id="668480235">
                  <w:marLeft w:val="0"/>
                  <w:marRight w:val="0"/>
                  <w:marTop w:val="0"/>
                  <w:marBottom w:val="0"/>
                  <w:divBdr>
                    <w:top w:val="none" w:sz="0" w:space="0" w:color="auto"/>
                    <w:left w:val="none" w:sz="0" w:space="0" w:color="auto"/>
                    <w:bottom w:val="none" w:sz="0" w:space="0" w:color="auto"/>
                    <w:right w:val="none" w:sz="0" w:space="0" w:color="auto"/>
                  </w:divBdr>
                  <w:divsChild>
                    <w:div w:id="994724230">
                      <w:marLeft w:val="0"/>
                      <w:marRight w:val="0"/>
                      <w:marTop w:val="0"/>
                      <w:marBottom w:val="0"/>
                      <w:divBdr>
                        <w:top w:val="none" w:sz="0" w:space="0" w:color="auto"/>
                        <w:left w:val="none" w:sz="0" w:space="0" w:color="auto"/>
                        <w:bottom w:val="none" w:sz="0" w:space="0" w:color="auto"/>
                        <w:right w:val="none" w:sz="0" w:space="0" w:color="auto"/>
                      </w:divBdr>
                      <w:divsChild>
                        <w:div w:id="2730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763410">
      <w:bodyDiv w:val="1"/>
      <w:marLeft w:val="0"/>
      <w:marRight w:val="0"/>
      <w:marTop w:val="0"/>
      <w:marBottom w:val="0"/>
      <w:divBdr>
        <w:top w:val="none" w:sz="0" w:space="0" w:color="auto"/>
        <w:left w:val="none" w:sz="0" w:space="0" w:color="auto"/>
        <w:bottom w:val="none" w:sz="0" w:space="0" w:color="auto"/>
        <w:right w:val="none" w:sz="0" w:space="0" w:color="auto"/>
      </w:divBdr>
      <w:divsChild>
        <w:div w:id="766652584">
          <w:marLeft w:val="0"/>
          <w:marRight w:val="0"/>
          <w:marTop w:val="0"/>
          <w:marBottom w:val="0"/>
          <w:divBdr>
            <w:top w:val="none" w:sz="0" w:space="0" w:color="auto"/>
            <w:left w:val="none" w:sz="0" w:space="0" w:color="auto"/>
            <w:bottom w:val="none" w:sz="0" w:space="0" w:color="auto"/>
            <w:right w:val="none" w:sz="0" w:space="0" w:color="auto"/>
          </w:divBdr>
          <w:divsChild>
            <w:div w:id="1542668187">
              <w:marLeft w:val="0"/>
              <w:marRight w:val="0"/>
              <w:marTop w:val="0"/>
              <w:marBottom w:val="0"/>
              <w:divBdr>
                <w:top w:val="none" w:sz="0" w:space="0" w:color="auto"/>
                <w:left w:val="none" w:sz="0" w:space="0" w:color="auto"/>
                <w:bottom w:val="none" w:sz="0" w:space="0" w:color="auto"/>
                <w:right w:val="none" w:sz="0" w:space="0" w:color="auto"/>
              </w:divBdr>
              <w:divsChild>
                <w:div w:id="407189016">
                  <w:marLeft w:val="0"/>
                  <w:marRight w:val="0"/>
                  <w:marTop w:val="0"/>
                  <w:marBottom w:val="0"/>
                  <w:divBdr>
                    <w:top w:val="none" w:sz="0" w:space="0" w:color="auto"/>
                    <w:left w:val="none" w:sz="0" w:space="0" w:color="auto"/>
                    <w:bottom w:val="none" w:sz="0" w:space="0" w:color="auto"/>
                    <w:right w:val="none" w:sz="0" w:space="0" w:color="auto"/>
                  </w:divBdr>
                  <w:divsChild>
                    <w:div w:id="1787233214">
                      <w:marLeft w:val="0"/>
                      <w:marRight w:val="0"/>
                      <w:marTop w:val="0"/>
                      <w:marBottom w:val="0"/>
                      <w:divBdr>
                        <w:top w:val="none" w:sz="0" w:space="0" w:color="auto"/>
                        <w:left w:val="none" w:sz="0" w:space="0" w:color="auto"/>
                        <w:bottom w:val="none" w:sz="0" w:space="0" w:color="auto"/>
                        <w:right w:val="none" w:sz="0" w:space="0" w:color="auto"/>
                      </w:divBdr>
                      <w:divsChild>
                        <w:div w:id="21291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4219">
      <w:bodyDiv w:val="1"/>
      <w:marLeft w:val="0"/>
      <w:marRight w:val="0"/>
      <w:marTop w:val="0"/>
      <w:marBottom w:val="0"/>
      <w:divBdr>
        <w:top w:val="none" w:sz="0" w:space="0" w:color="auto"/>
        <w:left w:val="none" w:sz="0" w:space="0" w:color="auto"/>
        <w:bottom w:val="none" w:sz="0" w:space="0" w:color="auto"/>
        <w:right w:val="none" w:sz="0" w:space="0" w:color="auto"/>
      </w:divBdr>
    </w:div>
    <w:div w:id="786199550">
      <w:bodyDiv w:val="1"/>
      <w:marLeft w:val="0"/>
      <w:marRight w:val="0"/>
      <w:marTop w:val="0"/>
      <w:marBottom w:val="0"/>
      <w:divBdr>
        <w:top w:val="none" w:sz="0" w:space="0" w:color="auto"/>
        <w:left w:val="none" w:sz="0" w:space="0" w:color="auto"/>
        <w:bottom w:val="none" w:sz="0" w:space="0" w:color="auto"/>
        <w:right w:val="none" w:sz="0" w:space="0" w:color="auto"/>
      </w:divBdr>
    </w:div>
    <w:div w:id="795951986">
      <w:bodyDiv w:val="1"/>
      <w:marLeft w:val="0"/>
      <w:marRight w:val="0"/>
      <w:marTop w:val="0"/>
      <w:marBottom w:val="0"/>
      <w:divBdr>
        <w:top w:val="none" w:sz="0" w:space="0" w:color="auto"/>
        <w:left w:val="none" w:sz="0" w:space="0" w:color="auto"/>
        <w:bottom w:val="none" w:sz="0" w:space="0" w:color="auto"/>
        <w:right w:val="none" w:sz="0" w:space="0" w:color="auto"/>
      </w:divBdr>
    </w:div>
    <w:div w:id="802969055">
      <w:bodyDiv w:val="1"/>
      <w:marLeft w:val="0"/>
      <w:marRight w:val="0"/>
      <w:marTop w:val="0"/>
      <w:marBottom w:val="0"/>
      <w:divBdr>
        <w:top w:val="none" w:sz="0" w:space="0" w:color="auto"/>
        <w:left w:val="none" w:sz="0" w:space="0" w:color="auto"/>
        <w:bottom w:val="none" w:sz="0" w:space="0" w:color="auto"/>
        <w:right w:val="none" w:sz="0" w:space="0" w:color="auto"/>
      </w:divBdr>
    </w:div>
    <w:div w:id="868222565">
      <w:bodyDiv w:val="1"/>
      <w:marLeft w:val="0"/>
      <w:marRight w:val="0"/>
      <w:marTop w:val="0"/>
      <w:marBottom w:val="0"/>
      <w:divBdr>
        <w:top w:val="none" w:sz="0" w:space="0" w:color="auto"/>
        <w:left w:val="none" w:sz="0" w:space="0" w:color="auto"/>
        <w:bottom w:val="none" w:sz="0" w:space="0" w:color="auto"/>
        <w:right w:val="none" w:sz="0" w:space="0" w:color="auto"/>
      </w:divBdr>
    </w:div>
    <w:div w:id="902300021">
      <w:bodyDiv w:val="1"/>
      <w:marLeft w:val="0"/>
      <w:marRight w:val="0"/>
      <w:marTop w:val="0"/>
      <w:marBottom w:val="0"/>
      <w:divBdr>
        <w:top w:val="none" w:sz="0" w:space="0" w:color="auto"/>
        <w:left w:val="none" w:sz="0" w:space="0" w:color="auto"/>
        <w:bottom w:val="none" w:sz="0" w:space="0" w:color="auto"/>
        <w:right w:val="none" w:sz="0" w:space="0" w:color="auto"/>
      </w:divBdr>
    </w:div>
    <w:div w:id="940994541">
      <w:bodyDiv w:val="1"/>
      <w:marLeft w:val="0"/>
      <w:marRight w:val="0"/>
      <w:marTop w:val="0"/>
      <w:marBottom w:val="0"/>
      <w:divBdr>
        <w:top w:val="none" w:sz="0" w:space="0" w:color="auto"/>
        <w:left w:val="none" w:sz="0" w:space="0" w:color="auto"/>
        <w:bottom w:val="none" w:sz="0" w:space="0" w:color="auto"/>
        <w:right w:val="none" w:sz="0" w:space="0" w:color="auto"/>
      </w:divBdr>
    </w:div>
    <w:div w:id="986056224">
      <w:bodyDiv w:val="1"/>
      <w:marLeft w:val="0"/>
      <w:marRight w:val="0"/>
      <w:marTop w:val="0"/>
      <w:marBottom w:val="0"/>
      <w:divBdr>
        <w:top w:val="none" w:sz="0" w:space="0" w:color="auto"/>
        <w:left w:val="none" w:sz="0" w:space="0" w:color="auto"/>
        <w:bottom w:val="none" w:sz="0" w:space="0" w:color="auto"/>
        <w:right w:val="none" w:sz="0" w:space="0" w:color="auto"/>
      </w:divBdr>
    </w:div>
    <w:div w:id="1175807095">
      <w:bodyDiv w:val="1"/>
      <w:marLeft w:val="0"/>
      <w:marRight w:val="0"/>
      <w:marTop w:val="0"/>
      <w:marBottom w:val="0"/>
      <w:divBdr>
        <w:top w:val="none" w:sz="0" w:space="0" w:color="auto"/>
        <w:left w:val="none" w:sz="0" w:space="0" w:color="auto"/>
        <w:bottom w:val="none" w:sz="0" w:space="0" w:color="auto"/>
        <w:right w:val="none" w:sz="0" w:space="0" w:color="auto"/>
      </w:divBdr>
      <w:divsChild>
        <w:div w:id="1560676508">
          <w:marLeft w:val="0"/>
          <w:marRight w:val="0"/>
          <w:marTop w:val="0"/>
          <w:marBottom w:val="0"/>
          <w:divBdr>
            <w:top w:val="none" w:sz="0" w:space="0" w:color="auto"/>
            <w:left w:val="none" w:sz="0" w:space="0" w:color="auto"/>
            <w:bottom w:val="none" w:sz="0" w:space="0" w:color="auto"/>
            <w:right w:val="none" w:sz="0" w:space="0" w:color="auto"/>
          </w:divBdr>
          <w:divsChild>
            <w:div w:id="1124423051">
              <w:marLeft w:val="0"/>
              <w:marRight w:val="0"/>
              <w:marTop w:val="0"/>
              <w:marBottom w:val="0"/>
              <w:divBdr>
                <w:top w:val="none" w:sz="0" w:space="0" w:color="auto"/>
                <w:left w:val="none" w:sz="0" w:space="0" w:color="auto"/>
                <w:bottom w:val="none" w:sz="0" w:space="0" w:color="auto"/>
                <w:right w:val="none" w:sz="0" w:space="0" w:color="auto"/>
              </w:divBdr>
              <w:divsChild>
                <w:div w:id="122159743">
                  <w:marLeft w:val="0"/>
                  <w:marRight w:val="0"/>
                  <w:marTop w:val="0"/>
                  <w:marBottom w:val="0"/>
                  <w:divBdr>
                    <w:top w:val="none" w:sz="0" w:space="0" w:color="auto"/>
                    <w:left w:val="none" w:sz="0" w:space="0" w:color="auto"/>
                    <w:bottom w:val="none" w:sz="0" w:space="0" w:color="auto"/>
                    <w:right w:val="none" w:sz="0" w:space="0" w:color="auto"/>
                  </w:divBdr>
                  <w:divsChild>
                    <w:div w:id="998851102">
                      <w:marLeft w:val="0"/>
                      <w:marRight w:val="0"/>
                      <w:marTop w:val="0"/>
                      <w:marBottom w:val="0"/>
                      <w:divBdr>
                        <w:top w:val="none" w:sz="0" w:space="0" w:color="auto"/>
                        <w:left w:val="none" w:sz="0" w:space="0" w:color="auto"/>
                        <w:bottom w:val="none" w:sz="0" w:space="0" w:color="auto"/>
                        <w:right w:val="none" w:sz="0" w:space="0" w:color="auto"/>
                      </w:divBdr>
                      <w:divsChild>
                        <w:div w:id="1156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56190">
      <w:bodyDiv w:val="1"/>
      <w:marLeft w:val="0"/>
      <w:marRight w:val="0"/>
      <w:marTop w:val="0"/>
      <w:marBottom w:val="0"/>
      <w:divBdr>
        <w:top w:val="none" w:sz="0" w:space="0" w:color="auto"/>
        <w:left w:val="none" w:sz="0" w:space="0" w:color="auto"/>
        <w:bottom w:val="none" w:sz="0" w:space="0" w:color="auto"/>
        <w:right w:val="none" w:sz="0" w:space="0" w:color="auto"/>
      </w:divBdr>
    </w:div>
    <w:div w:id="1247884793">
      <w:bodyDiv w:val="1"/>
      <w:marLeft w:val="0"/>
      <w:marRight w:val="0"/>
      <w:marTop w:val="0"/>
      <w:marBottom w:val="0"/>
      <w:divBdr>
        <w:top w:val="none" w:sz="0" w:space="0" w:color="auto"/>
        <w:left w:val="none" w:sz="0" w:space="0" w:color="auto"/>
        <w:bottom w:val="none" w:sz="0" w:space="0" w:color="auto"/>
        <w:right w:val="none" w:sz="0" w:space="0" w:color="auto"/>
      </w:divBdr>
    </w:div>
    <w:div w:id="1260673980">
      <w:bodyDiv w:val="1"/>
      <w:marLeft w:val="0"/>
      <w:marRight w:val="0"/>
      <w:marTop w:val="0"/>
      <w:marBottom w:val="0"/>
      <w:divBdr>
        <w:top w:val="none" w:sz="0" w:space="0" w:color="auto"/>
        <w:left w:val="none" w:sz="0" w:space="0" w:color="auto"/>
        <w:bottom w:val="none" w:sz="0" w:space="0" w:color="auto"/>
        <w:right w:val="none" w:sz="0" w:space="0" w:color="auto"/>
      </w:divBdr>
    </w:div>
    <w:div w:id="1512641308">
      <w:bodyDiv w:val="1"/>
      <w:marLeft w:val="0"/>
      <w:marRight w:val="0"/>
      <w:marTop w:val="0"/>
      <w:marBottom w:val="0"/>
      <w:divBdr>
        <w:top w:val="none" w:sz="0" w:space="0" w:color="auto"/>
        <w:left w:val="none" w:sz="0" w:space="0" w:color="auto"/>
        <w:bottom w:val="none" w:sz="0" w:space="0" w:color="auto"/>
        <w:right w:val="none" w:sz="0" w:space="0" w:color="auto"/>
      </w:divBdr>
    </w:div>
    <w:div w:id="1542204409">
      <w:bodyDiv w:val="1"/>
      <w:marLeft w:val="0"/>
      <w:marRight w:val="0"/>
      <w:marTop w:val="0"/>
      <w:marBottom w:val="0"/>
      <w:divBdr>
        <w:top w:val="none" w:sz="0" w:space="0" w:color="auto"/>
        <w:left w:val="none" w:sz="0" w:space="0" w:color="auto"/>
        <w:bottom w:val="none" w:sz="0" w:space="0" w:color="auto"/>
        <w:right w:val="none" w:sz="0" w:space="0" w:color="auto"/>
      </w:divBdr>
    </w:div>
    <w:div w:id="1629163301">
      <w:bodyDiv w:val="1"/>
      <w:marLeft w:val="0"/>
      <w:marRight w:val="0"/>
      <w:marTop w:val="0"/>
      <w:marBottom w:val="0"/>
      <w:divBdr>
        <w:top w:val="none" w:sz="0" w:space="0" w:color="auto"/>
        <w:left w:val="none" w:sz="0" w:space="0" w:color="auto"/>
        <w:bottom w:val="none" w:sz="0" w:space="0" w:color="auto"/>
        <w:right w:val="none" w:sz="0" w:space="0" w:color="auto"/>
      </w:divBdr>
    </w:div>
    <w:div w:id="1674792765">
      <w:bodyDiv w:val="1"/>
      <w:marLeft w:val="0"/>
      <w:marRight w:val="0"/>
      <w:marTop w:val="0"/>
      <w:marBottom w:val="0"/>
      <w:divBdr>
        <w:top w:val="none" w:sz="0" w:space="0" w:color="auto"/>
        <w:left w:val="none" w:sz="0" w:space="0" w:color="auto"/>
        <w:bottom w:val="none" w:sz="0" w:space="0" w:color="auto"/>
        <w:right w:val="none" w:sz="0" w:space="0" w:color="auto"/>
      </w:divBdr>
    </w:div>
    <w:div w:id="1700428485">
      <w:bodyDiv w:val="1"/>
      <w:marLeft w:val="0"/>
      <w:marRight w:val="0"/>
      <w:marTop w:val="0"/>
      <w:marBottom w:val="0"/>
      <w:divBdr>
        <w:top w:val="none" w:sz="0" w:space="0" w:color="auto"/>
        <w:left w:val="none" w:sz="0" w:space="0" w:color="auto"/>
        <w:bottom w:val="none" w:sz="0" w:space="0" w:color="auto"/>
        <w:right w:val="none" w:sz="0" w:space="0" w:color="auto"/>
      </w:divBdr>
      <w:divsChild>
        <w:div w:id="1342582770">
          <w:marLeft w:val="0"/>
          <w:marRight w:val="0"/>
          <w:marTop w:val="0"/>
          <w:marBottom w:val="0"/>
          <w:divBdr>
            <w:top w:val="none" w:sz="0" w:space="0" w:color="auto"/>
            <w:left w:val="none" w:sz="0" w:space="0" w:color="auto"/>
            <w:bottom w:val="none" w:sz="0" w:space="0" w:color="auto"/>
            <w:right w:val="none" w:sz="0" w:space="0" w:color="auto"/>
          </w:divBdr>
          <w:divsChild>
            <w:div w:id="1898778927">
              <w:marLeft w:val="0"/>
              <w:marRight w:val="0"/>
              <w:marTop w:val="0"/>
              <w:marBottom w:val="0"/>
              <w:divBdr>
                <w:top w:val="none" w:sz="0" w:space="0" w:color="auto"/>
                <w:left w:val="none" w:sz="0" w:space="0" w:color="auto"/>
                <w:bottom w:val="none" w:sz="0" w:space="0" w:color="auto"/>
                <w:right w:val="none" w:sz="0" w:space="0" w:color="auto"/>
              </w:divBdr>
              <w:divsChild>
                <w:div w:id="975722598">
                  <w:marLeft w:val="0"/>
                  <w:marRight w:val="0"/>
                  <w:marTop w:val="0"/>
                  <w:marBottom w:val="0"/>
                  <w:divBdr>
                    <w:top w:val="none" w:sz="0" w:space="0" w:color="auto"/>
                    <w:left w:val="none" w:sz="0" w:space="0" w:color="auto"/>
                    <w:bottom w:val="none" w:sz="0" w:space="0" w:color="auto"/>
                    <w:right w:val="none" w:sz="0" w:space="0" w:color="auto"/>
                  </w:divBdr>
                  <w:divsChild>
                    <w:div w:id="1240596888">
                      <w:marLeft w:val="0"/>
                      <w:marRight w:val="0"/>
                      <w:marTop w:val="0"/>
                      <w:marBottom w:val="0"/>
                      <w:divBdr>
                        <w:top w:val="none" w:sz="0" w:space="0" w:color="auto"/>
                        <w:left w:val="none" w:sz="0" w:space="0" w:color="auto"/>
                        <w:bottom w:val="none" w:sz="0" w:space="0" w:color="auto"/>
                        <w:right w:val="none" w:sz="0" w:space="0" w:color="auto"/>
                      </w:divBdr>
                      <w:divsChild>
                        <w:div w:id="1275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530317">
      <w:bodyDiv w:val="1"/>
      <w:marLeft w:val="0"/>
      <w:marRight w:val="0"/>
      <w:marTop w:val="0"/>
      <w:marBottom w:val="0"/>
      <w:divBdr>
        <w:top w:val="none" w:sz="0" w:space="0" w:color="auto"/>
        <w:left w:val="none" w:sz="0" w:space="0" w:color="auto"/>
        <w:bottom w:val="none" w:sz="0" w:space="0" w:color="auto"/>
        <w:right w:val="none" w:sz="0" w:space="0" w:color="auto"/>
      </w:divBdr>
    </w:div>
    <w:div w:id="1831097385">
      <w:bodyDiv w:val="1"/>
      <w:marLeft w:val="0"/>
      <w:marRight w:val="0"/>
      <w:marTop w:val="0"/>
      <w:marBottom w:val="0"/>
      <w:divBdr>
        <w:top w:val="none" w:sz="0" w:space="0" w:color="auto"/>
        <w:left w:val="none" w:sz="0" w:space="0" w:color="auto"/>
        <w:bottom w:val="none" w:sz="0" w:space="0" w:color="auto"/>
        <w:right w:val="none" w:sz="0" w:space="0" w:color="auto"/>
      </w:divBdr>
    </w:div>
    <w:div w:id="1892186708">
      <w:bodyDiv w:val="1"/>
      <w:marLeft w:val="0"/>
      <w:marRight w:val="0"/>
      <w:marTop w:val="0"/>
      <w:marBottom w:val="0"/>
      <w:divBdr>
        <w:top w:val="none" w:sz="0" w:space="0" w:color="auto"/>
        <w:left w:val="none" w:sz="0" w:space="0" w:color="auto"/>
        <w:bottom w:val="none" w:sz="0" w:space="0" w:color="auto"/>
        <w:right w:val="none" w:sz="0" w:space="0" w:color="auto"/>
      </w:divBdr>
    </w:div>
    <w:div w:id="1942685272">
      <w:bodyDiv w:val="1"/>
      <w:marLeft w:val="0"/>
      <w:marRight w:val="0"/>
      <w:marTop w:val="0"/>
      <w:marBottom w:val="0"/>
      <w:divBdr>
        <w:top w:val="none" w:sz="0" w:space="0" w:color="auto"/>
        <w:left w:val="none" w:sz="0" w:space="0" w:color="auto"/>
        <w:bottom w:val="none" w:sz="0" w:space="0" w:color="auto"/>
        <w:right w:val="none" w:sz="0" w:space="0" w:color="auto"/>
      </w:divBdr>
    </w:div>
    <w:div w:id="1951666241">
      <w:bodyDiv w:val="1"/>
      <w:marLeft w:val="0"/>
      <w:marRight w:val="0"/>
      <w:marTop w:val="0"/>
      <w:marBottom w:val="0"/>
      <w:divBdr>
        <w:top w:val="none" w:sz="0" w:space="0" w:color="auto"/>
        <w:left w:val="none" w:sz="0" w:space="0" w:color="auto"/>
        <w:bottom w:val="none" w:sz="0" w:space="0" w:color="auto"/>
        <w:right w:val="none" w:sz="0" w:space="0" w:color="auto"/>
      </w:divBdr>
    </w:div>
    <w:div w:id="1986465629">
      <w:bodyDiv w:val="1"/>
      <w:marLeft w:val="0"/>
      <w:marRight w:val="0"/>
      <w:marTop w:val="0"/>
      <w:marBottom w:val="0"/>
      <w:divBdr>
        <w:top w:val="none" w:sz="0" w:space="0" w:color="auto"/>
        <w:left w:val="none" w:sz="0" w:space="0" w:color="auto"/>
        <w:bottom w:val="none" w:sz="0" w:space="0" w:color="auto"/>
        <w:right w:val="none" w:sz="0" w:space="0" w:color="auto"/>
      </w:divBdr>
    </w:div>
    <w:div w:id="2029330577">
      <w:bodyDiv w:val="1"/>
      <w:marLeft w:val="0"/>
      <w:marRight w:val="0"/>
      <w:marTop w:val="0"/>
      <w:marBottom w:val="0"/>
      <w:divBdr>
        <w:top w:val="none" w:sz="0" w:space="0" w:color="auto"/>
        <w:left w:val="none" w:sz="0" w:space="0" w:color="auto"/>
        <w:bottom w:val="none" w:sz="0" w:space="0" w:color="auto"/>
        <w:right w:val="none" w:sz="0" w:space="0" w:color="auto"/>
      </w:divBdr>
    </w:div>
    <w:div w:id="20735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jasse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7233C-2D6C-46CF-8B0A-184FA25A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1133</Characters>
  <Application>Microsoft Office Word</Application>
  <DocSecurity>4</DocSecurity>
  <Lines>9</Lines>
  <Paragraphs>2</Paragraphs>
  <ScaleCrop>false</ScaleCrop>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刘苗雨</dc:creator>
  <cp:lastModifiedBy>ZHONGM</cp:lastModifiedBy>
  <cp:revision>2</cp:revision>
  <dcterms:created xsi:type="dcterms:W3CDTF">2025-11-05T16:01:00Z</dcterms:created>
  <dcterms:modified xsi:type="dcterms:W3CDTF">2025-11-05T16:01:00Z</dcterms:modified>
</cp:coreProperties>
</file>