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0C6" w:rsidRPr="00757AF4" w:rsidRDefault="008752F6" w:rsidP="008752F6">
      <w:pPr>
        <w:spacing w:line="360" w:lineRule="auto"/>
        <w:jc w:val="center"/>
        <w:rPr>
          <w:rFonts w:asciiTheme="minorEastAsia" w:hAnsiTheme="minorEastAsia"/>
          <w:b/>
          <w:sz w:val="24"/>
          <w:szCs w:val="24"/>
        </w:rPr>
      </w:pPr>
      <w:r w:rsidRPr="00757AF4">
        <w:rPr>
          <w:rFonts w:asciiTheme="minorEastAsia" w:hAnsiTheme="minorEastAsia" w:hint="eastAsia"/>
          <w:b/>
          <w:sz w:val="24"/>
          <w:szCs w:val="24"/>
        </w:rPr>
        <w:t>诺德基金管理有限公司关于调整旗下部分基金风险等级的公告</w:t>
      </w:r>
    </w:p>
    <w:p w:rsidR="008752F6" w:rsidRPr="00757AF4" w:rsidRDefault="008752F6" w:rsidP="008752F6">
      <w:pPr>
        <w:spacing w:line="360" w:lineRule="auto"/>
        <w:ind w:firstLineChars="200" w:firstLine="480"/>
        <w:rPr>
          <w:rFonts w:asciiTheme="minorEastAsia" w:hAnsiTheme="minorEastAsia"/>
          <w:sz w:val="24"/>
          <w:szCs w:val="24"/>
        </w:rPr>
      </w:pPr>
    </w:p>
    <w:p w:rsidR="008752F6" w:rsidRPr="00757AF4" w:rsidRDefault="008752F6" w:rsidP="008752F6">
      <w:pPr>
        <w:spacing w:line="360" w:lineRule="auto"/>
        <w:ind w:firstLineChars="200" w:firstLine="480"/>
        <w:rPr>
          <w:rFonts w:asciiTheme="minorEastAsia" w:hAnsiTheme="minorEastAsia"/>
          <w:sz w:val="24"/>
          <w:szCs w:val="24"/>
        </w:rPr>
      </w:pPr>
      <w:r w:rsidRPr="00757AF4">
        <w:rPr>
          <w:rFonts w:asciiTheme="minorEastAsia" w:hAnsiTheme="minorEastAsia" w:hint="eastAsia"/>
          <w:sz w:val="24"/>
          <w:szCs w:val="24"/>
        </w:rPr>
        <w:t>根据《证券期货投资者适当性管理办法》</w:t>
      </w:r>
      <w:r w:rsidR="007A4798">
        <w:rPr>
          <w:rFonts w:asciiTheme="minorEastAsia" w:hAnsiTheme="minorEastAsia" w:hint="eastAsia"/>
          <w:sz w:val="24"/>
          <w:szCs w:val="24"/>
        </w:rPr>
        <w:t>、《基金募集机构投资者适当性管理实施指引（试行）》等相关法律法规</w:t>
      </w:r>
      <w:r w:rsidRPr="00757AF4">
        <w:rPr>
          <w:rFonts w:asciiTheme="minorEastAsia" w:hAnsiTheme="minorEastAsia" w:hint="eastAsia"/>
          <w:sz w:val="24"/>
          <w:szCs w:val="24"/>
        </w:rPr>
        <w:t>规定，以及《诺德基金管理有限公司基金产品风险等级划分规则说明》</w:t>
      </w:r>
      <w:r w:rsidR="000F2D1D">
        <w:rPr>
          <w:rFonts w:asciiTheme="minorEastAsia" w:hAnsiTheme="minorEastAsia" w:hint="eastAsia"/>
          <w:sz w:val="24"/>
          <w:szCs w:val="24"/>
        </w:rPr>
        <w:t>、</w:t>
      </w:r>
      <w:r w:rsidR="000F2D1D" w:rsidRPr="000F2D1D">
        <w:rPr>
          <w:rFonts w:asciiTheme="minorEastAsia" w:hAnsiTheme="minorEastAsia" w:hint="eastAsia"/>
          <w:sz w:val="24"/>
          <w:szCs w:val="24"/>
        </w:rPr>
        <w:t>银河证券基金研究中心适当性评级的最新调整</w:t>
      </w:r>
      <w:r w:rsidR="000F2D1D">
        <w:rPr>
          <w:rFonts w:asciiTheme="minorEastAsia" w:hAnsiTheme="minorEastAsia" w:hint="eastAsia"/>
          <w:sz w:val="24"/>
          <w:szCs w:val="24"/>
        </w:rPr>
        <w:t>，</w:t>
      </w:r>
      <w:r w:rsidRPr="00757AF4">
        <w:rPr>
          <w:rFonts w:asciiTheme="minorEastAsia" w:hAnsiTheme="minorEastAsia" w:hint="eastAsia"/>
          <w:sz w:val="24"/>
          <w:szCs w:val="24"/>
        </w:rPr>
        <w:t>诺德基金管理有限公司（以下简称“公司”）决定自202</w:t>
      </w:r>
      <w:r w:rsidR="005F2B96">
        <w:rPr>
          <w:rFonts w:asciiTheme="minorEastAsia" w:hAnsiTheme="minorEastAsia"/>
          <w:sz w:val="24"/>
          <w:szCs w:val="24"/>
        </w:rPr>
        <w:t>5</w:t>
      </w:r>
      <w:r w:rsidRPr="00757AF4">
        <w:rPr>
          <w:rFonts w:asciiTheme="minorEastAsia" w:hAnsiTheme="minorEastAsia" w:hint="eastAsia"/>
          <w:sz w:val="24"/>
          <w:szCs w:val="24"/>
        </w:rPr>
        <w:t>年</w:t>
      </w:r>
      <w:r w:rsidR="005F2B96">
        <w:rPr>
          <w:rFonts w:asciiTheme="minorEastAsia" w:hAnsiTheme="minorEastAsia"/>
          <w:sz w:val="24"/>
          <w:szCs w:val="24"/>
        </w:rPr>
        <w:t>11</w:t>
      </w:r>
      <w:r w:rsidRPr="00757AF4">
        <w:rPr>
          <w:rFonts w:asciiTheme="minorEastAsia" w:hAnsiTheme="minorEastAsia" w:hint="eastAsia"/>
          <w:sz w:val="24"/>
          <w:szCs w:val="24"/>
        </w:rPr>
        <w:t>月</w:t>
      </w:r>
      <w:r w:rsidR="005F2B96">
        <w:rPr>
          <w:rFonts w:asciiTheme="minorEastAsia" w:hAnsiTheme="minorEastAsia" w:hint="eastAsia"/>
          <w:sz w:val="24"/>
          <w:szCs w:val="24"/>
        </w:rPr>
        <w:t>10</w:t>
      </w:r>
      <w:r w:rsidRPr="00757AF4">
        <w:rPr>
          <w:rFonts w:asciiTheme="minorEastAsia" w:hAnsiTheme="minorEastAsia" w:hint="eastAsia"/>
          <w:sz w:val="24"/>
          <w:szCs w:val="24"/>
        </w:rPr>
        <w:t>日起调整旗下部分基金的风险等级，具体如下：</w:t>
      </w:r>
      <w:r w:rsidR="00597233">
        <w:rPr>
          <w:rFonts w:asciiTheme="minorEastAsia" w:hAnsiTheme="minorEastAsia"/>
          <w:sz w:val="24"/>
          <w:szCs w:val="24"/>
        </w:rPr>
        <w:br/>
      </w:r>
    </w:p>
    <w:tbl>
      <w:tblPr>
        <w:tblStyle w:val="a3"/>
        <w:tblW w:w="0" w:type="auto"/>
        <w:tblLook w:val="04A0"/>
      </w:tblPr>
      <w:tblGrid>
        <w:gridCol w:w="3397"/>
        <w:gridCol w:w="1567"/>
        <w:gridCol w:w="1629"/>
        <w:gridCol w:w="1703"/>
      </w:tblGrid>
      <w:tr w:rsidR="00757AF4" w:rsidTr="00B56218">
        <w:tc>
          <w:tcPr>
            <w:tcW w:w="3397" w:type="dxa"/>
            <w:vAlign w:val="center"/>
          </w:tcPr>
          <w:p w:rsidR="00757AF4" w:rsidRPr="00757AF4" w:rsidRDefault="00757AF4" w:rsidP="00B56218">
            <w:pPr>
              <w:spacing w:line="360" w:lineRule="auto"/>
              <w:jc w:val="center"/>
              <w:rPr>
                <w:rFonts w:asciiTheme="minorEastAsia" w:hAnsiTheme="minorEastAsia"/>
                <w:szCs w:val="21"/>
              </w:rPr>
            </w:pPr>
            <w:r w:rsidRPr="00757AF4">
              <w:rPr>
                <w:rFonts w:asciiTheme="minorEastAsia" w:hAnsiTheme="minorEastAsia"/>
                <w:szCs w:val="21"/>
              </w:rPr>
              <w:t>基金名称</w:t>
            </w:r>
          </w:p>
        </w:tc>
        <w:tc>
          <w:tcPr>
            <w:tcW w:w="1567" w:type="dxa"/>
            <w:vAlign w:val="center"/>
          </w:tcPr>
          <w:p w:rsidR="00757AF4" w:rsidRPr="00757AF4" w:rsidRDefault="00757AF4" w:rsidP="00B56218">
            <w:pPr>
              <w:spacing w:line="360" w:lineRule="auto"/>
              <w:jc w:val="center"/>
              <w:rPr>
                <w:rFonts w:asciiTheme="minorEastAsia" w:hAnsiTheme="minorEastAsia"/>
                <w:szCs w:val="21"/>
              </w:rPr>
            </w:pPr>
            <w:r w:rsidRPr="00757AF4">
              <w:rPr>
                <w:rFonts w:asciiTheme="minorEastAsia" w:hAnsiTheme="minorEastAsia"/>
                <w:szCs w:val="21"/>
              </w:rPr>
              <w:t>基金代码</w:t>
            </w:r>
          </w:p>
        </w:tc>
        <w:tc>
          <w:tcPr>
            <w:tcW w:w="1629" w:type="dxa"/>
            <w:vAlign w:val="center"/>
          </w:tcPr>
          <w:p w:rsidR="00757AF4" w:rsidRPr="00757AF4" w:rsidRDefault="00757AF4" w:rsidP="00B56218">
            <w:pPr>
              <w:spacing w:line="360" w:lineRule="auto"/>
              <w:jc w:val="center"/>
              <w:rPr>
                <w:rFonts w:asciiTheme="minorEastAsia" w:hAnsiTheme="minorEastAsia"/>
                <w:szCs w:val="21"/>
              </w:rPr>
            </w:pPr>
            <w:r w:rsidRPr="00757AF4">
              <w:rPr>
                <w:rFonts w:asciiTheme="minorEastAsia" w:hAnsiTheme="minorEastAsia"/>
                <w:szCs w:val="21"/>
              </w:rPr>
              <w:t>调整前风险等级</w:t>
            </w:r>
          </w:p>
        </w:tc>
        <w:tc>
          <w:tcPr>
            <w:tcW w:w="1703" w:type="dxa"/>
            <w:vAlign w:val="center"/>
          </w:tcPr>
          <w:p w:rsidR="00757AF4" w:rsidRPr="00757AF4" w:rsidRDefault="00757AF4" w:rsidP="00B56218">
            <w:pPr>
              <w:spacing w:line="360" w:lineRule="auto"/>
              <w:jc w:val="center"/>
              <w:rPr>
                <w:rFonts w:asciiTheme="minorEastAsia" w:hAnsiTheme="minorEastAsia"/>
                <w:szCs w:val="21"/>
              </w:rPr>
            </w:pPr>
            <w:r w:rsidRPr="00757AF4">
              <w:rPr>
                <w:rFonts w:asciiTheme="minorEastAsia" w:hAnsiTheme="minorEastAsia"/>
                <w:szCs w:val="21"/>
              </w:rPr>
              <w:t>调整后风险等级</w:t>
            </w:r>
          </w:p>
        </w:tc>
      </w:tr>
      <w:tr w:rsidR="00757AF4" w:rsidTr="00B56218">
        <w:tc>
          <w:tcPr>
            <w:tcW w:w="3397" w:type="dxa"/>
            <w:vAlign w:val="center"/>
          </w:tcPr>
          <w:p w:rsidR="00757AF4" w:rsidRPr="00757AF4" w:rsidRDefault="005F2B96" w:rsidP="00B56218">
            <w:pPr>
              <w:jc w:val="center"/>
              <w:rPr>
                <w:rFonts w:asciiTheme="minorEastAsia" w:hAnsiTheme="minorEastAsia"/>
                <w:szCs w:val="21"/>
              </w:rPr>
            </w:pPr>
            <w:r w:rsidRPr="005F2B96">
              <w:rPr>
                <w:rFonts w:asciiTheme="minorEastAsia" w:hAnsiTheme="minorEastAsia" w:hint="eastAsia"/>
                <w:szCs w:val="21"/>
              </w:rPr>
              <w:t>诺德增强收益债券型证券投资基金</w:t>
            </w:r>
          </w:p>
        </w:tc>
        <w:tc>
          <w:tcPr>
            <w:tcW w:w="1567" w:type="dxa"/>
            <w:vAlign w:val="center"/>
          </w:tcPr>
          <w:p w:rsidR="00757AF4" w:rsidRPr="00757AF4" w:rsidRDefault="005F2B96" w:rsidP="00B56218">
            <w:pPr>
              <w:spacing w:line="360" w:lineRule="auto"/>
              <w:jc w:val="center"/>
              <w:rPr>
                <w:rFonts w:asciiTheme="minorEastAsia" w:hAnsiTheme="minorEastAsia"/>
                <w:szCs w:val="21"/>
              </w:rPr>
            </w:pPr>
            <w:r w:rsidRPr="005F2B96">
              <w:rPr>
                <w:rFonts w:asciiTheme="minorEastAsia" w:hAnsiTheme="minorEastAsia"/>
                <w:szCs w:val="21"/>
              </w:rPr>
              <w:t>573003</w:t>
            </w:r>
          </w:p>
        </w:tc>
        <w:tc>
          <w:tcPr>
            <w:tcW w:w="1629" w:type="dxa"/>
            <w:vAlign w:val="center"/>
          </w:tcPr>
          <w:p w:rsidR="00757AF4" w:rsidRPr="00757AF4" w:rsidRDefault="00757AF4" w:rsidP="00B56218">
            <w:pPr>
              <w:spacing w:line="360" w:lineRule="auto"/>
              <w:jc w:val="center"/>
              <w:rPr>
                <w:rFonts w:asciiTheme="minorEastAsia" w:hAnsiTheme="minorEastAsia"/>
                <w:szCs w:val="21"/>
              </w:rPr>
            </w:pPr>
            <w:r>
              <w:rPr>
                <w:rFonts w:asciiTheme="minorEastAsia" w:hAnsiTheme="minorEastAsia" w:hint="eastAsia"/>
                <w:szCs w:val="21"/>
              </w:rPr>
              <w:t>R</w:t>
            </w:r>
            <w:r w:rsidR="005F2B96">
              <w:rPr>
                <w:rFonts w:asciiTheme="minorEastAsia" w:hAnsiTheme="minorEastAsia"/>
                <w:szCs w:val="21"/>
              </w:rPr>
              <w:t>2</w:t>
            </w:r>
          </w:p>
        </w:tc>
        <w:tc>
          <w:tcPr>
            <w:tcW w:w="1703" w:type="dxa"/>
            <w:vAlign w:val="center"/>
          </w:tcPr>
          <w:p w:rsidR="00757AF4" w:rsidRPr="00757AF4" w:rsidRDefault="00757AF4" w:rsidP="00B56218">
            <w:pPr>
              <w:spacing w:line="360" w:lineRule="auto"/>
              <w:jc w:val="center"/>
              <w:rPr>
                <w:rFonts w:asciiTheme="minorEastAsia" w:hAnsiTheme="minorEastAsia"/>
                <w:szCs w:val="21"/>
              </w:rPr>
            </w:pPr>
            <w:r>
              <w:rPr>
                <w:rFonts w:asciiTheme="minorEastAsia" w:hAnsiTheme="minorEastAsia" w:hint="eastAsia"/>
                <w:szCs w:val="21"/>
              </w:rPr>
              <w:t>R</w:t>
            </w:r>
            <w:r w:rsidR="005F2B96">
              <w:rPr>
                <w:rFonts w:asciiTheme="minorEastAsia" w:hAnsiTheme="minorEastAsia"/>
                <w:szCs w:val="21"/>
              </w:rPr>
              <w:t>3</w:t>
            </w:r>
          </w:p>
        </w:tc>
      </w:tr>
    </w:tbl>
    <w:p w:rsidR="000F2D1D" w:rsidRDefault="000F2D1D" w:rsidP="008752F6">
      <w:pPr>
        <w:spacing w:line="360" w:lineRule="auto"/>
        <w:rPr>
          <w:rFonts w:asciiTheme="minorEastAsia" w:hAnsiTheme="minorEastAsia"/>
          <w:sz w:val="24"/>
          <w:szCs w:val="24"/>
        </w:rPr>
      </w:pPr>
    </w:p>
    <w:p w:rsidR="008752F6" w:rsidRPr="00757AF4" w:rsidRDefault="008752F6" w:rsidP="008752F6">
      <w:pPr>
        <w:spacing w:line="360" w:lineRule="auto"/>
        <w:rPr>
          <w:rFonts w:asciiTheme="minorEastAsia" w:hAnsiTheme="minorEastAsia"/>
          <w:sz w:val="24"/>
          <w:szCs w:val="24"/>
        </w:rPr>
      </w:pPr>
      <w:r w:rsidRPr="00757AF4">
        <w:rPr>
          <w:rFonts w:asciiTheme="minorEastAsia" w:hAnsiTheme="minorEastAsia"/>
          <w:sz w:val="24"/>
          <w:szCs w:val="24"/>
        </w:rPr>
        <w:t>风险提示：</w:t>
      </w:r>
    </w:p>
    <w:p w:rsidR="008752F6" w:rsidRPr="000F2D1D" w:rsidRDefault="00757AF4" w:rsidP="00B56218">
      <w:pPr>
        <w:spacing w:line="360" w:lineRule="auto"/>
        <w:ind w:firstLineChars="200" w:firstLine="480"/>
        <w:rPr>
          <w:rFonts w:asciiTheme="minorEastAsia" w:hAnsiTheme="minorEastAsia"/>
          <w:sz w:val="24"/>
          <w:szCs w:val="24"/>
        </w:rPr>
      </w:pPr>
      <w:r w:rsidRPr="00757AF4">
        <w:rPr>
          <w:rFonts w:asciiTheme="minorEastAsia" w:hAnsiTheme="minorEastAsia"/>
          <w:sz w:val="24"/>
          <w:szCs w:val="24"/>
        </w:rPr>
        <w:t>1、</w:t>
      </w:r>
      <w:r w:rsidR="008752F6" w:rsidRPr="000F2D1D">
        <w:rPr>
          <w:rFonts w:asciiTheme="minorEastAsia" w:hAnsiTheme="minorEastAsia" w:hint="eastAsia"/>
          <w:sz w:val="24"/>
          <w:szCs w:val="24"/>
        </w:rPr>
        <w:t>销售机构根据投资者适当性法律</w:t>
      </w:r>
      <w:r w:rsidR="000F2D1D" w:rsidRPr="000F2D1D">
        <w:rPr>
          <w:rFonts w:asciiTheme="minorEastAsia" w:hAnsiTheme="minorEastAsia" w:hint="eastAsia"/>
          <w:sz w:val="24"/>
          <w:szCs w:val="24"/>
        </w:rPr>
        <w:t>法</w:t>
      </w:r>
      <w:r w:rsidR="008752F6" w:rsidRPr="000F2D1D">
        <w:rPr>
          <w:rFonts w:asciiTheme="minorEastAsia" w:hAnsiTheme="minorEastAsia" w:hint="eastAsia"/>
          <w:sz w:val="24"/>
          <w:szCs w:val="24"/>
        </w:rPr>
        <w:t>规对基金进行风险评价，不同的机构采用的评价方法不同，</w:t>
      </w:r>
      <w:r w:rsidR="000F2D1D" w:rsidRPr="000F2D1D">
        <w:rPr>
          <w:rFonts w:asciiTheme="minorEastAsia" w:hAnsiTheme="minorEastAsia" w:hint="eastAsia"/>
          <w:sz w:val="24"/>
          <w:szCs w:val="24"/>
        </w:rPr>
        <w:t>因此不同销售机构对基金的风险等级评价结果可能存在不同，但不得低于基金管理人作出的风险等级评价结果。</w:t>
      </w:r>
    </w:p>
    <w:p w:rsidR="007A4798" w:rsidRPr="007A4798" w:rsidRDefault="00757AF4" w:rsidP="00B56218">
      <w:pPr>
        <w:spacing w:line="360" w:lineRule="auto"/>
        <w:ind w:firstLineChars="200" w:firstLine="480"/>
        <w:rPr>
          <w:rFonts w:asciiTheme="minorEastAsia" w:hAnsiTheme="minorEastAsia"/>
          <w:sz w:val="24"/>
          <w:szCs w:val="24"/>
        </w:rPr>
      </w:pPr>
      <w:r w:rsidRPr="00757AF4">
        <w:rPr>
          <w:rFonts w:asciiTheme="minorEastAsia" w:hAnsiTheme="minorEastAsia"/>
          <w:sz w:val="24"/>
          <w:szCs w:val="24"/>
        </w:rPr>
        <w:t>2、</w:t>
      </w:r>
      <w:r w:rsidR="007A4798" w:rsidRPr="007A4798">
        <w:rPr>
          <w:rFonts w:asciiTheme="minorEastAsia" w:hAnsiTheme="minorEastAsia" w:hint="eastAsia"/>
          <w:sz w:val="24"/>
          <w:szCs w:val="24"/>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0F2D1D" w:rsidRDefault="00757AF4" w:rsidP="00B56218">
      <w:pPr>
        <w:spacing w:line="360" w:lineRule="auto"/>
        <w:ind w:firstLineChars="200" w:firstLine="480"/>
        <w:rPr>
          <w:rFonts w:asciiTheme="minorEastAsia" w:hAnsiTheme="minorEastAsia"/>
        </w:rPr>
      </w:pPr>
      <w:r w:rsidRPr="00757AF4">
        <w:rPr>
          <w:rFonts w:asciiTheme="minorEastAsia" w:hAnsiTheme="minorEastAsia"/>
          <w:sz w:val="24"/>
          <w:szCs w:val="24"/>
        </w:rPr>
        <w:t>3、</w:t>
      </w:r>
      <w:r w:rsidRPr="00757AF4">
        <w:rPr>
          <w:rFonts w:asciiTheme="minorEastAsia" w:hAnsiTheme="minorEastAsia" w:hint="eastAsia"/>
          <w:sz w:val="24"/>
          <w:szCs w:val="24"/>
        </w:rPr>
        <w:t xml:space="preserve">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 </w:t>
      </w:r>
    </w:p>
    <w:p w:rsidR="00757AF4" w:rsidRDefault="000F2D1D" w:rsidP="00B56218">
      <w:pPr>
        <w:pStyle w:val="Default"/>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hAnsiTheme="minorEastAsia" w:hint="eastAsia"/>
        </w:rPr>
        <w:t>如有疑问，请拨打本公司客户服务热线：400-888-0009，或登录本公司网站www.nuodefund.com获取相关信息。</w:t>
      </w:r>
    </w:p>
    <w:p w:rsidR="00757AF4" w:rsidRPr="000F2D1D" w:rsidRDefault="00757AF4" w:rsidP="00757AF4">
      <w:pPr>
        <w:spacing w:line="360" w:lineRule="auto"/>
        <w:rPr>
          <w:rFonts w:asciiTheme="minorEastAsia" w:hAnsiTheme="minorEastAsia"/>
          <w:kern w:val="0"/>
          <w:sz w:val="24"/>
          <w:szCs w:val="24"/>
        </w:rPr>
      </w:pPr>
    </w:p>
    <w:p w:rsidR="00757AF4" w:rsidRPr="00757AF4" w:rsidRDefault="00757AF4" w:rsidP="00B56218">
      <w:pPr>
        <w:spacing w:line="360" w:lineRule="auto"/>
        <w:ind w:firstLineChars="200" w:firstLine="480"/>
        <w:rPr>
          <w:rFonts w:asciiTheme="minorEastAsia" w:hAnsiTheme="minorEastAsia"/>
          <w:sz w:val="24"/>
          <w:szCs w:val="24"/>
        </w:rPr>
      </w:pPr>
      <w:r w:rsidRPr="00757AF4">
        <w:rPr>
          <w:rFonts w:asciiTheme="minorEastAsia" w:hAnsiTheme="minorEastAsia" w:hint="eastAsia"/>
          <w:kern w:val="0"/>
          <w:sz w:val="24"/>
          <w:szCs w:val="24"/>
        </w:rPr>
        <w:t>特此公告。</w:t>
      </w:r>
    </w:p>
    <w:p w:rsidR="00757AF4" w:rsidRPr="00757AF4" w:rsidRDefault="00757AF4" w:rsidP="008752F6">
      <w:pPr>
        <w:spacing w:line="360" w:lineRule="auto"/>
        <w:rPr>
          <w:rFonts w:asciiTheme="minorEastAsia" w:hAnsiTheme="minorEastAsia"/>
          <w:sz w:val="24"/>
          <w:szCs w:val="24"/>
        </w:rPr>
      </w:pPr>
    </w:p>
    <w:p w:rsidR="00757AF4" w:rsidRPr="00757AF4" w:rsidRDefault="00757AF4" w:rsidP="008752F6">
      <w:pPr>
        <w:spacing w:line="360" w:lineRule="auto"/>
        <w:rPr>
          <w:rFonts w:asciiTheme="minorEastAsia" w:hAnsiTheme="minorEastAsia"/>
          <w:sz w:val="24"/>
          <w:szCs w:val="24"/>
        </w:rPr>
      </w:pPr>
    </w:p>
    <w:p w:rsidR="008752F6" w:rsidRPr="00757AF4" w:rsidRDefault="008752F6" w:rsidP="00757AF4">
      <w:pPr>
        <w:spacing w:line="360" w:lineRule="auto"/>
        <w:ind w:firstLineChars="2000" w:firstLine="4800"/>
        <w:rPr>
          <w:rFonts w:asciiTheme="minorEastAsia" w:hAnsiTheme="minorEastAsia"/>
          <w:sz w:val="24"/>
          <w:szCs w:val="24"/>
        </w:rPr>
      </w:pPr>
      <w:r w:rsidRPr="00757AF4">
        <w:rPr>
          <w:rFonts w:asciiTheme="minorEastAsia" w:hAnsiTheme="minorEastAsia" w:hint="eastAsia"/>
          <w:sz w:val="24"/>
          <w:szCs w:val="24"/>
        </w:rPr>
        <w:t>诺德基金管理有限公司</w:t>
      </w:r>
    </w:p>
    <w:p w:rsidR="008752F6" w:rsidRPr="00757AF4" w:rsidRDefault="00757AF4" w:rsidP="00757AF4">
      <w:pPr>
        <w:spacing w:line="360" w:lineRule="auto"/>
        <w:ind w:firstLineChars="2100" w:firstLine="5040"/>
        <w:rPr>
          <w:rFonts w:asciiTheme="minorEastAsia" w:hAnsiTheme="minorEastAsia"/>
          <w:sz w:val="24"/>
          <w:szCs w:val="24"/>
        </w:rPr>
      </w:pPr>
      <w:r w:rsidRPr="00757AF4">
        <w:rPr>
          <w:rFonts w:asciiTheme="minorEastAsia" w:hAnsiTheme="minorEastAsia" w:hint="eastAsia"/>
          <w:sz w:val="24"/>
          <w:szCs w:val="24"/>
        </w:rPr>
        <w:t>202</w:t>
      </w:r>
      <w:r w:rsidR="005F2B96">
        <w:rPr>
          <w:rFonts w:asciiTheme="minorEastAsia" w:hAnsiTheme="minorEastAsia"/>
          <w:sz w:val="24"/>
          <w:szCs w:val="24"/>
        </w:rPr>
        <w:t>5</w:t>
      </w:r>
      <w:r w:rsidR="008752F6" w:rsidRPr="00757AF4">
        <w:rPr>
          <w:rFonts w:asciiTheme="minorEastAsia" w:hAnsiTheme="minorEastAsia" w:hint="eastAsia"/>
          <w:sz w:val="24"/>
          <w:szCs w:val="24"/>
        </w:rPr>
        <w:t>年</w:t>
      </w:r>
      <w:r w:rsidR="005F2B96">
        <w:rPr>
          <w:rFonts w:asciiTheme="minorEastAsia" w:hAnsiTheme="minorEastAsia"/>
          <w:sz w:val="24"/>
          <w:szCs w:val="24"/>
        </w:rPr>
        <w:t>11</w:t>
      </w:r>
      <w:r w:rsidR="008752F6" w:rsidRPr="00757AF4">
        <w:rPr>
          <w:rFonts w:asciiTheme="minorEastAsia" w:hAnsiTheme="minorEastAsia" w:hint="eastAsia"/>
          <w:sz w:val="24"/>
          <w:szCs w:val="24"/>
        </w:rPr>
        <w:t>月</w:t>
      </w:r>
      <w:r w:rsidR="005F2B96">
        <w:rPr>
          <w:rFonts w:asciiTheme="minorEastAsia" w:hAnsiTheme="minorEastAsia"/>
          <w:sz w:val="24"/>
          <w:szCs w:val="24"/>
        </w:rPr>
        <w:t>5</w:t>
      </w:r>
      <w:bookmarkStart w:id="0" w:name="_GoBack"/>
      <w:bookmarkEnd w:id="0"/>
      <w:r w:rsidR="008752F6" w:rsidRPr="00757AF4">
        <w:rPr>
          <w:rFonts w:asciiTheme="minorEastAsia" w:hAnsiTheme="minorEastAsia" w:hint="eastAsia"/>
          <w:sz w:val="24"/>
          <w:szCs w:val="24"/>
        </w:rPr>
        <w:t>日</w:t>
      </w:r>
    </w:p>
    <w:sectPr w:rsidR="008752F6" w:rsidRPr="00757AF4" w:rsidSect="004105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04B5"/>
    <w:rsid w:val="000F2D1D"/>
    <w:rsid w:val="002750C6"/>
    <w:rsid w:val="003B6437"/>
    <w:rsid w:val="004105C2"/>
    <w:rsid w:val="005804B5"/>
    <w:rsid w:val="00597233"/>
    <w:rsid w:val="005F2B96"/>
    <w:rsid w:val="00757AF4"/>
    <w:rsid w:val="007A4798"/>
    <w:rsid w:val="008752F6"/>
    <w:rsid w:val="009702FE"/>
    <w:rsid w:val="00B56218"/>
    <w:rsid w:val="00CB5AAC"/>
    <w:rsid w:val="00D23F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7AF4"/>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757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82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CD60C-33C7-45D0-84A1-720C0395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669</Characters>
  <Application>Microsoft Office Word</Application>
  <DocSecurity>4</DocSecurity>
  <Lines>5</Lines>
  <Paragraphs>1</Paragraphs>
  <ScaleCrop>false</ScaleCrop>
  <Company>Microsoft</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贾丰润</dc:creator>
  <cp:keywords/>
  <dc:description/>
  <cp:lastModifiedBy>ZHONGM</cp:lastModifiedBy>
  <cp:revision>2</cp:revision>
  <dcterms:created xsi:type="dcterms:W3CDTF">2025-11-04T16:00:00Z</dcterms:created>
  <dcterms:modified xsi:type="dcterms:W3CDTF">2025-11-04T16:00:00Z</dcterms:modified>
</cp:coreProperties>
</file>