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960" w:rsidRDefault="007C095F" w:rsidP="009A1F0F">
      <w:pPr>
        <w:adjustRightInd w:val="0"/>
        <w:snapToGrid w:val="0"/>
        <w:spacing w:beforeLines="50" w:afterLines="50" w:line="360" w:lineRule="auto"/>
        <w:jc w:val="center"/>
        <w:rPr>
          <w:rFonts w:ascii="宋体" w:hAnsi="宋体"/>
          <w:b/>
          <w:bCs/>
          <w:sz w:val="32"/>
          <w:szCs w:val="32"/>
        </w:rPr>
      </w:pPr>
      <w:r>
        <w:rPr>
          <w:rFonts w:ascii="宋体" w:hAnsi="宋体" w:hint="eastAsia"/>
          <w:b/>
          <w:bCs/>
          <w:sz w:val="32"/>
          <w:szCs w:val="32"/>
        </w:rPr>
        <w:t>前海开源</w:t>
      </w:r>
      <w:r w:rsidRPr="007C095F">
        <w:rPr>
          <w:rFonts w:ascii="宋体" w:hAnsi="宋体" w:hint="eastAsia"/>
          <w:b/>
          <w:bCs/>
          <w:sz w:val="32"/>
          <w:szCs w:val="32"/>
        </w:rPr>
        <w:t>基金管理有限公司关于</w:t>
      </w:r>
      <w:r w:rsidR="00047A68" w:rsidRPr="00047A68">
        <w:rPr>
          <w:rFonts w:ascii="宋体" w:hAnsi="宋体" w:hint="eastAsia"/>
          <w:b/>
          <w:bCs/>
          <w:sz w:val="32"/>
          <w:szCs w:val="32"/>
        </w:rPr>
        <w:t>前海开源北证50成份指数型发起式证券投资基金</w:t>
      </w:r>
      <w:r w:rsidR="00310684" w:rsidRPr="00310684">
        <w:rPr>
          <w:rFonts w:ascii="宋体" w:hAnsi="宋体" w:hint="eastAsia"/>
          <w:b/>
          <w:bCs/>
          <w:sz w:val="32"/>
          <w:szCs w:val="32"/>
        </w:rPr>
        <w:t>规模控制</w:t>
      </w:r>
      <w:r w:rsidRPr="007C095F">
        <w:rPr>
          <w:rFonts w:ascii="宋体" w:hAnsi="宋体" w:hint="eastAsia"/>
          <w:b/>
          <w:bCs/>
          <w:sz w:val="32"/>
          <w:szCs w:val="32"/>
        </w:rPr>
        <w:t>的公告</w:t>
      </w:r>
    </w:p>
    <w:p w:rsidR="0015710F" w:rsidRDefault="0015710F" w:rsidP="0015710F">
      <w:pPr>
        <w:adjustRightInd w:val="0"/>
        <w:snapToGrid w:val="0"/>
        <w:spacing w:line="360" w:lineRule="auto"/>
        <w:ind w:firstLineChars="200" w:firstLine="480"/>
        <w:rPr>
          <w:rFonts w:ascii="宋体" w:eastAsia="宋体" w:hAnsi="宋体"/>
          <w:bCs/>
          <w:sz w:val="24"/>
          <w:szCs w:val="24"/>
        </w:rPr>
      </w:pPr>
      <w:r w:rsidRPr="0015710F">
        <w:rPr>
          <w:rFonts w:ascii="宋体" w:eastAsia="宋体" w:hAnsi="宋体" w:hint="eastAsia"/>
          <w:bCs/>
          <w:sz w:val="24"/>
          <w:szCs w:val="24"/>
        </w:rPr>
        <w:t>根据</w:t>
      </w:r>
      <w:r>
        <w:rPr>
          <w:rFonts w:ascii="宋体" w:eastAsia="宋体" w:hAnsi="宋体" w:hint="eastAsia"/>
          <w:bCs/>
          <w:sz w:val="24"/>
          <w:szCs w:val="24"/>
        </w:rPr>
        <w:t>前海开源</w:t>
      </w:r>
      <w:r w:rsidRPr="0015710F">
        <w:rPr>
          <w:rFonts w:ascii="宋体" w:eastAsia="宋体" w:hAnsi="宋体" w:hint="eastAsia"/>
          <w:bCs/>
          <w:sz w:val="24"/>
          <w:szCs w:val="24"/>
        </w:rPr>
        <w:t>基金管理有限公司（以下简称“本基金管理人”）于202</w:t>
      </w:r>
      <w:r>
        <w:rPr>
          <w:rFonts w:ascii="宋体" w:eastAsia="宋体" w:hAnsi="宋体" w:hint="eastAsia"/>
          <w:bCs/>
          <w:sz w:val="24"/>
          <w:szCs w:val="24"/>
        </w:rPr>
        <w:t>5</w:t>
      </w:r>
      <w:r w:rsidRPr="0015710F">
        <w:rPr>
          <w:rFonts w:ascii="宋体" w:eastAsia="宋体" w:hAnsi="宋体" w:hint="eastAsia"/>
          <w:bCs/>
          <w:sz w:val="24"/>
          <w:szCs w:val="24"/>
        </w:rPr>
        <w:t>年</w:t>
      </w:r>
      <w:r>
        <w:rPr>
          <w:rFonts w:ascii="宋体" w:eastAsia="宋体" w:hAnsi="宋体" w:hint="eastAsia"/>
          <w:bCs/>
          <w:sz w:val="24"/>
          <w:szCs w:val="24"/>
        </w:rPr>
        <w:t>3</w:t>
      </w:r>
      <w:r w:rsidRPr="0015710F">
        <w:rPr>
          <w:rFonts w:ascii="宋体" w:eastAsia="宋体" w:hAnsi="宋体" w:hint="eastAsia"/>
          <w:bCs/>
          <w:sz w:val="24"/>
          <w:szCs w:val="24"/>
        </w:rPr>
        <w:t>月</w:t>
      </w:r>
      <w:r>
        <w:rPr>
          <w:rFonts w:ascii="宋体" w:eastAsia="宋体" w:hAnsi="宋体" w:hint="eastAsia"/>
          <w:bCs/>
          <w:sz w:val="24"/>
          <w:szCs w:val="24"/>
        </w:rPr>
        <w:t>17</w:t>
      </w:r>
      <w:r w:rsidRPr="0015710F">
        <w:rPr>
          <w:rFonts w:ascii="宋体" w:eastAsia="宋体" w:hAnsi="宋体" w:hint="eastAsia"/>
          <w:bCs/>
          <w:sz w:val="24"/>
          <w:szCs w:val="24"/>
        </w:rPr>
        <w:t>日发布的《前海开源北证50成份指数型发起式证券投资基金开放日常申购、赎回、转换及定投业务的公告》规定，前海开源北证50成份指数型发起式证券投资基金（A类份额基金代码</w:t>
      </w:r>
      <w:r w:rsidR="00C7154E">
        <w:rPr>
          <w:rFonts w:ascii="宋体" w:eastAsia="宋体" w:hAnsi="宋体" w:hint="eastAsia"/>
          <w:bCs/>
          <w:sz w:val="24"/>
          <w:szCs w:val="24"/>
        </w:rPr>
        <w:t>：</w:t>
      </w:r>
      <w:r w:rsidRPr="0015710F">
        <w:rPr>
          <w:rFonts w:ascii="宋体" w:eastAsia="宋体" w:hAnsi="宋体" w:hint="eastAsia"/>
          <w:bCs/>
          <w:sz w:val="24"/>
          <w:szCs w:val="24"/>
        </w:rPr>
        <w:t>0</w:t>
      </w:r>
      <w:r>
        <w:rPr>
          <w:rFonts w:ascii="宋体" w:eastAsia="宋体" w:hAnsi="宋体" w:hint="eastAsia"/>
          <w:bCs/>
          <w:sz w:val="24"/>
          <w:szCs w:val="24"/>
        </w:rPr>
        <w:t>23441</w:t>
      </w:r>
      <w:r w:rsidRPr="0015710F">
        <w:rPr>
          <w:rFonts w:ascii="宋体" w:eastAsia="宋体" w:hAnsi="宋体" w:hint="eastAsia"/>
          <w:bCs/>
          <w:sz w:val="24"/>
          <w:szCs w:val="24"/>
        </w:rPr>
        <w:t>；C类份额基金代码：</w:t>
      </w:r>
      <w:r>
        <w:rPr>
          <w:rFonts w:ascii="宋体" w:eastAsia="宋体" w:hAnsi="宋体" w:hint="eastAsia"/>
          <w:bCs/>
          <w:sz w:val="24"/>
          <w:szCs w:val="24"/>
        </w:rPr>
        <w:t>023442</w:t>
      </w:r>
      <w:r w:rsidR="00CD299F">
        <w:rPr>
          <w:rFonts w:ascii="宋体" w:eastAsia="宋体" w:hAnsi="宋体" w:hint="eastAsia"/>
          <w:bCs/>
          <w:sz w:val="24"/>
          <w:szCs w:val="24"/>
        </w:rPr>
        <w:t>；以下简称“</w:t>
      </w:r>
      <w:r>
        <w:rPr>
          <w:rFonts w:ascii="宋体" w:eastAsia="宋体" w:hAnsi="宋体" w:hint="eastAsia"/>
          <w:bCs/>
          <w:sz w:val="24"/>
          <w:szCs w:val="24"/>
        </w:rPr>
        <w:t>本基金</w:t>
      </w:r>
      <w:r w:rsidR="00CD299F">
        <w:rPr>
          <w:rFonts w:ascii="宋体" w:eastAsia="宋体" w:hAnsi="宋体" w:hint="eastAsia"/>
          <w:bCs/>
          <w:sz w:val="24"/>
          <w:szCs w:val="24"/>
        </w:rPr>
        <w:t>”</w:t>
      </w:r>
      <w:r>
        <w:rPr>
          <w:rFonts w:ascii="宋体" w:eastAsia="宋体" w:hAnsi="宋体" w:hint="eastAsia"/>
          <w:bCs/>
          <w:sz w:val="24"/>
          <w:szCs w:val="24"/>
        </w:rPr>
        <w:t>）已</w:t>
      </w:r>
      <w:r w:rsidRPr="0015710F">
        <w:rPr>
          <w:rFonts w:ascii="宋体" w:eastAsia="宋体" w:hAnsi="宋体" w:hint="eastAsia"/>
          <w:bCs/>
          <w:sz w:val="24"/>
          <w:szCs w:val="24"/>
        </w:rPr>
        <w:t>于202</w:t>
      </w:r>
      <w:r>
        <w:rPr>
          <w:rFonts w:ascii="宋体" w:eastAsia="宋体" w:hAnsi="宋体" w:hint="eastAsia"/>
          <w:bCs/>
          <w:sz w:val="24"/>
          <w:szCs w:val="24"/>
        </w:rPr>
        <w:t>5</w:t>
      </w:r>
      <w:r w:rsidRPr="0015710F">
        <w:rPr>
          <w:rFonts w:ascii="宋体" w:eastAsia="宋体" w:hAnsi="宋体" w:hint="eastAsia"/>
          <w:bCs/>
          <w:sz w:val="24"/>
          <w:szCs w:val="24"/>
        </w:rPr>
        <w:t>年</w:t>
      </w:r>
      <w:r>
        <w:rPr>
          <w:rFonts w:ascii="宋体" w:eastAsia="宋体" w:hAnsi="宋体" w:hint="eastAsia"/>
          <w:bCs/>
          <w:sz w:val="24"/>
          <w:szCs w:val="24"/>
        </w:rPr>
        <w:t>3</w:t>
      </w:r>
      <w:r w:rsidRPr="0015710F">
        <w:rPr>
          <w:rFonts w:ascii="宋体" w:eastAsia="宋体" w:hAnsi="宋体" w:hint="eastAsia"/>
          <w:bCs/>
          <w:sz w:val="24"/>
          <w:szCs w:val="24"/>
        </w:rPr>
        <w:t>月</w:t>
      </w:r>
      <w:r>
        <w:rPr>
          <w:rFonts w:ascii="宋体" w:eastAsia="宋体" w:hAnsi="宋体" w:hint="eastAsia"/>
          <w:bCs/>
          <w:sz w:val="24"/>
          <w:szCs w:val="24"/>
        </w:rPr>
        <w:t>19日起开放日常申购、赎回、转换和定投业务。</w:t>
      </w:r>
    </w:p>
    <w:p w:rsidR="0015710F" w:rsidRPr="0015710F" w:rsidRDefault="0015710F" w:rsidP="0015710F">
      <w:pPr>
        <w:adjustRightInd w:val="0"/>
        <w:snapToGrid w:val="0"/>
        <w:spacing w:line="360" w:lineRule="auto"/>
        <w:ind w:firstLineChars="200" w:firstLine="480"/>
        <w:rPr>
          <w:rFonts w:ascii="宋体" w:eastAsia="宋体" w:hAnsi="宋体"/>
          <w:bCs/>
          <w:sz w:val="24"/>
          <w:szCs w:val="24"/>
        </w:rPr>
      </w:pPr>
      <w:r w:rsidRPr="0015710F">
        <w:rPr>
          <w:rFonts w:ascii="宋体" w:eastAsia="宋体" w:hAnsi="宋体" w:hint="eastAsia"/>
          <w:bCs/>
          <w:sz w:val="24"/>
          <w:szCs w:val="24"/>
        </w:rPr>
        <w:t>为更好地维护基金份额持有人的利益，</w:t>
      </w:r>
      <w:r>
        <w:rPr>
          <w:rFonts w:ascii="宋体" w:eastAsia="宋体" w:hAnsi="宋体" w:hint="eastAsia"/>
          <w:bCs/>
          <w:sz w:val="24"/>
          <w:szCs w:val="24"/>
        </w:rPr>
        <w:t>自2025年11月</w:t>
      </w:r>
      <w:r w:rsidR="00C7154E">
        <w:rPr>
          <w:rFonts w:ascii="宋体" w:eastAsia="宋体" w:hAnsi="宋体" w:hint="eastAsia"/>
          <w:bCs/>
          <w:sz w:val="24"/>
          <w:szCs w:val="24"/>
        </w:rPr>
        <w:t>5</w:t>
      </w:r>
      <w:r>
        <w:rPr>
          <w:rFonts w:ascii="宋体" w:eastAsia="宋体" w:hAnsi="宋体" w:hint="eastAsia"/>
          <w:bCs/>
          <w:sz w:val="24"/>
          <w:szCs w:val="24"/>
        </w:rPr>
        <w:t>日起，</w:t>
      </w:r>
      <w:r w:rsidRPr="0015710F">
        <w:rPr>
          <w:rFonts w:ascii="宋体" w:eastAsia="宋体" w:hAnsi="宋体" w:hint="eastAsia"/>
          <w:bCs/>
          <w:sz w:val="24"/>
          <w:szCs w:val="24"/>
        </w:rPr>
        <w:t>本基金将设置基金总</w:t>
      </w:r>
      <w:r w:rsidR="00335C50">
        <w:rPr>
          <w:rFonts w:ascii="宋体" w:eastAsia="宋体" w:hAnsi="宋体" w:hint="eastAsia"/>
          <w:bCs/>
          <w:sz w:val="24"/>
          <w:szCs w:val="24"/>
        </w:rPr>
        <w:t>份额</w:t>
      </w:r>
      <w:r w:rsidRPr="0015710F">
        <w:rPr>
          <w:rFonts w:ascii="宋体" w:eastAsia="宋体" w:hAnsi="宋体" w:hint="eastAsia"/>
          <w:bCs/>
          <w:sz w:val="24"/>
          <w:szCs w:val="24"/>
        </w:rPr>
        <w:t>上限为5</w:t>
      </w:r>
      <w:r w:rsidR="00335C50">
        <w:rPr>
          <w:rFonts w:ascii="宋体" w:eastAsia="宋体" w:hAnsi="宋体" w:hint="eastAsia"/>
          <w:bCs/>
          <w:sz w:val="24"/>
          <w:szCs w:val="24"/>
        </w:rPr>
        <w:t>亿份，并采用“</w:t>
      </w:r>
      <w:r w:rsidRPr="0015710F">
        <w:rPr>
          <w:rFonts w:ascii="宋体" w:eastAsia="宋体" w:hAnsi="宋体" w:hint="eastAsia"/>
          <w:bCs/>
          <w:sz w:val="24"/>
          <w:szCs w:val="24"/>
        </w:rPr>
        <w:t>比例确认”的原则进行规模控制。具体方案如下：</w:t>
      </w:r>
    </w:p>
    <w:p w:rsidR="0015710F" w:rsidRPr="0015710F" w:rsidRDefault="0015710F" w:rsidP="0015710F">
      <w:pPr>
        <w:adjustRightInd w:val="0"/>
        <w:snapToGrid w:val="0"/>
        <w:spacing w:line="360" w:lineRule="auto"/>
        <w:ind w:firstLineChars="200" w:firstLine="480"/>
        <w:rPr>
          <w:rFonts w:ascii="宋体" w:eastAsia="宋体" w:hAnsi="宋体"/>
          <w:bCs/>
          <w:sz w:val="24"/>
          <w:szCs w:val="24"/>
        </w:rPr>
      </w:pPr>
      <w:r>
        <w:rPr>
          <w:rFonts w:ascii="宋体" w:eastAsia="宋体" w:hAnsi="宋体" w:hint="eastAsia"/>
          <w:bCs/>
          <w:sz w:val="24"/>
          <w:szCs w:val="24"/>
        </w:rPr>
        <w:t>1</w:t>
      </w:r>
      <w:r w:rsidR="00CD299F">
        <w:rPr>
          <w:rFonts w:ascii="宋体" w:eastAsia="宋体" w:hAnsi="宋体" w:hint="eastAsia"/>
          <w:bCs/>
          <w:sz w:val="24"/>
          <w:szCs w:val="24"/>
        </w:rPr>
        <w:t>、</w:t>
      </w:r>
      <w:r w:rsidRPr="0015710F">
        <w:rPr>
          <w:rFonts w:ascii="宋体" w:eastAsia="宋体" w:hAnsi="宋体" w:hint="eastAsia"/>
          <w:bCs/>
          <w:sz w:val="24"/>
          <w:szCs w:val="24"/>
        </w:rPr>
        <w:t>若T日（销售机构在规定时间受理投资者申购、赎回或其他业务申请的开放日，下同）的有效申购（含转换转入、定期定额</w:t>
      </w:r>
      <w:r w:rsidR="00CD299F">
        <w:rPr>
          <w:rFonts w:ascii="宋体" w:eastAsia="宋体" w:hAnsi="宋体" w:hint="eastAsia"/>
          <w:bCs/>
          <w:sz w:val="24"/>
          <w:szCs w:val="24"/>
        </w:rPr>
        <w:t>投资，下同）和赎回（含转换转出，下同）申请全部确认后，基金</w:t>
      </w:r>
      <w:r w:rsidR="003321A3">
        <w:rPr>
          <w:rFonts w:ascii="宋体" w:eastAsia="宋体" w:hAnsi="宋体" w:hint="eastAsia"/>
          <w:bCs/>
          <w:sz w:val="24"/>
          <w:szCs w:val="24"/>
        </w:rPr>
        <w:t>的</w:t>
      </w:r>
      <w:r w:rsidR="00335C50">
        <w:rPr>
          <w:rFonts w:ascii="宋体" w:eastAsia="宋体" w:hAnsi="宋体" w:hint="eastAsia"/>
          <w:bCs/>
          <w:sz w:val="24"/>
          <w:szCs w:val="24"/>
        </w:rPr>
        <w:t>总份额</w:t>
      </w:r>
      <w:r w:rsidRPr="0015710F">
        <w:rPr>
          <w:rFonts w:ascii="宋体" w:eastAsia="宋体" w:hAnsi="宋体" w:hint="eastAsia"/>
          <w:bCs/>
          <w:sz w:val="24"/>
          <w:szCs w:val="24"/>
        </w:rPr>
        <w:t>不超过5亿份（含5亿份），则对该日有效申购申请全部予以确认。</w:t>
      </w:r>
    </w:p>
    <w:p w:rsidR="0015710F" w:rsidRDefault="0015710F" w:rsidP="0015710F">
      <w:pPr>
        <w:adjustRightInd w:val="0"/>
        <w:snapToGrid w:val="0"/>
        <w:spacing w:line="360" w:lineRule="auto"/>
        <w:ind w:firstLineChars="200" w:firstLine="480"/>
        <w:rPr>
          <w:rFonts w:ascii="宋体" w:eastAsia="宋体" w:hAnsi="宋体"/>
          <w:bCs/>
          <w:sz w:val="24"/>
          <w:szCs w:val="24"/>
        </w:rPr>
      </w:pPr>
      <w:r w:rsidRPr="0015710F">
        <w:rPr>
          <w:rFonts w:ascii="宋体" w:eastAsia="宋体" w:hAnsi="宋体" w:hint="eastAsia"/>
          <w:bCs/>
          <w:sz w:val="24"/>
          <w:szCs w:val="24"/>
        </w:rPr>
        <w:t>2</w:t>
      </w:r>
      <w:r w:rsidR="00CD299F">
        <w:rPr>
          <w:rFonts w:ascii="宋体" w:eastAsia="宋体" w:hAnsi="宋体" w:hint="eastAsia"/>
          <w:bCs/>
          <w:sz w:val="24"/>
          <w:szCs w:val="24"/>
        </w:rPr>
        <w:t>、</w:t>
      </w:r>
      <w:r w:rsidRPr="0015710F">
        <w:rPr>
          <w:rFonts w:ascii="宋体" w:eastAsia="宋体" w:hAnsi="宋体" w:hint="eastAsia"/>
          <w:bCs/>
          <w:sz w:val="24"/>
          <w:szCs w:val="24"/>
        </w:rPr>
        <w:t>若T日的有效申购和赎回申请全部确认后，基金的总</w:t>
      </w:r>
      <w:r w:rsidR="00335C50">
        <w:rPr>
          <w:rFonts w:ascii="宋体" w:eastAsia="宋体" w:hAnsi="宋体" w:hint="eastAsia"/>
          <w:bCs/>
          <w:sz w:val="24"/>
          <w:szCs w:val="24"/>
        </w:rPr>
        <w:t>份额</w:t>
      </w:r>
      <w:r w:rsidRPr="0015710F">
        <w:rPr>
          <w:rFonts w:ascii="宋体" w:eastAsia="宋体" w:hAnsi="宋体" w:hint="eastAsia"/>
          <w:bCs/>
          <w:sz w:val="24"/>
          <w:szCs w:val="24"/>
        </w:rPr>
        <w:t>超过5亿份，本基金管理人将对该日有效申购申请采用“比例确认”的原则给予部分确认，</w:t>
      </w:r>
      <w:r w:rsidR="004154F5" w:rsidRPr="004154F5">
        <w:rPr>
          <w:rFonts w:ascii="宋体" w:eastAsia="宋体" w:hAnsi="宋体" w:hint="eastAsia"/>
          <w:bCs/>
          <w:sz w:val="24"/>
          <w:szCs w:val="24"/>
        </w:rPr>
        <w:t>未确认部分的申购款项将由销售机构退还给投资者，</w:t>
      </w:r>
      <w:r w:rsidRPr="0015710F">
        <w:rPr>
          <w:rFonts w:ascii="宋体" w:eastAsia="宋体" w:hAnsi="宋体" w:hint="eastAsia"/>
          <w:bCs/>
          <w:sz w:val="24"/>
          <w:szCs w:val="24"/>
        </w:rPr>
        <w:t>由此产生的利息等损失由投资者自行承担，请投资者留意资金到账情况。</w:t>
      </w:r>
      <w:r w:rsidR="004154F5" w:rsidRPr="004154F5">
        <w:rPr>
          <w:rFonts w:ascii="宋体" w:eastAsia="宋体" w:hAnsi="宋体" w:hint="eastAsia"/>
          <w:bCs/>
          <w:sz w:val="24"/>
          <w:szCs w:val="24"/>
        </w:rPr>
        <w:t>因计算精度等原因，可能使基金总份额略微超过或低于5亿份，具体以本基金登记机构确认为准。</w:t>
      </w:r>
    </w:p>
    <w:p w:rsidR="00335C50" w:rsidRPr="00335C50" w:rsidRDefault="00335C50" w:rsidP="0015710F">
      <w:pPr>
        <w:adjustRightInd w:val="0"/>
        <w:snapToGrid w:val="0"/>
        <w:spacing w:line="360" w:lineRule="auto"/>
        <w:ind w:firstLineChars="200" w:firstLine="480"/>
        <w:rPr>
          <w:rFonts w:ascii="宋体" w:eastAsia="宋体" w:hAnsi="宋体"/>
          <w:bCs/>
          <w:sz w:val="24"/>
          <w:szCs w:val="24"/>
        </w:rPr>
      </w:pPr>
      <w:r w:rsidRPr="00335C50">
        <w:rPr>
          <w:rFonts w:ascii="宋体" w:eastAsia="宋体" w:hAnsi="宋体" w:hint="eastAsia"/>
          <w:bCs/>
          <w:sz w:val="24"/>
          <w:szCs w:val="24"/>
        </w:rPr>
        <w:t>因控制基金总份额上限，基金管理人有权拒绝投资者全部或部分交易申请或进行比例确认，具体以本基金登记机构确认为准。</w:t>
      </w:r>
    </w:p>
    <w:p w:rsidR="0015710F" w:rsidRPr="0015710F" w:rsidRDefault="0015710F" w:rsidP="0015710F">
      <w:pPr>
        <w:adjustRightInd w:val="0"/>
        <w:snapToGrid w:val="0"/>
        <w:spacing w:line="360" w:lineRule="auto"/>
        <w:ind w:firstLineChars="200" w:firstLine="480"/>
        <w:rPr>
          <w:rFonts w:ascii="宋体" w:eastAsia="宋体" w:hAnsi="宋体"/>
          <w:bCs/>
          <w:sz w:val="24"/>
          <w:szCs w:val="24"/>
        </w:rPr>
      </w:pPr>
      <w:r w:rsidRPr="0015710F">
        <w:rPr>
          <w:rFonts w:ascii="宋体" w:eastAsia="宋体" w:hAnsi="宋体" w:hint="eastAsia"/>
          <w:bCs/>
          <w:sz w:val="24"/>
          <w:szCs w:val="24"/>
        </w:rPr>
        <w:t>本基金管理人可根据届时基金实际情况，基于投资运作与风险控制的需要，暂停本基金申购业务并</w:t>
      </w:r>
      <w:r w:rsidR="00C7154E">
        <w:rPr>
          <w:rFonts w:ascii="宋体" w:eastAsia="宋体" w:hAnsi="宋体" w:hint="eastAsia"/>
          <w:bCs/>
          <w:sz w:val="24"/>
          <w:szCs w:val="24"/>
        </w:rPr>
        <w:t>进行</w:t>
      </w:r>
      <w:r w:rsidRPr="0015710F">
        <w:rPr>
          <w:rFonts w:ascii="宋体" w:eastAsia="宋体" w:hAnsi="宋体" w:hint="eastAsia"/>
          <w:bCs/>
          <w:sz w:val="24"/>
          <w:szCs w:val="24"/>
        </w:rPr>
        <w:t>公告，具体安排以本基金管理人届时发布的相关公告为准。</w:t>
      </w:r>
    </w:p>
    <w:p w:rsidR="0015710F" w:rsidRPr="0015710F" w:rsidRDefault="00CD299F" w:rsidP="0015710F">
      <w:pPr>
        <w:adjustRightInd w:val="0"/>
        <w:snapToGrid w:val="0"/>
        <w:spacing w:line="360" w:lineRule="auto"/>
        <w:ind w:firstLineChars="200" w:firstLine="480"/>
        <w:rPr>
          <w:rFonts w:ascii="宋体" w:eastAsia="宋体" w:hAnsi="宋体"/>
          <w:bCs/>
          <w:sz w:val="24"/>
          <w:szCs w:val="24"/>
        </w:rPr>
      </w:pPr>
      <w:r>
        <w:rPr>
          <w:rFonts w:ascii="宋体" w:eastAsia="宋体" w:hAnsi="宋体" w:hint="eastAsia"/>
          <w:bCs/>
          <w:sz w:val="24"/>
          <w:szCs w:val="24"/>
        </w:rPr>
        <w:t>3、</w:t>
      </w:r>
      <w:r w:rsidR="00335C50" w:rsidRPr="00335C50">
        <w:rPr>
          <w:rFonts w:ascii="宋体" w:eastAsia="宋体" w:hAnsi="宋体" w:hint="eastAsia"/>
          <w:bCs/>
          <w:sz w:val="24"/>
          <w:szCs w:val="24"/>
        </w:rPr>
        <w:t>当T日有效申购申请采用“比例确认”的原则予以部分确认时，</w:t>
      </w:r>
      <w:r w:rsidR="00335C50">
        <w:rPr>
          <w:rFonts w:ascii="宋体" w:eastAsia="宋体" w:hAnsi="宋体" w:hint="eastAsia"/>
          <w:bCs/>
          <w:sz w:val="24"/>
          <w:szCs w:val="24"/>
        </w:rPr>
        <w:t>申购申请比例确认</w:t>
      </w:r>
      <w:r w:rsidR="0015710F" w:rsidRPr="0015710F">
        <w:rPr>
          <w:rFonts w:ascii="宋体" w:eastAsia="宋体" w:hAnsi="宋体" w:hint="eastAsia"/>
          <w:bCs/>
          <w:sz w:val="24"/>
          <w:szCs w:val="24"/>
        </w:rPr>
        <w:t>的计算方法如下：</w:t>
      </w:r>
    </w:p>
    <w:p w:rsidR="0015710F" w:rsidRPr="00424340" w:rsidRDefault="0015710F" w:rsidP="0015710F">
      <w:pPr>
        <w:adjustRightInd w:val="0"/>
        <w:snapToGrid w:val="0"/>
        <w:spacing w:line="360" w:lineRule="auto"/>
        <w:ind w:firstLineChars="200" w:firstLine="480"/>
        <w:rPr>
          <w:rFonts w:asciiTheme="minorEastAsia" w:hAnsiTheme="minorEastAsia"/>
          <w:bCs/>
          <w:sz w:val="24"/>
          <w:szCs w:val="24"/>
        </w:rPr>
      </w:pPr>
      <w:r w:rsidRPr="00424340">
        <w:rPr>
          <w:rFonts w:asciiTheme="minorEastAsia" w:hAnsiTheme="minorEastAsia" w:hint="eastAsia"/>
          <w:bCs/>
          <w:sz w:val="24"/>
          <w:szCs w:val="24"/>
        </w:rPr>
        <w:t>T日申购申请确认比例=Max(0，5亿份－T日</w:t>
      </w:r>
      <w:r w:rsidR="00D414F7" w:rsidRPr="00424340">
        <w:rPr>
          <w:rFonts w:asciiTheme="minorEastAsia" w:hAnsiTheme="minorEastAsia" w:hint="eastAsia"/>
          <w:bCs/>
          <w:sz w:val="24"/>
          <w:szCs w:val="24"/>
        </w:rPr>
        <w:t>各类</w:t>
      </w:r>
      <w:r w:rsidRPr="00424340">
        <w:rPr>
          <w:rFonts w:asciiTheme="minorEastAsia" w:hAnsiTheme="minorEastAsia" w:hint="eastAsia"/>
          <w:bCs/>
          <w:sz w:val="24"/>
          <w:szCs w:val="24"/>
        </w:rPr>
        <w:t>基金份额</w:t>
      </w:r>
      <w:r w:rsidR="007032A3" w:rsidRPr="00424340">
        <w:rPr>
          <w:rFonts w:asciiTheme="minorEastAsia" w:hAnsiTheme="minorEastAsia" w:hint="eastAsia"/>
          <w:bCs/>
          <w:sz w:val="24"/>
          <w:szCs w:val="24"/>
        </w:rPr>
        <w:t>总和</w:t>
      </w:r>
      <w:r w:rsidRPr="00424340">
        <w:rPr>
          <w:rFonts w:asciiTheme="minorEastAsia" w:hAnsiTheme="minorEastAsia" w:hint="eastAsia"/>
          <w:bCs/>
          <w:sz w:val="24"/>
          <w:szCs w:val="24"/>
        </w:rPr>
        <w:t>+T日</w:t>
      </w:r>
      <w:r w:rsidR="00D414F7" w:rsidRPr="00424340">
        <w:rPr>
          <w:rFonts w:asciiTheme="minorEastAsia" w:hAnsiTheme="minorEastAsia" w:hint="eastAsia"/>
          <w:bCs/>
          <w:sz w:val="24"/>
          <w:szCs w:val="24"/>
        </w:rPr>
        <w:t>各类</w:t>
      </w:r>
      <w:r w:rsidRPr="00424340">
        <w:rPr>
          <w:rFonts w:asciiTheme="minorEastAsia" w:hAnsiTheme="minorEastAsia" w:hint="eastAsia"/>
          <w:bCs/>
          <w:sz w:val="24"/>
          <w:szCs w:val="24"/>
        </w:rPr>
        <w:t>基金</w:t>
      </w:r>
      <w:r w:rsidR="008A2FFA">
        <w:rPr>
          <w:rFonts w:asciiTheme="minorEastAsia" w:hAnsiTheme="minorEastAsia" w:hint="eastAsia"/>
          <w:bCs/>
          <w:sz w:val="24"/>
          <w:szCs w:val="24"/>
        </w:rPr>
        <w:t>份额有效</w:t>
      </w:r>
      <w:r w:rsidRPr="00424340">
        <w:rPr>
          <w:rFonts w:asciiTheme="minorEastAsia" w:hAnsiTheme="minorEastAsia" w:hint="eastAsia"/>
          <w:bCs/>
          <w:sz w:val="24"/>
          <w:szCs w:val="24"/>
        </w:rPr>
        <w:t>赎回</w:t>
      </w:r>
      <w:r w:rsidR="008A2FFA">
        <w:rPr>
          <w:rFonts w:asciiTheme="minorEastAsia" w:hAnsiTheme="minorEastAsia" w:hint="eastAsia"/>
          <w:bCs/>
          <w:sz w:val="24"/>
          <w:szCs w:val="24"/>
        </w:rPr>
        <w:t>申请的确认</w:t>
      </w:r>
      <w:r w:rsidRPr="00424340">
        <w:rPr>
          <w:rFonts w:asciiTheme="minorEastAsia" w:hAnsiTheme="minorEastAsia" w:hint="eastAsia"/>
          <w:bCs/>
          <w:sz w:val="24"/>
          <w:szCs w:val="24"/>
        </w:rPr>
        <w:t>份额(如有))/</w:t>
      </w:r>
      <w:r w:rsidR="00424340" w:rsidRPr="00424340">
        <w:rPr>
          <w:rFonts w:asciiTheme="minorEastAsia" w:hAnsiTheme="minorEastAsia" w:hint="eastAsia"/>
        </w:rPr>
        <w:t xml:space="preserve"> </w:t>
      </w:r>
      <w:r w:rsidR="00424340" w:rsidRPr="00424340">
        <w:rPr>
          <w:rFonts w:asciiTheme="minorEastAsia" w:hAnsiTheme="minorEastAsia" w:hint="eastAsia"/>
          <w:bCs/>
          <w:sz w:val="24"/>
          <w:szCs w:val="24"/>
        </w:rPr>
        <w:t>Σ</w:t>
      </w:r>
      <w:r w:rsidRPr="00424340">
        <w:rPr>
          <w:rFonts w:asciiTheme="minorEastAsia" w:hAnsiTheme="minorEastAsia" w:hint="eastAsia"/>
          <w:bCs/>
          <w:sz w:val="24"/>
          <w:szCs w:val="24"/>
        </w:rPr>
        <w:t>(</w:t>
      </w:r>
      <w:r w:rsidR="00424340" w:rsidRPr="00424340">
        <w:rPr>
          <w:rFonts w:asciiTheme="minorEastAsia" w:hAnsiTheme="minorEastAsia"/>
          <w:bCs/>
          <w:sz w:val="24"/>
          <w:szCs w:val="24"/>
        </w:rPr>
        <w:t>T</w:t>
      </w:r>
      <w:r w:rsidR="00424340" w:rsidRPr="00424340">
        <w:rPr>
          <w:rFonts w:asciiTheme="minorEastAsia" w:hAnsiTheme="minorEastAsia" w:hint="eastAsia"/>
          <w:bCs/>
          <w:sz w:val="24"/>
          <w:szCs w:val="24"/>
        </w:rPr>
        <w:t>日各类基金份额的有效申购申请</w:t>
      </w:r>
      <w:r w:rsidR="00424340" w:rsidRPr="00424340">
        <w:rPr>
          <w:rFonts w:asciiTheme="minorEastAsia" w:hAnsiTheme="minorEastAsia" w:hint="eastAsia"/>
          <w:bCs/>
          <w:sz w:val="24"/>
          <w:szCs w:val="24"/>
        </w:rPr>
        <w:lastRenderedPageBreak/>
        <w:t>金额/T日对应类别基金份额的单位净值</w:t>
      </w:r>
      <w:r w:rsidRPr="00424340">
        <w:rPr>
          <w:rFonts w:asciiTheme="minorEastAsia" w:hAnsiTheme="minorEastAsia" w:hint="eastAsia"/>
          <w:bCs/>
          <w:sz w:val="24"/>
          <w:szCs w:val="24"/>
        </w:rPr>
        <w:t>)</w:t>
      </w:r>
    </w:p>
    <w:p w:rsidR="0015710F" w:rsidRDefault="0015710F" w:rsidP="0015710F">
      <w:pPr>
        <w:adjustRightInd w:val="0"/>
        <w:snapToGrid w:val="0"/>
        <w:spacing w:line="360" w:lineRule="auto"/>
        <w:ind w:firstLineChars="200" w:firstLine="480"/>
        <w:rPr>
          <w:rFonts w:ascii="宋体" w:eastAsia="宋体" w:hAnsi="宋体"/>
          <w:bCs/>
          <w:sz w:val="24"/>
          <w:szCs w:val="24"/>
        </w:rPr>
      </w:pPr>
      <w:r w:rsidRPr="0015710F">
        <w:rPr>
          <w:rFonts w:ascii="宋体" w:eastAsia="宋体" w:hAnsi="宋体" w:hint="eastAsia"/>
          <w:bCs/>
          <w:sz w:val="24"/>
          <w:szCs w:val="24"/>
        </w:rPr>
        <w:t>投资者申购申请确认金额</w:t>
      </w:r>
      <w:r w:rsidR="00424340">
        <w:rPr>
          <w:rFonts w:ascii="宋体" w:eastAsia="宋体" w:hAnsi="宋体" w:hint="eastAsia"/>
          <w:bCs/>
          <w:sz w:val="24"/>
          <w:szCs w:val="24"/>
        </w:rPr>
        <w:t>=</w:t>
      </w:r>
      <w:r w:rsidRPr="0015710F">
        <w:rPr>
          <w:rFonts w:ascii="宋体" w:eastAsia="宋体" w:hAnsi="宋体" w:hint="eastAsia"/>
          <w:bCs/>
          <w:sz w:val="24"/>
          <w:szCs w:val="24"/>
        </w:rPr>
        <w:t>投资者T日提交的有效申购申请金额×T日申购申请确认比例</w:t>
      </w:r>
    </w:p>
    <w:p w:rsidR="00724FC5" w:rsidRPr="0015710F" w:rsidRDefault="00724FC5" w:rsidP="00724FC5">
      <w:pPr>
        <w:adjustRightInd w:val="0"/>
        <w:snapToGrid w:val="0"/>
        <w:spacing w:line="360" w:lineRule="auto"/>
        <w:ind w:firstLineChars="200" w:firstLine="480"/>
        <w:rPr>
          <w:rFonts w:ascii="宋体" w:eastAsia="宋体" w:hAnsi="宋体"/>
          <w:bCs/>
          <w:sz w:val="24"/>
          <w:szCs w:val="24"/>
        </w:rPr>
      </w:pPr>
      <w:r w:rsidRPr="00724FC5">
        <w:rPr>
          <w:rFonts w:ascii="宋体" w:eastAsia="宋体" w:hAnsi="宋体" w:hint="eastAsia"/>
          <w:bCs/>
          <w:sz w:val="24"/>
          <w:szCs w:val="24"/>
        </w:rPr>
        <w:t>注：上述公式中若涉及有效转换申请，对应的转换金额含转换手续费。</w:t>
      </w:r>
      <w:r w:rsidR="006C79D6" w:rsidRPr="006C79D6">
        <w:rPr>
          <w:rFonts w:ascii="宋体" w:eastAsia="宋体" w:hAnsi="宋体" w:hint="eastAsia"/>
          <w:bCs/>
          <w:sz w:val="24"/>
          <w:szCs w:val="24"/>
        </w:rPr>
        <w:t>申购申请确认金额以四舍五入的方法保留到小数点后两位。</w:t>
      </w:r>
    </w:p>
    <w:p w:rsidR="0015710F" w:rsidRPr="0015710F" w:rsidRDefault="0015710F" w:rsidP="0015710F">
      <w:pPr>
        <w:adjustRightInd w:val="0"/>
        <w:snapToGrid w:val="0"/>
        <w:spacing w:line="360" w:lineRule="auto"/>
        <w:ind w:firstLineChars="200" w:firstLine="480"/>
        <w:rPr>
          <w:rFonts w:ascii="宋体" w:eastAsia="宋体" w:hAnsi="宋体"/>
          <w:bCs/>
          <w:sz w:val="24"/>
          <w:szCs w:val="24"/>
        </w:rPr>
      </w:pPr>
      <w:r w:rsidRPr="0015710F">
        <w:rPr>
          <w:rFonts w:ascii="宋体" w:eastAsia="宋体" w:hAnsi="宋体" w:hint="eastAsia"/>
          <w:bCs/>
          <w:sz w:val="24"/>
          <w:szCs w:val="24"/>
        </w:rPr>
        <w:t>当发生比例确认时，投资人申购费率按照单笔申请确认金额所对应的费率计算，而且申购申请确认金额不受最低限额的限制。</w:t>
      </w:r>
      <w:bookmarkStart w:id="0" w:name="_GoBack"/>
      <w:bookmarkEnd w:id="0"/>
      <w:r w:rsidRPr="0015710F">
        <w:rPr>
          <w:rFonts w:ascii="宋体" w:eastAsia="宋体" w:hAnsi="宋体" w:hint="eastAsia"/>
          <w:bCs/>
          <w:sz w:val="24"/>
          <w:szCs w:val="24"/>
        </w:rPr>
        <w:t>最终申购申请确认结果以本基金登记机构的计算并确认的结果为准。</w:t>
      </w:r>
    </w:p>
    <w:p w:rsidR="0015710F" w:rsidRDefault="00D414F7" w:rsidP="0015710F">
      <w:pPr>
        <w:adjustRightInd w:val="0"/>
        <w:snapToGrid w:val="0"/>
        <w:spacing w:line="360" w:lineRule="auto"/>
        <w:ind w:firstLineChars="200" w:firstLine="480"/>
        <w:rPr>
          <w:rFonts w:ascii="宋体" w:eastAsia="宋体" w:hAnsi="宋体"/>
          <w:bCs/>
          <w:sz w:val="24"/>
          <w:szCs w:val="24"/>
        </w:rPr>
      </w:pPr>
      <w:r>
        <w:rPr>
          <w:rFonts w:ascii="宋体" w:eastAsia="宋体" w:hAnsi="宋体" w:hint="eastAsia"/>
          <w:bCs/>
          <w:sz w:val="24"/>
          <w:szCs w:val="24"/>
        </w:rPr>
        <w:t>4、</w:t>
      </w:r>
      <w:r w:rsidR="0015710F" w:rsidRPr="0015710F">
        <w:rPr>
          <w:rFonts w:ascii="宋体" w:eastAsia="宋体" w:hAnsi="宋体" w:hint="eastAsia"/>
          <w:bCs/>
          <w:sz w:val="24"/>
          <w:szCs w:val="24"/>
        </w:rPr>
        <w:t>本基金管理人可根据基金运作情况对本基金的规模上限及控制措施进行调整，具体以本基金管理人届时发布的相关公告为准。</w:t>
      </w:r>
    </w:p>
    <w:p w:rsidR="00D414F7" w:rsidRPr="0015710F" w:rsidRDefault="00D414F7" w:rsidP="0015710F">
      <w:pPr>
        <w:adjustRightInd w:val="0"/>
        <w:snapToGrid w:val="0"/>
        <w:spacing w:line="360" w:lineRule="auto"/>
        <w:ind w:firstLineChars="200" w:firstLine="480"/>
        <w:rPr>
          <w:rFonts w:ascii="宋体" w:eastAsia="宋体" w:hAnsi="宋体"/>
          <w:bCs/>
          <w:sz w:val="24"/>
          <w:szCs w:val="24"/>
        </w:rPr>
      </w:pPr>
      <w:r w:rsidRPr="00D414F7">
        <w:rPr>
          <w:rFonts w:ascii="宋体" w:eastAsia="宋体" w:hAnsi="宋体" w:hint="eastAsia"/>
          <w:bCs/>
          <w:sz w:val="24"/>
          <w:szCs w:val="24"/>
        </w:rPr>
        <w:t>投资者可通过本基金管理人网站（</w:t>
      </w:r>
      <w:r w:rsidRPr="00D414F7">
        <w:rPr>
          <w:rFonts w:ascii="宋体" w:eastAsia="宋体" w:hAnsi="宋体"/>
          <w:bCs/>
          <w:sz w:val="24"/>
          <w:szCs w:val="24"/>
        </w:rPr>
        <w:t>www.qhkyfund.com</w:t>
      </w:r>
      <w:r w:rsidRPr="00D414F7">
        <w:rPr>
          <w:rFonts w:ascii="宋体" w:eastAsia="宋体" w:hAnsi="宋体" w:hint="eastAsia"/>
          <w:bCs/>
          <w:sz w:val="24"/>
          <w:szCs w:val="24"/>
        </w:rPr>
        <w:t>）或客户服务电话</w:t>
      </w:r>
      <w:r w:rsidRPr="00D414F7">
        <w:rPr>
          <w:rFonts w:ascii="宋体" w:eastAsia="宋体" w:hAnsi="宋体"/>
          <w:bCs/>
          <w:sz w:val="24"/>
          <w:szCs w:val="24"/>
        </w:rPr>
        <w:t>4001-666-998</w:t>
      </w:r>
      <w:r w:rsidRPr="00D414F7">
        <w:rPr>
          <w:rFonts w:ascii="宋体" w:eastAsia="宋体" w:hAnsi="宋体" w:hint="eastAsia"/>
          <w:bCs/>
          <w:sz w:val="24"/>
          <w:szCs w:val="24"/>
        </w:rPr>
        <w:t>咨询相关情况。</w:t>
      </w:r>
    </w:p>
    <w:p w:rsidR="007032A3" w:rsidRDefault="007032A3" w:rsidP="0015710F">
      <w:pPr>
        <w:adjustRightInd w:val="0"/>
        <w:snapToGrid w:val="0"/>
        <w:spacing w:line="360" w:lineRule="auto"/>
        <w:ind w:firstLineChars="200" w:firstLine="480"/>
        <w:rPr>
          <w:rFonts w:ascii="宋体" w:eastAsia="宋体" w:hAnsi="宋体"/>
          <w:bCs/>
          <w:sz w:val="24"/>
          <w:szCs w:val="24"/>
        </w:rPr>
      </w:pPr>
    </w:p>
    <w:p w:rsidR="0015710F" w:rsidRPr="0015710F" w:rsidRDefault="0015710F" w:rsidP="0015710F">
      <w:pPr>
        <w:adjustRightInd w:val="0"/>
        <w:snapToGrid w:val="0"/>
        <w:spacing w:line="360" w:lineRule="auto"/>
        <w:ind w:firstLineChars="200" w:firstLine="480"/>
        <w:rPr>
          <w:rFonts w:ascii="宋体" w:eastAsia="宋体" w:hAnsi="宋体"/>
          <w:bCs/>
          <w:sz w:val="24"/>
          <w:szCs w:val="24"/>
        </w:rPr>
      </w:pPr>
      <w:r w:rsidRPr="0015710F">
        <w:rPr>
          <w:rFonts w:ascii="宋体" w:eastAsia="宋体" w:hAnsi="宋体" w:hint="eastAsia"/>
          <w:bCs/>
          <w:sz w:val="24"/>
          <w:szCs w:val="24"/>
        </w:rPr>
        <w:t>风险提示：</w:t>
      </w:r>
      <w:r w:rsidR="00CB5C14" w:rsidRPr="00CB5C14">
        <w:rPr>
          <w:rFonts w:ascii="宋体" w:eastAsia="宋体" w:hAnsi="宋体" w:hint="eastAsia"/>
          <w:bCs/>
          <w:sz w:val="24"/>
          <w:szCs w:val="24"/>
        </w:rPr>
        <w:t>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CB5C14" w:rsidRPr="0015710F" w:rsidRDefault="00CB5C14" w:rsidP="0015710F">
      <w:pPr>
        <w:adjustRightInd w:val="0"/>
        <w:snapToGrid w:val="0"/>
        <w:spacing w:line="360" w:lineRule="auto"/>
        <w:ind w:firstLineChars="200" w:firstLine="480"/>
        <w:rPr>
          <w:rFonts w:ascii="宋体" w:eastAsia="宋体" w:hAnsi="宋体"/>
          <w:bCs/>
          <w:sz w:val="24"/>
          <w:szCs w:val="24"/>
        </w:rPr>
      </w:pPr>
      <w:r w:rsidRPr="00CB5C14">
        <w:rPr>
          <w:rFonts w:ascii="宋体" w:eastAsia="宋体" w:hAnsi="宋体" w:hint="eastAsia"/>
          <w:bCs/>
          <w:sz w:val="24"/>
          <w:szCs w:val="24"/>
        </w:rPr>
        <w:t>基金管理人承诺以诚实信用、勤勉尽责的原则管理和运用基金资产，但不保证基金一定盈利，也不保证最低收益。投资者投资于本公司旗下基金前应认真阅读各基金的基金合同、招募说明书、基金产品资料概要及其更新等文件，了解所投资基金的风险收益特征，并根据自身风险承受能力选择适合自己的基金产品。敬请投资者注意投资风险。</w:t>
      </w:r>
    </w:p>
    <w:p w:rsidR="00CB5C14" w:rsidRDefault="00CB5C14" w:rsidP="0015710F">
      <w:pPr>
        <w:adjustRightInd w:val="0"/>
        <w:snapToGrid w:val="0"/>
        <w:spacing w:line="360" w:lineRule="auto"/>
        <w:ind w:firstLineChars="200" w:firstLine="480"/>
        <w:rPr>
          <w:rFonts w:ascii="宋体" w:eastAsia="宋体" w:hAnsi="宋体"/>
          <w:bCs/>
          <w:sz w:val="24"/>
          <w:szCs w:val="24"/>
        </w:rPr>
      </w:pPr>
    </w:p>
    <w:p w:rsidR="00CB5C14" w:rsidRDefault="00CB5C14" w:rsidP="0015710F">
      <w:pPr>
        <w:adjustRightInd w:val="0"/>
        <w:snapToGrid w:val="0"/>
        <w:spacing w:line="360" w:lineRule="auto"/>
        <w:ind w:firstLineChars="200" w:firstLine="480"/>
        <w:rPr>
          <w:rFonts w:ascii="宋体" w:eastAsia="宋体" w:hAnsi="宋体"/>
          <w:bCs/>
          <w:sz w:val="24"/>
          <w:szCs w:val="24"/>
        </w:rPr>
      </w:pPr>
    </w:p>
    <w:p w:rsidR="007C095F" w:rsidRPr="007C095F" w:rsidRDefault="0015710F" w:rsidP="0015710F">
      <w:pPr>
        <w:adjustRightInd w:val="0"/>
        <w:snapToGrid w:val="0"/>
        <w:spacing w:line="360" w:lineRule="auto"/>
        <w:ind w:firstLineChars="200" w:firstLine="480"/>
        <w:rPr>
          <w:rFonts w:ascii="宋体" w:eastAsia="宋体" w:hAnsi="宋体"/>
          <w:bCs/>
          <w:sz w:val="24"/>
          <w:szCs w:val="24"/>
        </w:rPr>
      </w:pPr>
      <w:r w:rsidRPr="0015710F">
        <w:rPr>
          <w:rFonts w:ascii="宋体" w:eastAsia="宋体" w:hAnsi="宋体" w:hint="eastAsia"/>
          <w:bCs/>
          <w:sz w:val="24"/>
          <w:szCs w:val="24"/>
        </w:rPr>
        <w:t>特此公告。</w:t>
      </w:r>
    </w:p>
    <w:p w:rsidR="00BE71E1" w:rsidRDefault="00BE71E1" w:rsidP="007C095F">
      <w:pPr>
        <w:adjustRightInd w:val="0"/>
        <w:snapToGrid w:val="0"/>
        <w:spacing w:line="360" w:lineRule="auto"/>
        <w:ind w:firstLineChars="200" w:firstLine="480"/>
        <w:rPr>
          <w:rFonts w:ascii="宋体" w:eastAsia="宋体" w:hAnsi="宋体"/>
          <w:bCs/>
          <w:sz w:val="24"/>
          <w:szCs w:val="24"/>
        </w:rPr>
      </w:pPr>
    </w:p>
    <w:p w:rsidR="00F85680" w:rsidRDefault="00F85680" w:rsidP="00F85680">
      <w:pPr>
        <w:spacing w:line="360" w:lineRule="auto"/>
        <w:ind w:firstLineChars="200" w:firstLine="480"/>
        <w:jc w:val="right"/>
        <w:rPr>
          <w:rFonts w:ascii="宋体" w:eastAsia="宋体" w:hAnsi="宋体"/>
          <w:bCs/>
          <w:sz w:val="24"/>
          <w:szCs w:val="24"/>
        </w:rPr>
      </w:pPr>
    </w:p>
    <w:p w:rsidR="00F85680" w:rsidRDefault="00F85680" w:rsidP="00F85680">
      <w:pPr>
        <w:autoSpaceDE w:val="0"/>
        <w:autoSpaceDN w:val="0"/>
        <w:adjustRightInd w:val="0"/>
        <w:jc w:val="right"/>
        <w:rPr>
          <w:rFonts w:ascii="宋体" w:eastAsia="宋体" w:cs="宋体"/>
          <w:kern w:val="0"/>
          <w:sz w:val="24"/>
          <w:szCs w:val="24"/>
        </w:rPr>
      </w:pPr>
      <w:r>
        <w:rPr>
          <w:rFonts w:ascii="宋体" w:eastAsia="宋体" w:cs="宋体" w:hint="eastAsia"/>
          <w:kern w:val="0"/>
          <w:sz w:val="24"/>
          <w:szCs w:val="24"/>
        </w:rPr>
        <w:t>前海开源基金管理有限公司</w:t>
      </w:r>
    </w:p>
    <w:p w:rsidR="00F85680" w:rsidRPr="0015710F" w:rsidRDefault="00FE42A1" w:rsidP="0015710F">
      <w:pPr>
        <w:spacing w:line="360" w:lineRule="auto"/>
        <w:ind w:firstLineChars="200" w:firstLine="480"/>
        <w:jc w:val="right"/>
        <w:rPr>
          <w:rFonts w:ascii="宋体" w:eastAsia="宋体" w:hAnsi="宋体"/>
          <w:bCs/>
          <w:sz w:val="24"/>
          <w:szCs w:val="24"/>
        </w:rPr>
      </w:pPr>
      <w:r>
        <w:rPr>
          <w:rFonts w:ascii="宋体" w:eastAsia="宋体" w:cs="宋体"/>
          <w:kern w:val="0"/>
          <w:sz w:val="24"/>
          <w:szCs w:val="24"/>
        </w:rPr>
        <w:t>202</w:t>
      </w:r>
      <w:r w:rsidR="00D414F7">
        <w:rPr>
          <w:rFonts w:ascii="宋体" w:eastAsia="宋体" w:cs="宋体"/>
          <w:kern w:val="0"/>
          <w:sz w:val="24"/>
          <w:szCs w:val="24"/>
        </w:rPr>
        <w:t>5</w:t>
      </w:r>
      <w:r w:rsidR="00D46265">
        <w:rPr>
          <w:rFonts w:ascii="宋体" w:eastAsia="宋体" w:cs="宋体" w:hint="eastAsia"/>
          <w:kern w:val="0"/>
          <w:sz w:val="24"/>
          <w:szCs w:val="24"/>
        </w:rPr>
        <w:t>年</w:t>
      </w:r>
      <w:r w:rsidR="00D414F7">
        <w:rPr>
          <w:rFonts w:ascii="宋体" w:eastAsia="宋体" w:cs="宋体"/>
          <w:kern w:val="0"/>
          <w:sz w:val="24"/>
          <w:szCs w:val="24"/>
        </w:rPr>
        <w:t>11</w:t>
      </w:r>
      <w:r w:rsidR="00D46265">
        <w:rPr>
          <w:rFonts w:ascii="宋体" w:eastAsia="宋体" w:cs="宋体" w:hint="eastAsia"/>
          <w:kern w:val="0"/>
          <w:sz w:val="24"/>
          <w:szCs w:val="24"/>
        </w:rPr>
        <w:t>月</w:t>
      </w:r>
      <w:r w:rsidR="00C7154E">
        <w:rPr>
          <w:rFonts w:ascii="宋体" w:eastAsia="宋体" w:cs="宋体"/>
          <w:kern w:val="0"/>
          <w:sz w:val="24"/>
          <w:szCs w:val="24"/>
        </w:rPr>
        <w:t>5</w:t>
      </w:r>
      <w:r w:rsidR="00F85680">
        <w:rPr>
          <w:rFonts w:ascii="宋体" w:eastAsia="宋体" w:cs="宋体" w:hint="eastAsia"/>
          <w:kern w:val="0"/>
          <w:sz w:val="24"/>
          <w:szCs w:val="24"/>
        </w:rPr>
        <w:t>日</w:t>
      </w:r>
    </w:p>
    <w:sectPr w:rsidR="00F85680" w:rsidRPr="0015710F" w:rsidSect="007855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A8D" w:rsidRDefault="00CE2A8D" w:rsidP="00F85680">
      <w:r>
        <w:separator/>
      </w:r>
    </w:p>
  </w:endnote>
  <w:endnote w:type="continuationSeparator" w:id="0">
    <w:p w:rsidR="00CE2A8D" w:rsidRDefault="00CE2A8D" w:rsidP="00F856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A8D" w:rsidRDefault="00CE2A8D" w:rsidP="00F85680">
      <w:r>
        <w:separator/>
      </w:r>
    </w:p>
  </w:footnote>
  <w:footnote w:type="continuationSeparator" w:id="0">
    <w:p w:rsidR="00CE2A8D" w:rsidRDefault="00CE2A8D" w:rsidP="00F856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5680"/>
    <w:rsid w:val="000124EF"/>
    <w:rsid w:val="00047A68"/>
    <w:rsid w:val="0009284E"/>
    <w:rsid w:val="000D4F34"/>
    <w:rsid w:val="00104BF8"/>
    <w:rsid w:val="00115B65"/>
    <w:rsid w:val="00133E89"/>
    <w:rsid w:val="0015710F"/>
    <w:rsid w:val="0018040D"/>
    <w:rsid w:val="001C13BF"/>
    <w:rsid w:val="00273AFF"/>
    <w:rsid w:val="002F0913"/>
    <w:rsid w:val="00302BAF"/>
    <w:rsid w:val="00310684"/>
    <w:rsid w:val="003321A3"/>
    <w:rsid w:val="00335C50"/>
    <w:rsid w:val="00343D94"/>
    <w:rsid w:val="003615DB"/>
    <w:rsid w:val="003816E1"/>
    <w:rsid w:val="00413617"/>
    <w:rsid w:val="004154F5"/>
    <w:rsid w:val="00424340"/>
    <w:rsid w:val="00431EC7"/>
    <w:rsid w:val="00433BC4"/>
    <w:rsid w:val="004362D4"/>
    <w:rsid w:val="00436CE8"/>
    <w:rsid w:val="004677BB"/>
    <w:rsid w:val="00477A6B"/>
    <w:rsid w:val="004822E0"/>
    <w:rsid w:val="004E62BE"/>
    <w:rsid w:val="004F15AC"/>
    <w:rsid w:val="00502D70"/>
    <w:rsid w:val="00620ABA"/>
    <w:rsid w:val="006321FF"/>
    <w:rsid w:val="006A2652"/>
    <w:rsid w:val="006B7960"/>
    <w:rsid w:val="006C79D6"/>
    <w:rsid w:val="006E4CE4"/>
    <w:rsid w:val="007032A3"/>
    <w:rsid w:val="00724FC5"/>
    <w:rsid w:val="0073461E"/>
    <w:rsid w:val="007417AF"/>
    <w:rsid w:val="00752AA2"/>
    <w:rsid w:val="00785517"/>
    <w:rsid w:val="007C095F"/>
    <w:rsid w:val="007D2CFC"/>
    <w:rsid w:val="00825432"/>
    <w:rsid w:val="00827052"/>
    <w:rsid w:val="008408DC"/>
    <w:rsid w:val="008A2FFA"/>
    <w:rsid w:val="008E4448"/>
    <w:rsid w:val="008F2418"/>
    <w:rsid w:val="008F34AE"/>
    <w:rsid w:val="00941220"/>
    <w:rsid w:val="009A1F0F"/>
    <w:rsid w:val="00A00D2D"/>
    <w:rsid w:val="00A06270"/>
    <w:rsid w:val="00A100E9"/>
    <w:rsid w:val="00A20024"/>
    <w:rsid w:val="00A4074A"/>
    <w:rsid w:val="00AB7742"/>
    <w:rsid w:val="00AC604B"/>
    <w:rsid w:val="00AD1523"/>
    <w:rsid w:val="00AE0152"/>
    <w:rsid w:val="00AE3C95"/>
    <w:rsid w:val="00B8282D"/>
    <w:rsid w:val="00BA5B97"/>
    <w:rsid w:val="00BB6497"/>
    <w:rsid w:val="00BE4336"/>
    <w:rsid w:val="00BE6D2D"/>
    <w:rsid w:val="00BE71E1"/>
    <w:rsid w:val="00BF5AD9"/>
    <w:rsid w:val="00C40FDC"/>
    <w:rsid w:val="00C43737"/>
    <w:rsid w:val="00C46E48"/>
    <w:rsid w:val="00C7154E"/>
    <w:rsid w:val="00CB5C14"/>
    <w:rsid w:val="00CC486F"/>
    <w:rsid w:val="00CC7C7C"/>
    <w:rsid w:val="00CD299F"/>
    <w:rsid w:val="00CE2A8D"/>
    <w:rsid w:val="00D322C8"/>
    <w:rsid w:val="00D414F7"/>
    <w:rsid w:val="00D46265"/>
    <w:rsid w:val="00D47A8D"/>
    <w:rsid w:val="00D51D02"/>
    <w:rsid w:val="00D860DB"/>
    <w:rsid w:val="00DA6F36"/>
    <w:rsid w:val="00E210DC"/>
    <w:rsid w:val="00E7762C"/>
    <w:rsid w:val="00EB6680"/>
    <w:rsid w:val="00F36AF0"/>
    <w:rsid w:val="00F71E98"/>
    <w:rsid w:val="00F85680"/>
    <w:rsid w:val="00FA0F43"/>
    <w:rsid w:val="00FE42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5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56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5680"/>
    <w:rPr>
      <w:sz w:val="18"/>
      <w:szCs w:val="18"/>
    </w:rPr>
  </w:style>
  <w:style w:type="paragraph" w:styleId="a4">
    <w:name w:val="footer"/>
    <w:basedOn w:val="a"/>
    <w:link w:val="Char0"/>
    <w:uiPriority w:val="99"/>
    <w:unhideWhenUsed/>
    <w:rsid w:val="00F85680"/>
    <w:pPr>
      <w:tabs>
        <w:tab w:val="center" w:pos="4153"/>
        <w:tab w:val="right" w:pos="8306"/>
      </w:tabs>
      <w:snapToGrid w:val="0"/>
      <w:jc w:val="left"/>
    </w:pPr>
    <w:rPr>
      <w:sz w:val="18"/>
      <w:szCs w:val="18"/>
    </w:rPr>
  </w:style>
  <w:style w:type="character" w:customStyle="1" w:styleId="Char0">
    <w:name w:val="页脚 Char"/>
    <w:basedOn w:val="a0"/>
    <w:link w:val="a4"/>
    <w:uiPriority w:val="99"/>
    <w:rsid w:val="00F85680"/>
    <w:rPr>
      <w:sz w:val="18"/>
      <w:szCs w:val="18"/>
    </w:rPr>
  </w:style>
  <w:style w:type="paragraph" w:styleId="a5">
    <w:name w:val="Balloon Text"/>
    <w:basedOn w:val="a"/>
    <w:link w:val="Char1"/>
    <w:uiPriority w:val="99"/>
    <w:semiHidden/>
    <w:unhideWhenUsed/>
    <w:rsid w:val="00F85680"/>
    <w:rPr>
      <w:sz w:val="18"/>
      <w:szCs w:val="18"/>
    </w:rPr>
  </w:style>
  <w:style w:type="character" w:customStyle="1" w:styleId="Char1">
    <w:name w:val="批注框文本 Char"/>
    <w:basedOn w:val="a0"/>
    <w:link w:val="a5"/>
    <w:uiPriority w:val="99"/>
    <w:semiHidden/>
    <w:rsid w:val="00F85680"/>
    <w:rPr>
      <w:sz w:val="18"/>
      <w:szCs w:val="18"/>
    </w:rPr>
  </w:style>
  <w:style w:type="paragraph" w:styleId="a6">
    <w:name w:val="List Paragraph"/>
    <w:basedOn w:val="a"/>
    <w:uiPriority w:val="34"/>
    <w:qFormat/>
    <w:rsid w:val="00F85680"/>
    <w:pPr>
      <w:ind w:firstLineChars="200" w:firstLine="420"/>
    </w:pPr>
  </w:style>
  <w:style w:type="paragraph" w:customStyle="1" w:styleId="Default">
    <w:name w:val="Default"/>
    <w:rsid w:val="00FA0F43"/>
    <w:pPr>
      <w:widowControl w:val="0"/>
      <w:autoSpaceDE w:val="0"/>
      <w:autoSpaceDN w:val="0"/>
      <w:adjustRightInd w:val="0"/>
    </w:pPr>
    <w:rPr>
      <w:rFonts w:ascii="宋体" w:hAnsi="宋体" w:cs="宋体"/>
      <w:color w:val="000000"/>
      <w:kern w:val="0"/>
      <w:sz w:val="24"/>
      <w:szCs w:val="24"/>
    </w:rPr>
  </w:style>
  <w:style w:type="character" w:styleId="a7">
    <w:name w:val="annotation reference"/>
    <w:basedOn w:val="a0"/>
    <w:uiPriority w:val="99"/>
    <w:semiHidden/>
    <w:unhideWhenUsed/>
    <w:rsid w:val="00431EC7"/>
    <w:rPr>
      <w:sz w:val="21"/>
      <w:szCs w:val="21"/>
    </w:rPr>
  </w:style>
  <w:style w:type="paragraph" w:styleId="a8">
    <w:name w:val="annotation text"/>
    <w:basedOn w:val="a"/>
    <w:link w:val="Char2"/>
    <w:uiPriority w:val="99"/>
    <w:semiHidden/>
    <w:unhideWhenUsed/>
    <w:rsid w:val="00431EC7"/>
    <w:pPr>
      <w:jc w:val="left"/>
    </w:pPr>
  </w:style>
  <w:style w:type="character" w:customStyle="1" w:styleId="Char2">
    <w:name w:val="批注文字 Char"/>
    <w:basedOn w:val="a0"/>
    <w:link w:val="a8"/>
    <w:uiPriority w:val="99"/>
    <w:semiHidden/>
    <w:rsid w:val="00431EC7"/>
  </w:style>
  <w:style w:type="paragraph" w:styleId="a9">
    <w:name w:val="annotation subject"/>
    <w:basedOn w:val="a8"/>
    <w:next w:val="a8"/>
    <w:link w:val="Char3"/>
    <w:uiPriority w:val="99"/>
    <w:semiHidden/>
    <w:unhideWhenUsed/>
    <w:rsid w:val="00431EC7"/>
    <w:rPr>
      <w:b/>
      <w:bCs/>
    </w:rPr>
  </w:style>
  <w:style w:type="character" w:customStyle="1" w:styleId="Char3">
    <w:name w:val="批注主题 Char"/>
    <w:basedOn w:val="Char2"/>
    <w:link w:val="a9"/>
    <w:uiPriority w:val="99"/>
    <w:semiHidden/>
    <w:rsid w:val="00431EC7"/>
    <w:rPr>
      <w:b/>
      <w:bCs/>
    </w:rPr>
  </w:style>
  <w:style w:type="paragraph" w:styleId="aa">
    <w:name w:val="Revision"/>
    <w:hidden/>
    <w:uiPriority w:val="99"/>
    <w:semiHidden/>
    <w:rsid w:val="00477A6B"/>
  </w:style>
</w:styles>
</file>

<file path=word/webSettings.xml><?xml version="1.0" encoding="utf-8"?>
<w:webSettings xmlns:r="http://schemas.openxmlformats.org/officeDocument/2006/relationships" xmlns:w="http://schemas.openxmlformats.org/wordprocessingml/2006/main">
  <w:divs>
    <w:div w:id="211663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1254</Characters>
  <Application>Microsoft Office Word</Application>
  <DocSecurity>4</DocSecurity>
  <Lines>10</Lines>
  <Paragraphs>2</Paragraphs>
  <ScaleCrop>false</ScaleCrop>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范晓娟二次反馈</dc:creator>
  <cp:lastModifiedBy>ZHONGM</cp:lastModifiedBy>
  <cp:revision>2</cp:revision>
  <cp:lastPrinted>2020-10-14T05:48:00Z</cp:lastPrinted>
  <dcterms:created xsi:type="dcterms:W3CDTF">2025-11-04T16:01:00Z</dcterms:created>
  <dcterms:modified xsi:type="dcterms:W3CDTF">2025-11-04T16:01:00Z</dcterms:modified>
</cp:coreProperties>
</file>