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62" w:rsidRDefault="00D06562">
      <w:pPr>
        <w:tabs>
          <w:tab w:val="left" w:pos="993"/>
        </w:tabs>
        <w:jc w:val="center"/>
        <w:rPr>
          <w:sz w:val="24"/>
        </w:rPr>
      </w:pPr>
    </w:p>
    <w:p w:rsidR="00D06562" w:rsidRDefault="00D06562">
      <w:pPr>
        <w:jc w:val="center"/>
        <w:rPr>
          <w:sz w:val="24"/>
        </w:rPr>
      </w:pPr>
    </w:p>
    <w:p w:rsidR="00D06562" w:rsidRDefault="00D06562">
      <w:pPr>
        <w:jc w:val="center"/>
        <w:rPr>
          <w:sz w:val="24"/>
        </w:rPr>
      </w:pPr>
    </w:p>
    <w:p w:rsidR="00D06562" w:rsidRDefault="00D06562">
      <w:pPr>
        <w:jc w:val="center"/>
        <w:rPr>
          <w:sz w:val="36"/>
          <w:szCs w:val="36"/>
        </w:rPr>
      </w:pPr>
    </w:p>
    <w:p w:rsidR="00D06562" w:rsidRDefault="00D358E2">
      <w:pPr>
        <w:jc w:val="center"/>
        <w:rPr>
          <w:b/>
          <w:sz w:val="36"/>
          <w:szCs w:val="36"/>
        </w:rPr>
      </w:pPr>
      <w:bookmarkStart w:id="0" w:name="t_1_0_table"/>
      <w:bookmarkEnd w:id="0"/>
      <w:r>
        <w:rPr>
          <w:b/>
          <w:sz w:val="36"/>
          <w:szCs w:val="36"/>
        </w:rPr>
        <w:t>平安基金管理有限公司</w:t>
      </w:r>
    </w:p>
    <w:p w:rsidR="00D06562" w:rsidRDefault="00D358E2">
      <w:pPr>
        <w:jc w:val="center"/>
        <w:rPr>
          <w:b/>
          <w:sz w:val="36"/>
          <w:szCs w:val="36"/>
        </w:rPr>
      </w:pPr>
      <w:r>
        <w:rPr>
          <w:b/>
          <w:sz w:val="36"/>
          <w:szCs w:val="36"/>
        </w:rPr>
        <w:t>关于</w:t>
      </w:r>
      <w:r>
        <w:rPr>
          <w:rFonts w:hint="eastAsia"/>
          <w:b/>
          <w:sz w:val="36"/>
          <w:szCs w:val="36"/>
        </w:rPr>
        <w:t>平安恒生指数增强型证券投资基金</w:t>
      </w:r>
    </w:p>
    <w:p w:rsidR="00D06562" w:rsidRDefault="00D358E2">
      <w:pPr>
        <w:jc w:val="center"/>
        <w:rPr>
          <w:b/>
          <w:sz w:val="36"/>
          <w:szCs w:val="36"/>
        </w:rPr>
      </w:pPr>
      <w:r>
        <w:rPr>
          <w:b/>
          <w:sz w:val="36"/>
          <w:szCs w:val="36"/>
        </w:rPr>
        <w:t>基金合同生效公告</w:t>
      </w:r>
      <w:bookmarkStart w:id="1" w:name="t_1_0_0002_a2_fm1"/>
      <w:bookmarkEnd w:id="1"/>
    </w:p>
    <w:p w:rsidR="00D06562" w:rsidRDefault="00D06562">
      <w:pPr>
        <w:jc w:val="center"/>
        <w:rPr>
          <w:b/>
          <w:sz w:val="36"/>
          <w:szCs w:val="36"/>
        </w:rPr>
      </w:pPr>
    </w:p>
    <w:p w:rsidR="00D06562" w:rsidRDefault="00D06562">
      <w:pPr>
        <w:jc w:val="center"/>
        <w:rPr>
          <w:sz w:val="30"/>
          <w:szCs w:val="30"/>
        </w:rPr>
      </w:pPr>
    </w:p>
    <w:p w:rsidR="00D06562" w:rsidRDefault="00D06562">
      <w:pPr>
        <w:jc w:val="center"/>
        <w:rPr>
          <w:sz w:val="30"/>
          <w:szCs w:val="30"/>
        </w:rPr>
      </w:pPr>
    </w:p>
    <w:p w:rsidR="00D06562" w:rsidRDefault="00D06562">
      <w:pPr>
        <w:jc w:val="center"/>
        <w:rPr>
          <w:sz w:val="30"/>
          <w:szCs w:val="30"/>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358E2">
      <w:pPr>
        <w:jc w:val="center"/>
        <w:rPr>
          <w:b/>
          <w:sz w:val="28"/>
          <w:szCs w:val="28"/>
        </w:rPr>
      </w:pPr>
      <w:r>
        <w:rPr>
          <w:b/>
          <w:sz w:val="28"/>
          <w:szCs w:val="28"/>
        </w:rPr>
        <w:t>公告送出日期：</w:t>
      </w:r>
      <w:bookmarkStart w:id="2" w:name="t_1_0_0003_a1_fm1"/>
      <w:bookmarkEnd w:id="2"/>
      <w:r>
        <w:rPr>
          <w:b/>
          <w:sz w:val="28"/>
          <w:szCs w:val="28"/>
        </w:rPr>
        <w:t>2025</w:t>
      </w:r>
      <w:r>
        <w:rPr>
          <w:b/>
          <w:sz w:val="28"/>
          <w:szCs w:val="28"/>
        </w:rPr>
        <w:t>年</w:t>
      </w:r>
      <w:r>
        <w:rPr>
          <w:b/>
          <w:sz w:val="28"/>
          <w:szCs w:val="28"/>
        </w:rPr>
        <w:t>1</w:t>
      </w:r>
      <w:r>
        <w:rPr>
          <w:rFonts w:hint="eastAsia"/>
          <w:b/>
          <w:sz w:val="28"/>
          <w:szCs w:val="28"/>
        </w:rPr>
        <w:t>1</w:t>
      </w:r>
      <w:r>
        <w:rPr>
          <w:b/>
          <w:sz w:val="28"/>
          <w:szCs w:val="28"/>
        </w:rPr>
        <w:t>月</w:t>
      </w:r>
      <w:r>
        <w:rPr>
          <w:rFonts w:hint="eastAsia"/>
          <w:b/>
          <w:sz w:val="28"/>
          <w:szCs w:val="28"/>
        </w:rPr>
        <w:t>5</w:t>
      </w:r>
      <w:r>
        <w:rPr>
          <w:b/>
          <w:sz w:val="28"/>
          <w:szCs w:val="28"/>
        </w:rPr>
        <w:t>日</w:t>
      </w:r>
    </w:p>
    <w:p w:rsidR="00D06562" w:rsidRDefault="00D06562">
      <w:pPr>
        <w:rPr>
          <w:b/>
          <w:sz w:val="24"/>
        </w:rPr>
      </w:pPr>
    </w:p>
    <w:p w:rsidR="00D06562" w:rsidRDefault="00D06562">
      <w:pPr>
        <w:rPr>
          <w:sz w:val="24"/>
        </w:rPr>
      </w:pPr>
    </w:p>
    <w:p w:rsidR="00D06562" w:rsidRDefault="00D06562">
      <w:pPr>
        <w:rPr>
          <w:sz w:val="24"/>
        </w:rPr>
      </w:pPr>
    </w:p>
    <w:p w:rsidR="00D06562" w:rsidRDefault="00D06562">
      <w:pPr>
        <w:rPr>
          <w:sz w:val="24"/>
        </w:rPr>
      </w:pPr>
    </w:p>
    <w:p w:rsidR="00D06562" w:rsidRDefault="00D06562">
      <w:pPr>
        <w:widowControl/>
        <w:spacing w:line="360" w:lineRule="auto"/>
        <w:rPr>
          <w:b/>
          <w:bCs/>
          <w:kern w:val="0"/>
          <w:sz w:val="24"/>
        </w:rPr>
      </w:pPr>
    </w:p>
    <w:p w:rsidR="00D06562" w:rsidRDefault="00D06562">
      <w:pPr>
        <w:widowControl/>
        <w:spacing w:line="360" w:lineRule="auto"/>
        <w:rPr>
          <w:b/>
          <w:bCs/>
          <w:kern w:val="0"/>
          <w:sz w:val="24"/>
        </w:rPr>
      </w:pPr>
    </w:p>
    <w:p w:rsidR="00D06562" w:rsidRDefault="00D06562">
      <w:pPr>
        <w:widowControl/>
        <w:spacing w:line="360" w:lineRule="auto"/>
        <w:rPr>
          <w:b/>
          <w:bCs/>
          <w:kern w:val="0"/>
          <w:sz w:val="24"/>
        </w:rPr>
      </w:pPr>
    </w:p>
    <w:p w:rsidR="00D06562" w:rsidRDefault="00D06562">
      <w:pPr>
        <w:widowControl/>
        <w:spacing w:line="360" w:lineRule="auto"/>
        <w:rPr>
          <w:b/>
          <w:bCs/>
          <w:kern w:val="0"/>
          <w:sz w:val="24"/>
        </w:rPr>
      </w:pPr>
    </w:p>
    <w:p w:rsidR="00D06562" w:rsidRDefault="00D06562">
      <w:pPr>
        <w:widowControl/>
        <w:spacing w:line="360" w:lineRule="auto"/>
        <w:rPr>
          <w:b/>
          <w:bCs/>
          <w:kern w:val="0"/>
          <w:sz w:val="24"/>
        </w:rPr>
      </w:pPr>
    </w:p>
    <w:p w:rsidR="00D06562" w:rsidRDefault="00D06562">
      <w:pPr>
        <w:widowControl/>
        <w:spacing w:line="360" w:lineRule="auto"/>
        <w:rPr>
          <w:b/>
          <w:bCs/>
          <w:kern w:val="0"/>
          <w:sz w:val="24"/>
        </w:rPr>
      </w:pPr>
    </w:p>
    <w:p w:rsidR="00D06562" w:rsidRDefault="00D358E2">
      <w:pPr>
        <w:widowControl/>
        <w:spacing w:line="360" w:lineRule="auto"/>
        <w:jc w:val="left"/>
        <w:outlineLvl w:val="2"/>
        <w:rPr>
          <w:b/>
          <w:bCs/>
          <w:kern w:val="0"/>
          <w:szCs w:val="21"/>
        </w:rPr>
      </w:pPr>
      <w:r>
        <w:rPr>
          <w:b/>
          <w:bCs/>
          <w:kern w:val="0"/>
          <w:szCs w:val="21"/>
        </w:rPr>
        <w:t>1.</w:t>
      </w:r>
      <w:r>
        <w:rPr>
          <w:b/>
          <w:bCs/>
          <w:kern w:val="0"/>
          <w:szCs w:val="21"/>
        </w:rPr>
        <w:t>公告基本信息</w:t>
      </w:r>
    </w:p>
    <w:tbl>
      <w:tblPr>
        <w:tblW w:w="883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114"/>
        <w:gridCol w:w="2171"/>
        <w:gridCol w:w="2153"/>
      </w:tblGrid>
      <w:tr w:rsidR="00D06562">
        <w:tc>
          <w:tcPr>
            <w:tcW w:w="2397" w:type="dxa"/>
          </w:tcPr>
          <w:p w:rsidR="00D06562" w:rsidRDefault="00D358E2">
            <w:pPr>
              <w:widowControl/>
              <w:spacing w:line="360" w:lineRule="auto"/>
              <w:jc w:val="left"/>
              <w:rPr>
                <w:kern w:val="0"/>
                <w:szCs w:val="21"/>
              </w:rPr>
            </w:pPr>
            <w:r>
              <w:rPr>
                <w:kern w:val="0"/>
                <w:szCs w:val="21"/>
              </w:rPr>
              <w:t>基金名称</w:t>
            </w:r>
          </w:p>
        </w:tc>
        <w:tc>
          <w:tcPr>
            <w:tcW w:w="6438" w:type="dxa"/>
            <w:gridSpan w:val="3"/>
            <w:vAlign w:val="center"/>
          </w:tcPr>
          <w:p w:rsidR="00D06562" w:rsidRDefault="00D358E2">
            <w:pPr>
              <w:widowControl/>
              <w:spacing w:line="360" w:lineRule="auto"/>
              <w:rPr>
                <w:kern w:val="0"/>
                <w:szCs w:val="21"/>
              </w:rPr>
            </w:pPr>
            <w:r>
              <w:rPr>
                <w:rFonts w:hint="eastAsia"/>
                <w:kern w:val="0"/>
                <w:szCs w:val="21"/>
              </w:rPr>
              <w:t>平安恒生指数增强型证券投资基金</w:t>
            </w:r>
          </w:p>
        </w:tc>
      </w:tr>
      <w:tr w:rsidR="00D06562">
        <w:tc>
          <w:tcPr>
            <w:tcW w:w="2397" w:type="dxa"/>
          </w:tcPr>
          <w:p w:rsidR="00D06562" w:rsidRDefault="00D358E2">
            <w:pPr>
              <w:widowControl/>
              <w:spacing w:line="360" w:lineRule="auto"/>
              <w:jc w:val="left"/>
              <w:rPr>
                <w:kern w:val="0"/>
                <w:szCs w:val="21"/>
              </w:rPr>
            </w:pPr>
            <w:r>
              <w:rPr>
                <w:kern w:val="0"/>
                <w:szCs w:val="21"/>
              </w:rPr>
              <w:t>基金简称</w:t>
            </w:r>
          </w:p>
        </w:tc>
        <w:tc>
          <w:tcPr>
            <w:tcW w:w="6438" w:type="dxa"/>
            <w:gridSpan w:val="3"/>
            <w:vAlign w:val="center"/>
          </w:tcPr>
          <w:p w:rsidR="00D06562" w:rsidRDefault="00D358E2">
            <w:pPr>
              <w:rPr>
                <w:szCs w:val="21"/>
              </w:rPr>
            </w:pPr>
            <w:r>
              <w:rPr>
                <w:rFonts w:hint="eastAsia"/>
                <w:kern w:val="0"/>
                <w:szCs w:val="21"/>
              </w:rPr>
              <w:t>平安恒生指数增强</w:t>
            </w:r>
          </w:p>
        </w:tc>
      </w:tr>
      <w:tr w:rsidR="00D06562">
        <w:tc>
          <w:tcPr>
            <w:tcW w:w="2397" w:type="dxa"/>
          </w:tcPr>
          <w:p w:rsidR="00D06562" w:rsidRDefault="00D358E2">
            <w:pPr>
              <w:widowControl/>
              <w:spacing w:line="360" w:lineRule="auto"/>
              <w:jc w:val="left"/>
              <w:rPr>
                <w:kern w:val="0"/>
                <w:szCs w:val="21"/>
              </w:rPr>
            </w:pPr>
            <w:r>
              <w:rPr>
                <w:kern w:val="0"/>
                <w:szCs w:val="21"/>
              </w:rPr>
              <w:t>基金主代码</w:t>
            </w:r>
          </w:p>
        </w:tc>
        <w:tc>
          <w:tcPr>
            <w:tcW w:w="6438" w:type="dxa"/>
            <w:gridSpan w:val="3"/>
          </w:tcPr>
          <w:p w:rsidR="00D06562" w:rsidRDefault="00D358E2">
            <w:pPr>
              <w:autoSpaceDE w:val="0"/>
              <w:autoSpaceDN w:val="0"/>
              <w:adjustRightInd w:val="0"/>
              <w:spacing w:line="360" w:lineRule="auto"/>
              <w:jc w:val="left"/>
              <w:rPr>
                <w:kern w:val="0"/>
                <w:szCs w:val="21"/>
              </w:rPr>
            </w:pPr>
            <w:r>
              <w:t>025293</w:t>
            </w:r>
          </w:p>
        </w:tc>
      </w:tr>
      <w:tr w:rsidR="00D06562">
        <w:tc>
          <w:tcPr>
            <w:tcW w:w="2397" w:type="dxa"/>
          </w:tcPr>
          <w:p w:rsidR="00D06562" w:rsidRDefault="00D358E2">
            <w:pPr>
              <w:widowControl/>
              <w:spacing w:line="360" w:lineRule="auto"/>
              <w:jc w:val="left"/>
              <w:rPr>
                <w:kern w:val="0"/>
                <w:szCs w:val="21"/>
              </w:rPr>
            </w:pPr>
            <w:r>
              <w:rPr>
                <w:kern w:val="0"/>
                <w:szCs w:val="21"/>
              </w:rPr>
              <w:t>基金运作方式</w:t>
            </w:r>
          </w:p>
        </w:tc>
        <w:tc>
          <w:tcPr>
            <w:tcW w:w="6438" w:type="dxa"/>
            <w:gridSpan w:val="3"/>
          </w:tcPr>
          <w:p w:rsidR="00D06562" w:rsidRDefault="00D358E2">
            <w:pPr>
              <w:widowControl/>
              <w:spacing w:line="360" w:lineRule="auto"/>
              <w:jc w:val="left"/>
              <w:rPr>
                <w:kern w:val="0"/>
                <w:szCs w:val="21"/>
              </w:rPr>
            </w:pPr>
            <w:r>
              <w:rPr>
                <w:rFonts w:hint="eastAsia"/>
                <w:kern w:val="0"/>
                <w:szCs w:val="21"/>
              </w:rPr>
              <w:t>契约型开放式</w:t>
            </w:r>
          </w:p>
        </w:tc>
      </w:tr>
      <w:tr w:rsidR="00D06562">
        <w:tc>
          <w:tcPr>
            <w:tcW w:w="2397" w:type="dxa"/>
          </w:tcPr>
          <w:p w:rsidR="00D06562" w:rsidRDefault="00D358E2">
            <w:pPr>
              <w:widowControl/>
              <w:spacing w:line="360" w:lineRule="auto"/>
              <w:jc w:val="left"/>
              <w:rPr>
                <w:kern w:val="0"/>
                <w:szCs w:val="21"/>
              </w:rPr>
            </w:pPr>
            <w:r>
              <w:rPr>
                <w:kern w:val="0"/>
                <w:szCs w:val="21"/>
              </w:rPr>
              <w:t>基金合同生效日期</w:t>
            </w:r>
          </w:p>
        </w:tc>
        <w:tc>
          <w:tcPr>
            <w:tcW w:w="6438" w:type="dxa"/>
            <w:gridSpan w:val="3"/>
          </w:tcPr>
          <w:p w:rsidR="00D06562" w:rsidRDefault="00D358E2">
            <w:pPr>
              <w:widowControl/>
              <w:spacing w:line="360" w:lineRule="auto"/>
              <w:jc w:val="left"/>
              <w:rPr>
                <w:kern w:val="0"/>
                <w:szCs w:val="21"/>
              </w:rPr>
            </w:pPr>
            <w:r>
              <w:rPr>
                <w:kern w:val="0"/>
                <w:szCs w:val="21"/>
              </w:rPr>
              <w:t>2025</w:t>
            </w:r>
            <w:r>
              <w:rPr>
                <w:kern w:val="0"/>
                <w:szCs w:val="21"/>
              </w:rPr>
              <w:t>年</w:t>
            </w:r>
            <w:r>
              <w:rPr>
                <w:rFonts w:hint="eastAsia"/>
                <w:kern w:val="0"/>
                <w:szCs w:val="21"/>
              </w:rPr>
              <w:t>11</w:t>
            </w:r>
            <w:r>
              <w:rPr>
                <w:rFonts w:hint="eastAsia"/>
                <w:kern w:val="0"/>
                <w:szCs w:val="21"/>
              </w:rPr>
              <w:t>月</w:t>
            </w:r>
            <w:r>
              <w:rPr>
                <w:rFonts w:hint="eastAsia"/>
                <w:kern w:val="0"/>
                <w:szCs w:val="21"/>
              </w:rPr>
              <w:t>4</w:t>
            </w:r>
            <w:r>
              <w:rPr>
                <w:rFonts w:hint="eastAsia"/>
                <w:kern w:val="0"/>
                <w:szCs w:val="21"/>
              </w:rPr>
              <w:t>日</w:t>
            </w:r>
          </w:p>
        </w:tc>
      </w:tr>
      <w:tr w:rsidR="00D06562">
        <w:tc>
          <w:tcPr>
            <w:tcW w:w="2397" w:type="dxa"/>
          </w:tcPr>
          <w:p w:rsidR="00D06562" w:rsidRDefault="00D358E2">
            <w:pPr>
              <w:widowControl/>
              <w:spacing w:line="360" w:lineRule="auto"/>
              <w:jc w:val="left"/>
              <w:rPr>
                <w:kern w:val="0"/>
                <w:szCs w:val="21"/>
              </w:rPr>
            </w:pPr>
            <w:r>
              <w:rPr>
                <w:kern w:val="0"/>
                <w:szCs w:val="21"/>
              </w:rPr>
              <w:t>基金管理人名称</w:t>
            </w:r>
          </w:p>
        </w:tc>
        <w:tc>
          <w:tcPr>
            <w:tcW w:w="6438" w:type="dxa"/>
            <w:gridSpan w:val="3"/>
          </w:tcPr>
          <w:p w:rsidR="00D06562" w:rsidRDefault="00D358E2">
            <w:pPr>
              <w:widowControl/>
              <w:spacing w:line="360" w:lineRule="auto"/>
              <w:jc w:val="left"/>
              <w:rPr>
                <w:kern w:val="0"/>
                <w:szCs w:val="21"/>
              </w:rPr>
            </w:pPr>
            <w:r>
              <w:rPr>
                <w:kern w:val="0"/>
                <w:szCs w:val="21"/>
              </w:rPr>
              <w:t>平安基金管理有限公司</w:t>
            </w:r>
          </w:p>
        </w:tc>
      </w:tr>
      <w:tr w:rsidR="00D06562">
        <w:tc>
          <w:tcPr>
            <w:tcW w:w="2397" w:type="dxa"/>
          </w:tcPr>
          <w:p w:rsidR="00D06562" w:rsidRDefault="00D358E2">
            <w:pPr>
              <w:widowControl/>
              <w:spacing w:line="360" w:lineRule="auto"/>
              <w:jc w:val="left"/>
              <w:rPr>
                <w:kern w:val="0"/>
                <w:szCs w:val="21"/>
              </w:rPr>
            </w:pPr>
            <w:r>
              <w:rPr>
                <w:kern w:val="0"/>
                <w:szCs w:val="21"/>
              </w:rPr>
              <w:t>基金托管人名称</w:t>
            </w:r>
          </w:p>
        </w:tc>
        <w:tc>
          <w:tcPr>
            <w:tcW w:w="6438" w:type="dxa"/>
            <w:gridSpan w:val="3"/>
          </w:tcPr>
          <w:p w:rsidR="00D06562" w:rsidRDefault="00D358E2">
            <w:pPr>
              <w:widowControl/>
              <w:spacing w:line="360" w:lineRule="auto"/>
              <w:jc w:val="left"/>
              <w:rPr>
                <w:kern w:val="0"/>
                <w:szCs w:val="21"/>
              </w:rPr>
            </w:pPr>
            <w:r>
              <w:rPr>
                <w:rFonts w:hint="eastAsia"/>
                <w:szCs w:val="21"/>
              </w:rPr>
              <w:t>平安银行股份有限公司</w:t>
            </w:r>
          </w:p>
        </w:tc>
      </w:tr>
      <w:tr w:rsidR="00D06562">
        <w:tc>
          <w:tcPr>
            <w:tcW w:w="2397" w:type="dxa"/>
          </w:tcPr>
          <w:p w:rsidR="00D06562" w:rsidRDefault="00D358E2">
            <w:pPr>
              <w:widowControl/>
              <w:spacing w:line="360" w:lineRule="auto"/>
              <w:jc w:val="left"/>
              <w:rPr>
                <w:kern w:val="0"/>
                <w:szCs w:val="21"/>
              </w:rPr>
            </w:pPr>
            <w:r>
              <w:rPr>
                <w:kern w:val="0"/>
                <w:szCs w:val="21"/>
              </w:rPr>
              <w:t>公告依据</w:t>
            </w:r>
          </w:p>
        </w:tc>
        <w:tc>
          <w:tcPr>
            <w:tcW w:w="6438" w:type="dxa"/>
            <w:gridSpan w:val="3"/>
          </w:tcPr>
          <w:p w:rsidR="00D06562" w:rsidRDefault="00D358E2">
            <w:pPr>
              <w:widowControl/>
              <w:spacing w:line="360" w:lineRule="auto"/>
              <w:jc w:val="left"/>
              <w:rPr>
                <w:kern w:val="0"/>
                <w:szCs w:val="21"/>
              </w:rPr>
            </w:pPr>
            <w:r>
              <w:rPr>
                <w:kern w:val="0"/>
                <w:szCs w:val="21"/>
              </w:rPr>
              <w:t>《中华人民共和国证券投资基金法》及其配套法规、《</w:t>
            </w:r>
            <w:r>
              <w:rPr>
                <w:rFonts w:hint="eastAsia"/>
                <w:kern w:val="0"/>
                <w:szCs w:val="21"/>
              </w:rPr>
              <w:t>平安恒生指数增强型证券投资基金</w:t>
            </w:r>
            <w:r>
              <w:rPr>
                <w:kern w:val="0"/>
                <w:szCs w:val="21"/>
              </w:rPr>
              <w:t>基金合同》、《</w:t>
            </w:r>
            <w:r>
              <w:rPr>
                <w:rFonts w:hint="eastAsia"/>
                <w:kern w:val="0"/>
                <w:szCs w:val="21"/>
              </w:rPr>
              <w:t>平安恒生指数增强型证券投资基金</w:t>
            </w:r>
            <w:r>
              <w:rPr>
                <w:kern w:val="0"/>
                <w:szCs w:val="21"/>
              </w:rPr>
              <w:t>招募说明书》等</w:t>
            </w:r>
          </w:p>
        </w:tc>
      </w:tr>
      <w:tr w:rsidR="00D06562">
        <w:tc>
          <w:tcPr>
            <w:tcW w:w="2397" w:type="dxa"/>
          </w:tcPr>
          <w:p w:rsidR="00D06562" w:rsidRDefault="00D358E2">
            <w:pPr>
              <w:widowControl/>
              <w:spacing w:line="360" w:lineRule="auto"/>
              <w:jc w:val="left"/>
              <w:rPr>
                <w:kern w:val="0"/>
                <w:szCs w:val="21"/>
              </w:rPr>
            </w:pPr>
            <w:r>
              <w:rPr>
                <w:szCs w:val="21"/>
              </w:rPr>
              <w:t>下属基金份额类别</w:t>
            </w:r>
          </w:p>
        </w:tc>
        <w:tc>
          <w:tcPr>
            <w:tcW w:w="2114" w:type="dxa"/>
            <w:vAlign w:val="center"/>
          </w:tcPr>
          <w:p w:rsidR="00D06562" w:rsidRDefault="00D358E2">
            <w:pPr>
              <w:widowControl/>
              <w:spacing w:line="360" w:lineRule="auto"/>
              <w:jc w:val="center"/>
              <w:rPr>
                <w:kern w:val="0"/>
                <w:szCs w:val="21"/>
              </w:rPr>
            </w:pPr>
            <w:r>
              <w:rPr>
                <w:rFonts w:hint="eastAsia"/>
                <w:kern w:val="0"/>
                <w:szCs w:val="21"/>
              </w:rPr>
              <w:t>平安恒生指数增强</w:t>
            </w:r>
            <w:r>
              <w:rPr>
                <w:kern w:val="0"/>
                <w:szCs w:val="21"/>
              </w:rPr>
              <w:t>A</w:t>
            </w:r>
          </w:p>
        </w:tc>
        <w:tc>
          <w:tcPr>
            <w:tcW w:w="2171" w:type="dxa"/>
            <w:vAlign w:val="center"/>
          </w:tcPr>
          <w:p w:rsidR="00D06562" w:rsidRDefault="00D358E2">
            <w:pPr>
              <w:widowControl/>
              <w:spacing w:line="360" w:lineRule="auto"/>
              <w:jc w:val="center"/>
              <w:rPr>
                <w:szCs w:val="21"/>
              </w:rPr>
            </w:pPr>
            <w:r>
              <w:rPr>
                <w:rFonts w:hint="eastAsia"/>
                <w:kern w:val="0"/>
                <w:szCs w:val="21"/>
              </w:rPr>
              <w:t>平安恒生指数增强</w:t>
            </w:r>
            <w:r>
              <w:rPr>
                <w:rFonts w:hint="eastAsia"/>
                <w:kern w:val="0"/>
                <w:szCs w:val="21"/>
              </w:rPr>
              <w:t>C</w:t>
            </w:r>
          </w:p>
        </w:tc>
        <w:tc>
          <w:tcPr>
            <w:tcW w:w="2153" w:type="dxa"/>
            <w:vAlign w:val="center"/>
          </w:tcPr>
          <w:p w:rsidR="00D06562" w:rsidRDefault="00D358E2">
            <w:pPr>
              <w:widowControl/>
              <w:spacing w:line="360" w:lineRule="auto"/>
              <w:jc w:val="center"/>
              <w:rPr>
                <w:szCs w:val="21"/>
              </w:rPr>
            </w:pPr>
            <w:r>
              <w:rPr>
                <w:rFonts w:hint="eastAsia"/>
                <w:kern w:val="0"/>
                <w:szCs w:val="21"/>
              </w:rPr>
              <w:t>平安恒生指数增强</w:t>
            </w:r>
            <w:r>
              <w:rPr>
                <w:rFonts w:hint="eastAsia"/>
                <w:kern w:val="0"/>
                <w:szCs w:val="21"/>
              </w:rPr>
              <w:t>E</w:t>
            </w:r>
          </w:p>
        </w:tc>
      </w:tr>
      <w:tr w:rsidR="00D06562">
        <w:tc>
          <w:tcPr>
            <w:tcW w:w="2397" w:type="dxa"/>
          </w:tcPr>
          <w:p w:rsidR="00D06562" w:rsidRDefault="00D358E2">
            <w:pPr>
              <w:widowControl/>
              <w:spacing w:line="360" w:lineRule="auto"/>
              <w:jc w:val="left"/>
              <w:rPr>
                <w:kern w:val="0"/>
                <w:szCs w:val="21"/>
              </w:rPr>
            </w:pPr>
            <w:r>
              <w:rPr>
                <w:szCs w:val="21"/>
              </w:rPr>
              <w:t>下属基金份额类别代码</w:t>
            </w:r>
          </w:p>
        </w:tc>
        <w:tc>
          <w:tcPr>
            <w:tcW w:w="2114" w:type="dxa"/>
            <w:vAlign w:val="center"/>
          </w:tcPr>
          <w:p w:rsidR="00D06562" w:rsidRDefault="00D358E2">
            <w:pPr>
              <w:jc w:val="center"/>
            </w:pPr>
            <w:r>
              <w:rPr>
                <w:rFonts w:hint="eastAsia"/>
              </w:rPr>
              <w:t>025293</w:t>
            </w:r>
          </w:p>
        </w:tc>
        <w:tc>
          <w:tcPr>
            <w:tcW w:w="2171" w:type="dxa"/>
            <w:vAlign w:val="center"/>
          </w:tcPr>
          <w:p w:rsidR="00D06562" w:rsidRDefault="00D358E2">
            <w:pPr>
              <w:jc w:val="center"/>
            </w:pPr>
            <w:r>
              <w:rPr>
                <w:rFonts w:hint="eastAsia"/>
              </w:rPr>
              <w:t>025294</w:t>
            </w:r>
          </w:p>
        </w:tc>
        <w:tc>
          <w:tcPr>
            <w:tcW w:w="2153" w:type="dxa"/>
            <w:vAlign w:val="center"/>
          </w:tcPr>
          <w:p w:rsidR="00D06562" w:rsidRDefault="00D358E2">
            <w:pPr>
              <w:jc w:val="center"/>
            </w:pPr>
            <w:r>
              <w:rPr>
                <w:rFonts w:hint="eastAsia"/>
              </w:rPr>
              <w:t>025295</w:t>
            </w:r>
          </w:p>
        </w:tc>
      </w:tr>
    </w:tbl>
    <w:p w:rsidR="00D06562" w:rsidRDefault="00D06562">
      <w:pPr>
        <w:widowControl/>
        <w:spacing w:line="360" w:lineRule="auto"/>
        <w:jc w:val="left"/>
        <w:outlineLvl w:val="2"/>
        <w:rPr>
          <w:b/>
          <w:bCs/>
          <w:kern w:val="0"/>
          <w:szCs w:val="21"/>
        </w:rPr>
      </w:pPr>
    </w:p>
    <w:p w:rsidR="00D06562" w:rsidRDefault="00D358E2">
      <w:pPr>
        <w:widowControl/>
        <w:spacing w:line="360" w:lineRule="auto"/>
        <w:jc w:val="left"/>
        <w:outlineLvl w:val="2"/>
        <w:rPr>
          <w:b/>
          <w:bCs/>
          <w:kern w:val="0"/>
          <w:szCs w:val="21"/>
        </w:rPr>
      </w:pPr>
      <w:r>
        <w:rPr>
          <w:b/>
          <w:bCs/>
          <w:kern w:val="0"/>
          <w:szCs w:val="21"/>
        </w:rPr>
        <w:t>2.</w:t>
      </w:r>
      <w:r>
        <w:rPr>
          <w:b/>
          <w:bCs/>
          <w:kern w:val="0"/>
          <w:szCs w:val="21"/>
        </w:rPr>
        <w:t>基金募集情况</w:t>
      </w:r>
    </w:p>
    <w:tbl>
      <w:tblPr>
        <w:tblW w:w="99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8"/>
        <w:gridCol w:w="1710"/>
        <w:gridCol w:w="1600"/>
        <w:gridCol w:w="8"/>
        <w:gridCol w:w="1534"/>
        <w:gridCol w:w="1384"/>
        <w:gridCol w:w="1595"/>
      </w:tblGrid>
      <w:tr w:rsidR="00D06562">
        <w:trPr>
          <w:trHeight w:val="476"/>
        </w:trPr>
        <w:tc>
          <w:tcPr>
            <w:tcW w:w="1926" w:type="pct"/>
            <w:gridSpan w:val="2"/>
          </w:tcPr>
          <w:p w:rsidR="00D06562" w:rsidRDefault="00D358E2">
            <w:pPr>
              <w:widowControl/>
              <w:spacing w:line="360" w:lineRule="auto"/>
              <w:jc w:val="left"/>
              <w:rPr>
                <w:kern w:val="0"/>
                <w:szCs w:val="21"/>
              </w:rPr>
            </w:pPr>
            <w:r>
              <w:rPr>
                <w:kern w:val="0"/>
                <w:szCs w:val="21"/>
              </w:rPr>
              <w:t>基金募集申请获中国证监会核准的文号</w:t>
            </w:r>
          </w:p>
        </w:tc>
        <w:tc>
          <w:tcPr>
            <w:tcW w:w="3073" w:type="pct"/>
            <w:gridSpan w:val="5"/>
          </w:tcPr>
          <w:p w:rsidR="00D06562" w:rsidRDefault="00D358E2">
            <w:pPr>
              <w:widowControl/>
              <w:spacing w:line="360" w:lineRule="auto"/>
              <w:jc w:val="left"/>
              <w:rPr>
                <w:kern w:val="0"/>
                <w:szCs w:val="21"/>
              </w:rPr>
            </w:pPr>
            <w:r>
              <w:rPr>
                <w:kern w:val="0"/>
                <w:szCs w:val="21"/>
              </w:rPr>
              <w:t>中国证券监督管理委员会证监许可</w:t>
            </w:r>
            <w:r>
              <w:rPr>
                <w:kern w:val="0"/>
                <w:szCs w:val="21"/>
              </w:rPr>
              <w:t>[2025]</w:t>
            </w:r>
            <w:r>
              <w:t xml:space="preserve"> </w:t>
            </w:r>
            <w:r>
              <w:rPr>
                <w:kern w:val="0"/>
                <w:szCs w:val="21"/>
              </w:rPr>
              <w:t>1</w:t>
            </w:r>
            <w:r>
              <w:rPr>
                <w:rFonts w:hint="eastAsia"/>
                <w:kern w:val="0"/>
                <w:szCs w:val="21"/>
              </w:rPr>
              <w:t>683</w:t>
            </w:r>
            <w:r>
              <w:rPr>
                <w:kern w:val="0"/>
                <w:szCs w:val="21"/>
              </w:rPr>
              <w:t>号</w:t>
            </w:r>
          </w:p>
        </w:tc>
      </w:tr>
      <w:tr w:rsidR="00D06562">
        <w:trPr>
          <w:trHeight w:val="476"/>
        </w:trPr>
        <w:tc>
          <w:tcPr>
            <w:tcW w:w="1926" w:type="pct"/>
            <w:gridSpan w:val="2"/>
          </w:tcPr>
          <w:p w:rsidR="00D06562" w:rsidRDefault="00D358E2">
            <w:pPr>
              <w:widowControl/>
              <w:spacing w:line="360" w:lineRule="auto"/>
              <w:jc w:val="left"/>
              <w:rPr>
                <w:kern w:val="0"/>
                <w:szCs w:val="21"/>
              </w:rPr>
            </w:pPr>
            <w:r>
              <w:rPr>
                <w:kern w:val="0"/>
                <w:szCs w:val="21"/>
              </w:rPr>
              <w:t>基金募集期间</w:t>
            </w:r>
          </w:p>
        </w:tc>
        <w:tc>
          <w:tcPr>
            <w:tcW w:w="3073" w:type="pct"/>
            <w:gridSpan w:val="5"/>
          </w:tcPr>
          <w:p w:rsidR="00D06562" w:rsidRDefault="00D358E2">
            <w:pPr>
              <w:widowControl/>
              <w:spacing w:line="360" w:lineRule="auto"/>
              <w:jc w:val="left"/>
              <w:rPr>
                <w:kern w:val="0"/>
                <w:szCs w:val="21"/>
              </w:rPr>
            </w:pPr>
            <w:r>
              <w:rPr>
                <w:kern w:val="0"/>
                <w:szCs w:val="21"/>
              </w:rPr>
              <w:t>自</w:t>
            </w:r>
            <w:r>
              <w:rPr>
                <w:rFonts w:hint="eastAsia"/>
                <w:kern w:val="0"/>
                <w:szCs w:val="21"/>
              </w:rPr>
              <w:t>2025</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15</w:t>
            </w:r>
            <w:r>
              <w:rPr>
                <w:rFonts w:hint="eastAsia"/>
                <w:kern w:val="0"/>
                <w:szCs w:val="21"/>
              </w:rPr>
              <w:t>日</w:t>
            </w:r>
            <w:r>
              <w:rPr>
                <w:kern w:val="0"/>
                <w:szCs w:val="21"/>
              </w:rPr>
              <w:t>至</w:t>
            </w:r>
            <w:r>
              <w:rPr>
                <w:rFonts w:hint="eastAsia"/>
                <w:kern w:val="0"/>
                <w:szCs w:val="21"/>
              </w:rPr>
              <w:t>2025</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31</w:t>
            </w:r>
            <w:r>
              <w:rPr>
                <w:rFonts w:hint="eastAsia"/>
                <w:kern w:val="0"/>
                <w:szCs w:val="21"/>
              </w:rPr>
              <w:t>日</w:t>
            </w:r>
            <w:r>
              <w:rPr>
                <w:kern w:val="0"/>
                <w:szCs w:val="21"/>
              </w:rPr>
              <w:t>止</w:t>
            </w:r>
          </w:p>
        </w:tc>
      </w:tr>
      <w:tr w:rsidR="00D06562">
        <w:trPr>
          <w:trHeight w:val="476"/>
        </w:trPr>
        <w:tc>
          <w:tcPr>
            <w:tcW w:w="1926" w:type="pct"/>
            <w:gridSpan w:val="2"/>
          </w:tcPr>
          <w:p w:rsidR="00D06562" w:rsidRDefault="00D358E2">
            <w:pPr>
              <w:widowControl/>
              <w:spacing w:line="360" w:lineRule="auto"/>
              <w:jc w:val="left"/>
              <w:rPr>
                <w:kern w:val="0"/>
                <w:szCs w:val="21"/>
              </w:rPr>
            </w:pPr>
            <w:r>
              <w:rPr>
                <w:kern w:val="0"/>
                <w:szCs w:val="21"/>
              </w:rPr>
              <w:t>验资机构名称</w:t>
            </w:r>
          </w:p>
        </w:tc>
        <w:tc>
          <w:tcPr>
            <w:tcW w:w="3073" w:type="pct"/>
            <w:gridSpan w:val="5"/>
          </w:tcPr>
          <w:p w:rsidR="00D06562" w:rsidRDefault="00D358E2">
            <w:pPr>
              <w:widowControl/>
              <w:spacing w:line="360" w:lineRule="auto"/>
              <w:jc w:val="left"/>
              <w:rPr>
                <w:kern w:val="0"/>
                <w:szCs w:val="21"/>
              </w:rPr>
            </w:pPr>
            <w:r>
              <w:rPr>
                <w:rFonts w:hint="eastAsia"/>
                <w:kern w:val="0"/>
                <w:szCs w:val="21"/>
              </w:rPr>
              <w:t>安永华明会计师事务所（特殊普通合伙）</w:t>
            </w:r>
          </w:p>
        </w:tc>
      </w:tr>
      <w:tr w:rsidR="00D06562">
        <w:trPr>
          <w:trHeight w:val="476"/>
        </w:trPr>
        <w:tc>
          <w:tcPr>
            <w:tcW w:w="1926" w:type="pct"/>
            <w:gridSpan w:val="2"/>
          </w:tcPr>
          <w:p w:rsidR="00D06562" w:rsidRDefault="00D358E2">
            <w:pPr>
              <w:widowControl/>
              <w:spacing w:line="360" w:lineRule="auto"/>
              <w:jc w:val="left"/>
              <w:rPr>
                <w:kern w:val="0"/>
                <w:szCs w:val="21"/>
              </w:rPr>
            </w:pPr>
            <w:r>
              <w:rPr>
                <w:kern w:val="0"/>
                <w:szCs w:val="21"/>
              </w:rPr>
              <w:t>募集资金划入基金托管专户的日期</w:t>
            </w:r>
          </w:p>
        </w:tc>
        <w:tc>
          <w:tcPr>
            <w:tcW w:w="3073" w:type="pct"/>
            <w:gridSpan w:val="5"/>
          </w:tcPr>
          <w:p w:rsidR="00D06562" w:rsidRDefault="00D358E2">
            <w:pPr>
              <w:widowControl/>
              <w:spacing w:line="360" w:lineRule="auto"/>
              <w:jc w:val="left"/>
              <w:rPr>
                <w:kern w:val="0"/>
                <w:szCs w:val="21"/>
              </w:rPr>
            </w:pPr>
            <w:r>
              <w:rPr>
                <w:rFonts w:hint="eastAsia"/>
                <w:kern w:val="0"/>
                <w:szCs w:val="21"/>
              </w:rPr>
              <w:t>2025</w:t>
            </w:r>
            <w:r>
              <w:rPr>
                <w:rFonts w:hint="eastAsia"/>
                <w:kern w:val="0"/>
                <w:szCs w:val="21"/>
              </w:rPr>
              <w:t>年</w:t>
            </w:r>
            <w:r>
              <w:rPr>
                <w:rFonts w:hint="eastAsia"/>
                <w:kern w:val="0"/>
                <w:szCs w:val="21"/>
              </w:rPr>
              <w:t>11</w:t>
            </w:r>
            <w:r>
              <w:rPr>
                <w:rFonts w:hint="eastAsia"/>
                <w:kern w:val="0"/>
                <w:szCs w:val="21"/>
              </w:rPr>
              <w:t>月</w:t>
            </w:r>
            <w:r>
              <w:rPr>
                <w:rFonts w:hint="eastAsia"/>
                <w:kern w:val="0"/>
                <w:szCs w:val="21"/>
              </w:rPr>
              <w:t>4</w:t>
            </w:r>
            <w:r>
              <w:rPr>
                <w:rFonts w:hint="eastAsia"/>
                <w:kern w:val="0"/>
                <w:szCs w:val="21"/>
              </w:rPr>
              <w:t>日</w:t>
            </w:r>
          </w:p>
        </w:tc>
      </w:tr>
      <w:tr w:rsidR="00D06562">
        <w:trPr>
          <w:trHeight w:val="476"/>
        </w:trPr>
        <w:tc>
          <w:tcPr>
            <w:tcW w:w="1926" w:type="pct"/>
            <w:gridSpan w:val="2"/>
          </w:tcPr>
          <w:p w:rsidR="00D06562" w:rsidRDefault="00D358E2">
            <w:pPr>
              <w:widowControl/>
              <w:spacing w:line="360" w:lineRule="auto"/>
              <w:jc w:val="left"/>
              <w:rPr>
                <w:kern w:val="0"/>
                <w:szCs w:val="21"/>
              </w:rPr>
            </w:pPr>
            <w:r>
              <w:rPr>
                <w:kern w:val="0"/>
                <w:szCs w:val="21"/>
              </w:rPr>
              <w:t>募集有效认购总户数（单位：户）</w:t>
            </w:r>
          </w:p>
        </w:tc>
        <w:tc>
          <w:tcPr>
            <w:tcW w:w="3073" w:type="pct"/>
            <w:gridSpan w:val="5"/>
          </w:tcPr>
          <w:p w:rsidR="00D06562" w:rsidRDefault="00D358E2">
            <w:pPr>
              <w:widowControl/>
              <w:spacing w:line="360" w:lineRule="auto"/>
              <w:jc w:val="left"/>
              <w:rPr>
                <w:kern w:val="0"/>
                <w:szCs w:val="21"/>
              </w:rPr>
            </w:pPr>
            <w:r>
              <w:rPr>
                <w:rFonts w:hint="eastAsia"/>
                <w:kern w:val="0"/>
                <w:szCs w:val="21"/>
              </w:rPr>
              <w:t>6,946</w:t>
            </w:r>
          </w:p>
        </w:tc>
      </w:tr>
      <w:tr w:rsidR="00D06562">
        <w:trPr>
          <w:trHeight w:val="941"/>
        </w:trPr>
        <w:tc>
          <w:tcPr>
            <w:tcW w:w="1926" w:type="pct"/>
            <w:gridSpan w:val="2"/>
          </w:tcPr>
          <w:p w:rsidR="00D06562" w:rsidRDefault="00D358E2">
            <w:pPr>
              <w:widowControl/>
              <w:spacing w:line="360" w:lineRule="auto"/>
              <w:jc w:val="left"/>
              <w:rPr>
                <w:kern w:val="0"/>
                <w:szCs w:val="21"/>
              </w:rPr>
            </w:pPr>
            <w:r>
              <w:rPr>
                <w:kern w:val="0"/>
                <w:szCs w:val="21"/>
              </w:rPr>
              <w:t>基金份额类别</w:t>
            </w:r>
          </w:p>
        </w:tc>
        <w:tc>
          <w:tcPr>
            <w:tcW w:w="803" w:type="pct"/>
            <w:vAlign w:val="center"/>
          </w:tcPr>
          <w:p w:rsidR="00D06562" w:rsidRDefault="00D358E2">
            <w:pPr>
              <w:widowControl/>
              <w:spacing w:line="360" w:lineRule="auto"/>
              <w:jc w:val="center"/>
              <w:rPr>
                <w:kern w:val="0"/>
                <w:szCs w:val="21"/>
              </w:rPr>
            </w:pPr>
            <w:r>
              <w:rPr>
                <w:rFonts w:hint="eastAsia"/>
                <w:kern w:val="0"/>
                <w:szCs w:val="21"/>
              </w:rPr>
              <w:t>平安恒生指数增强</w:t>
            </w:r>
            <w:r>
              <w:rPr>
                <w:kern w:val="0"/>
                <w:szCs w:val="21"/>
              </w:rPr>
              <w:t>A</w:t>
            </w:r>
          </w:p>
        </w:tc>
        <w:tc>
          <w:tcPr>
            <w:tcW w:w="774" w:type="pct"/>
            <w:gridSpan w:val="2"/>
            <w:vAlign w:val="center"/>
          </w:tcPr>
          <w:p w:rsidR="00D06562" w:rsidRDefault="00D358E2">
            <w:pPr>
              <w:widowControl/>
              <w:spacing w:line="360" w:lineRule="auto"/>
              <w:jc w:val="center"/>
              <w:rPr>
                <w:szCs w:val="21"/>
              </w:rPr>
            </w:pPr>
            <w:r>
              <w:rPr>
                <w:rFonts w:hint="eastAsia"/>
                <w:kern w:val="0"/>
                <w:szCs w:val="21"/>
              </w:rPr>
              <w:t>平安恒生指数增强</w:t>
            </w:r>
            <w:r>
              <w:rPr>
                <w:rFonts w:hint="eastAsia"/>
                <w:kern w:val="0"/>
                <w:szCs w:val="21"/>
              </w:rPr>
              <w:t>C</w:t>
            </w:r>
          </w:p>
        </w:tc>
        <w:tc>
          <w:tcPr>
            <w:tcW w:w="695" w:type="pct"/>
            <w:vAlign w:val="center"/>
          </w:tcPr>
          <w:p w:rsidR="00D06562" w:rsidRDefault="00D358E2">
            <w:pPr>
              <w:widowControl/>
              <w:spacing w:line="360" w:lineRule="auto"/>
              <w:jc w:val="center"/>
              <w:rPr>
                <w:kern w:val="0"/>
                <w:szCs w:val="21"/>
              </w:rPr>
            </w:pPr>
            <w:r>
              <w:rPr>
                <w:rFonts w:hint="eastAsia"/>
                <w:kern w:val="0"/>
                <w:szCs w:val="21"/>
              </w:rPr>
              <w:t>平安恒生指数增强</w:t>
            </w:r>
            <w:r>
              <w:rPr>
                <w:rFonts w:hint="eastAsia"/>
                <w:kern w:val="0"/>
                <w:szCs w:val="21"/>
              </w:rPr>
              <w:t>E</w:t>
            </w:r>
          </w:p>
        </w:tc>
        <w:tc>
          <w:tcPr>
            <w:tcW w:w="799" w:type="pct"/>
          </w:tcPr>
          <w:p w:rsidR="00D06562" w:rsidRDefault="00D358E2">
            <w:pPr>
              <w:widowControl/>
              <w:spacing w:line="360" w:lineRule="auto"/>
              <w:jc w:val="left"/>
              <w:rPr>
                <w:kern w:val="0"/>
                <w:szCs w:val="21"/>
              </w:rPr>
            </w:pPr>
            <w:r>
              <w:rPr>
                <w:kern w:val="0"/>
                <w:szCs w:val="21"/>
              </w:rPr>
              <w:t>合计</w:t>
            </w:r>
          </w:p>
        </w:tc>
      </w:tr>
      <w:tr w:rsidR="00D06562">
        <w:trPr>
          <w:trHeight w:val="631"/>
        </w:trPr>
        <w:tc>
          <w:tcPr>
            <w:tcW w:w="1926" w:type="pct"/>
            <w:gridSpan w:val="2"/>
          </w:tcPr>
          <w:p w:rsidR="00D06562" w:rsidRDefault="00D358E2">
            <w:pPr>
              <w:rPr>
                <w:kern w:val="0"/>
                <w:szCs w:val="21"/>
              </w:rPr>
            </w:pPr>
            <w:r>
              <w:rPr>
                <w:kern w:val="0"/>
                <w:szCs w:val="21"/>
              </w:rPr>
              <w:t>募集期间净认购金额（单位：元）</w:t>
            </w:r>
          </w:p>
        </w:tc>
        <w:tc>
          <w:tcPr>
            <w:tcW w:w="803" w:type="pct"/>
            <w:vAlign w:val="center"/>
          </w:tcPr>
          <w:p w:rsidR="00D06562" w:rsidRDefault="00D358E2">
            <w:pPr>
              <w:jc w:val="right"/>
            </w:pPr>
            <w:r>
              <w:rPr>
                <w:rFonts w:hint="eastAsia"/>
                <w:kern w:val="0"/>
                <w:szCs w:val="21"/>
              </w:rPr>
              <w:t>318,925,484.25</w:t>
            </w:r>
          </w:p>
        </w:tc>
        <w:tc>
          <w:tcPr>
            <w:tcW w:w="774" w:type="pct"/>
            <w:gridSpan w:val="2"/>
            <w:vAlign w:val="center"/>
          </w:tcPr>
          <w:p w:rsidR="00D06562" w:rsidRDefault="00D358E2">
            <w:pPr>
              <w:jc w:val="right"/>
              <w:rPr>
                <w:kern w:val="0"/>
                <w:szCs w:val="21"/>
              </w:rPr>
            </w:pPr>
            <w:r>
              <w:rPr>
                <w:rFonts w:hint="eastAsia"/>
                <w:kern w:val="0"/>
                <w:szCs w:val="21"/>
              </w:rPr>
              <w:t>441,664,485.44</w:t>
            </w:r>
          </w:p>
        </w:tc>
        <w:tc>
          <w:tcPr>
            <w:tcW w:w="695" w:type="pct"/>
            <w:vAlign w:val="center"/>
          </w:tcPr>
          <w:p w:rsidR="00D06562" w:rsidRDefault="00D358E2">
            <w:pPr>
              <w:jc w:val="right"/>
            </w:pPr>
            <w:r>
              <w:rPr>
                <w:rFonts w:hint="eastAsia"/>
                <w:kern w:val="0"/>
                <w:szCs w:val="21"/>
              </w:rPr>
              <w:t>3,616,006.90</w:t>
            </w:r>
          </w:p>
        </w:tc>
        <w:tc>
          <w:tcPr>
            <w:tcW w:w="799" w:type="pct"/>
            <w:vAlign w:val="center"/>
          </w:tcPr>
          <w:p w:rsidR="00D06562" w:rsidRDefault="00D358E2">
            <w:pPr>
              <w:jc w:val="right"/>
            </w:pPr>
            <w:r>
              <w:rPr>
                <w:rFonts w:hint="eastAsia"/>
                <w:kern w:val="0"/>
                <w:szCs w:val="21"/>
              </w:rPr>
              <w:t>764,205,976.59</w:t>
            </w:r>
          </w:p>
        </w:tc>
      </w:tr>
      <w:tr w:rsidR="00D06562">
        <w:trPr>
          <w:trHeight w:val="941"/>
        </w:trPr>
        <w:tc>
          <w:tcPr>
            <w:tcW w:w="1926" w:type="pct"/>
            <w:gridSpan w:val="2"/>
          </w:tcPr>
          <w:p w:rsidR="00D06562" w:rsidRDefault="00D358E2">
            <w:pPr>
              <w:widowControl/>
              <w:spacing w:line="360" w:lineRule="auto"/>
              <w:jc w:val="left"/>
              <w:rPr>
                <w:kern w:val="0"/>
                <w:szCs w:val="21"/>
              </w:rPr>
            </w:pPr>
            <w:r>
              <w:rPr>
                <w:kern w:val="0"/>
                <w:szCs w:val="21"/>
              </w:rPr>
              <w:t>认购资金在募集期间产生的利息（单位：元）</w:t>
            </w:r>
          </w:p>
        </w:tc>
        <w:tc>
          <w:tcPr>
            <w:tcW w:w="803" w:type="pct"/>
            <w:vAlign w:val="center"/>
          </w:tcPr>
          <w:p w:rsidR="00D06562" w:rsidRDefault="00D358E2">
            <w:pPr>
              <w:jc w:val="right"/>
            </w:pPr>
            <w:r>
              <w:rPr>
                <w:rFonts w:hint="eastAsia"/>
                <w:kern w:val="0"/>
                <w:szCs w:val="21"/>
              </w:rPr>
              <w:t>70,748.01</w:t>
            </w:r>
          </w:p>
        </w:tc>
        <w:tc>
          <w:tcPr>
            <w:tcW w:w="774" w:type="pct"/>
            <w:gridSpan w:val="2"/>
            <w:vAlign w:val="center"/>
          </w:tcPr>
          <w:p w:rsidR="00D06562" w:rsidRDefault="00D358E2">
            <w:pPr>
              <w:jc w:val="right"/>
              <w:rPr>
                <w:kern w:val="0"/>
                <w:szCs w:val="21"/>
              </w:rPr>
            </w:pPr>
            <w:r>
              <w:rPr>
                <w:rFonts w:hint="eastAsia"/>
                <w:kern w:val="0"/>
                <w:szCs w:val="21"/>
              </w:rPr>
              <w:t>17,565.11</w:t>
            </w:r>
          </w:p>
        </w:tc>
        <w:tc>
          <w:tcPr>
            <w:tcW w:w="695" w:type="pct"/>
            <w:vAlign w:val="center"/>
          </w:tcPr>
          <w:p w:rsidR="00D06562" w:rsidRDefault="00D358E2">
            <w:pPr>
              <w:jc w:val="right"/>
            </w:pPr>
            <w:r>
              <w:rPr>
                <w:rFonts w:hint="eastAsia"/>
                <w:kern w:val="0"/>
                <w:szCs w:val="21"/>
              </w:rPr>
              <w:t>84.15</w:t>
            </w:r>
          </w:p>
        </w:tc>
        <w:tc>
          <w:tcPr>
            <w:tcW w:w="799" w:type="pct"/>
            <w:vAlign w:val="center"/>
          </w:tcPr>
          <w:p w:rsidR="00D06562" w:rsidRDefault="00D358E2">
            <w:pPr>
              <w:jc w:val="right"/>
            </w:pPr>
            <w:bookmarkStart w:id="3" w:name="_GoBack"/>
            <w:bookmarkEnd w:id="3"/>
            <w:r>
              <w:rPr>
                <w:rFonts w:hint="eastAsia"/>
                <w:kern w:val="0"/>
                <w:szCs w:val="21"/>
              </w:rPr>
              <w:t>88,397.27</w:t>
            </w:r>
          </w:p>
        </w:tc>
      </w:tr>
      <w:tr w:rsidR="00D06562">
        <w:trPr>
          <w:trHeight w:val="631"/>
        </w:trPr>
        <w:tc>
          <w:tcPr>
            <w:tcW w:w="1068" w:type="pct"/>
            <w:vMerge w:val="restart"/>
          </w:tcPr>
          <w:p w:rsidR="00D06562" w:rsidRDefault="00D358E2">
            <w:pPr>
              <w:widowControl/>
              <w:spacing w:line="360" w:lineRule="auto"/>
              <w:jc w:val="left"/>
              <w:rPr>
                <w:kern w:val="0"/>
                <w:szCs w:val="21"/>
              </w:rPr>
            </w:pPr>
            <w:r>
              <w:rPr>
                <w:kern w:val="0"/>
                <w:szCs w:val="21"/>
              </w:rPr>
              <w:t>募集份额（单位：份）</w:t>
            </w:r>
          </w:p>
        </w:tc>
        <w:tc>
          <w:tcPr>
            <w:tcW w:w="858" w:type="pct"/>
          </w:tcPr>
          <w:p w:rsidR="00D06562" w:rsidRDefault="00D358E2">
            <w:pPr>
              <w:widowControl/>
              <w:spacing w:line="360" w:lineRule="auto"/>
              <w:jc w:val="left"/>
              <w:rPr>
                <w:kern w:val="0"/>
                <w:szCs w:val="21"/>
              </w:rPr>
            </w:pPr>
            <w:r>
              <w:rPr>
                <w:kern w:val="0"/>
                <w:szCs w:val="21"/>
              </w:rPr>
              <w:t>有效认购份额</w:t>
            </w:r>
          </w:p>
        </w:tc>
        <w:tc>
          <w:tcPr>
            <w:tcW w:w="803" w:type="pct"/>
            <w:vAlign w:val="center"/>
          </w:tcPr>
          <w:p w:rsidR="00D06562" w:rsidRDefault="00D358E2">
            <w:pPr>
              <w:jc w:val="right"/>
              <w:rPr>
                <w:kern w:val="0"/>
                <w:szCs w:val="21"/>
              </w:rPr>
            </w:pPr>
            <w:r>
              <w:rPr>
                <w:rFonts w:hint="eastAsia"/>
                <w:kern w:val="0"/>
                <w:szCs w:val="21"/>
              </w:rPr>
              <w:t>318,925,484.25</w:t>
            </w:r>
          </w:p>
        </w:tc>
        <w:tc>
          <w:tcPr>
            <w:tcW w:w="774" w:type="pct"/>
            <w:gridSpan w:val="2"/>
            <w:vAlign w:val="center"/>
          </w:tcPr>
          <w:p w:rsidR="00D06562" w:rsidRDefault="00D358E2">
            <w:pPr>
              <w:jc w:val="right"/>
              <w:rPr>
                <w:kern w:val="0"/>
                <w:szCs w:val="21"/>
              </w:rPr>
            </w:pPr>
            <w:r>
              <w:rPr>
                <w:rFonts w:hint="eastAsia"/>
                <w:kern w:val="0"/>
                <w:szCs w:val="21"/>
              </w:rPr>
              <w:t>441,664,485.44</w:t>
            </w:r>
          </w:p>
        </w:tc>
        <w:tc>
          <w:tcPr>
            <w:tcW w:w="695" w:type="pct"/>
            <w:vAlign w:val="center"/>
          </w:tcPr>
          <w:p w:rsidR="00D06562" w:rsidRDefault="00D358E2">
            <w:pPr>
              <w:jc w:val="right"/>
              <w:rPr>
                <w:kern w:val="0"/>
                <w:szCs w:val="21"/>
              </w:rPr>
            </w:pPr>
            <w:r>
              <w:rPr>
                <w:rFonts w:hint="eastAsia"/>
                <w:kern w:val="0"/>
                <w:szCs w:val="21"/>
              </w:rPr>
              <w:t>3,616,006.90</w:t>
            </w:r>
          </w:p>
        </w:tc>
        <w:tc>
          <w:tcPr>
            <w:tcW w:w="799" w:type="pct"/>
            <w:vAlign w:val="center"/>
          </w:tcPr>
          <w:p w:rsidR="00D06562" w:rsidRDefault="00D358E2">
            <w:pPr>
              <w:jc w:val="right"/>
              <w:rPr>
                <w:kern w:val="0"/>
                <w:szCs w:val="21"/>
              </w:rPr>
            </w:pPr>
            <w:r>
              <w:rPr>
                <w:rFonts w:hint="eastAsia"/>
                <w:kern w:val="0"/>
                <w:szCs w:val="21"/>
              </w:rPr>
              <w:t>764,205,976.59</w:t>
            </w:r>
          </w:p>
        </w:tc>
      </w:tr>
      <w:tr w:rsidR="00D06562">
        <w:trPr>
          <w:trHeight w:val="476"/>
        </w:trPr>
        <w:tc>
          <w:tcPr>
            <w:tcW w:w="1068" w:type="pct"/>
            <w:vMerge/>
          </w:tcPr>
          <w:p w:rsidR="00D06562" w:rsidRDefault="00D06562">
            <w:pPr>
              <w:widowControl/>
              <w:spacing w:line="360" w:lineRule="auto"/>
              <w:jc w:val="left"/>
              <w:rPr>
                <w:kern w:val="0"/>
                <w:szCs w:val="21"/>
              </w:rPr>
            </w:pPr>
          </w:p>
        </w:tc>
        <w:tc>
          <w:tcPr>
            <w:tcW w:w="858" w:type="pct"/>
          </w:tcPr>
          <w:p w:rsidR="00D06562" w:rsidRDefault="00D358E2">
            <w:pPr>
              <w:widowControl/>
              <w:spacing w:line="360" w:lineRule="auto"/>
              <w:jc w:val="left"/>
              <w:rPr>
                <w:kern w:val="0"/>
                <w:szCs w:val="21"/>
              </w:rPr>
            </w:pPr>
            <w:r>
              <w:rPr>
                <w:kern w:val="0"/>
                <w:szCs w:val="21"/>
              </w:rPr>
              <w:t>利息结转的份额</w:t>
            </w:r>
          </w:p>
        </w:tc>
        <w:tc>
          <w:tcPr>
            <w:tcW w:w="803" w:type="pct"/>
            <w:vAlign w:val="center"/>
          </w:tcPr>
          <w:p w:rsidR="00D06562" w:rsidRDefault="00D358E2">
            <w:pPr>
              <w:jc w:val="right"/>
              <w:rPr>
                <w:kern w:val="0"/>
                <w:szCs w:val="21"/>
              </w:rPr>
            </w:pPr>
            <w:r>
              <w:rPr>
                <w:rFonts w:hint="eastAsia"/>
                <w:kern w:val="0"/>
                <w:szCs w:val="21"/>
              </w:rPr>
              <w:t>70,748.01</w:t>
            </w:r>
          </w:p>
        </w:tc>
        <w:tc>
          <w:tcPr>
            <w:tcW w:w="774" w:type="pct"/>
            <w:gridSpan w:val="2"/>
            <w:vAlign w:val="center"/>
          </w:tcPr>
          <w:p w:rsidR="00D06562" w:rsidRDefault="00D358E2">
            <w:pPr>
              <w:jc w:val="right"/>
              <w:rPr>
                <w:kern w:val="0"/>
                <w:szCs w:val="21"/>
              </w:rPr>
            </w:pPr>
            <w:r>
              <w:rPr>
                <w:rFonts w:hint="eastAsia"/>
                <w:kern w:val="0"/>
                <w:szCs w:val="21"/>
              </w:rPr>
              <w:t>17,565.11</w:t>
            </w:r>
          </w:p>
        </w:tc>
        <w:tc>
          <w:tcPr>
            <w:tcW w:w="695" w:type="pct"/>
            <w:vAlign w:val="center"/>
          </w:tcPr>
          <w:p w:rsidR="00D06562" w:rsidRDefault="00D358E2">
            <w:pPr>
              <w:jc w:val="right"/>
              <w:rPr>
                <w:kern w:val="0"/>
                <w:szCs w:val="21"/>
              </w:rPr>
            </w:pPr>
            <w:r>
              <w:rPr>
                <w:rFonts w:hint="eastAsia"/>
                <w:kern w:val="0"/>
                <w:szCs w:val="21"/>
              </w:rPr>
              <w:t>84.15</w:t>
            </w:r>
          </w:p>
        </w:tc>
        <w:tc>
          <w:tcPr>
            <w:tcW w:w="799" w:type="pct"/>
            <w:vAlign w:val="center"/>
          </w:tcPr>
          <w:p w:rsidR="00D06562" w:rsidRDefault="00D358E2">
            <w:pPr>
              <w:jc w:val="right"/>
              <w:rPr>
                <w:kern w:val="0"/>
                <w:szCs w:val="21"/>
              </w:rPr>
            </w:pPr>
            <w:r>
              <w:rPr>
                <w:rFonts w:hint="eastAsia"/>
                <w:kern w:val="0"/>
                <w:szCs w:val="21"/>
              </w:rPr>
              <w:t>88,397.27</w:t>
            </w:r>
          </w:p>
        </w:tc>
      </w:tr>
      <w:tr w:rsidR="00D06562">
        <w:trPr>
          <w:trHeight w:val="631"/>
        </w:trPr>
        <w:tc>
          <w:tcPr>
            <w:tcW w:w="1068" w:type="pct"/>
            <w:vMerge/>
          </w:tcPr>
          <w:p w:rsidR="00D06562" w:rsidRDefault="00D06562">
            <w:pPr>
              <w:widowControl/>
              <w:spacing w:line="360" w:lineRule="auto"/>
              <w:jc w:val="left"/>
              <w:rPr>
                <w:kern w:val="0"/>
                <w:szCs w:val="21"/>
              </w:rPr>
            </w:pPr>
          </w:p>
        </w:tc>
        <w:tc>
          <w:tcPr>
            <w:tcW w:w="858" w:type="pct"/>
          </w:tcPr>
          <w:p w:rsidR="00D06562" w:rsidRDefault="00D358E2">
            <w:pPr>
              <w:widowControl/>
              <w:spacing w:line="360" w:lineRule="auto"/>
              <w:jc w:val="left"/>
              <w:rPr>
                <w:kern w:val="0"/>
                <w:szCs w:val="21"/>
              </w:rPr>
            </w:pPr>
            <w:r>
              <w:rPr>
                <w:kern w:val="0"/>
                <w:szCs w:val="21"/>
              </w:rPr>
              <w:t>合计</w:t>
            </w:r>
          </w:p>
        </w:tc>
        <w:tc>
          <w:tcPr>
            <w:tcW w:w="807" w:type="pct"/>
            <w:gridSpan w:val="2"/>
            <w:vAlign w:val="center"/>
          </w:tcPr>
          <w:p w:rsidR="00D06562" w:rsidRDefault="00D358E2">
            <w:pPr>
              <w:jc w:val="right"/>
              <w:rPr>
                <w:kern w:val="0"/>
                <w:szCs w:val="21"/>
              </w:rPr>
            </w:pPr>
            <w:r>
              <w:rPr>
                <w:rFonts w:hint="eastAsia"/>
                <w:kern w:val="0"/>
                <w:szCs w:val="21"/>
              </w:rPr>
              <w:t>318,996,232.26</w:t>
            </w:r>
          </w:p>
        </w:tc>
        <w:tc>
          <w:tcPr>
            <w:tcW w:w="770" w:type="pct"/>
            <w:vAlign w:val="center"/>
          </w:tcPr>
          <w:p w:rsidR="00D06562" w:rsidRDefault="00D358E2">
            <w:pPr>
              <w:jc w:val="right"/>
              <w:rPr>
                <w:kern w:val="0"/>
                <w:szCs w:val="21"/>
              </w:rPr>
            </w:pPr>
            <w:r>
              <w:rPr>
                <w:rFonts w:hint="eastAsia"/>
                <w:kern w:val="0"/>
                <w:szCs w:val="21"/>
              </w:rPr>
              <w:t>441,682,050.55</w:t>
            </w:r>
          </w:p>
        </w:tc>
        <w:tc>
          <w:tcPr>
            <w:tcW w:w="695" w:type="pct"/>
            <w:vAlign w:val="center"/>
          </w:tcPr>
          <w:p w:rsidR="00D06562" w:rsidRDefault="00D358E2">
            <w:pPr>
              <w:jc w:val="right"/>
              <w:rPr>
                <w:kern w:val="0"/>
                <w:szCs w:val="21"/>
              </w:rPr>
            </w:pPr>
            <w:r>
              <w:rPr>
                <w:rFonts w:hint="eastAsia"/>
                <w:kern w:val="0"/>
                <w:szCs w:val="21"/>
              </w:rPr>
              <w:t>3,616,091.05</w:t>
            </w:r>
          </w:p>
        </w:tc>
        <w:tc>
          <w:tcPr>
            <w:tcW w:w="799" w:type="pct"/>
            <w:vAlign w:val="center"/>
          </w:tcPr>
          <w:p w:rsidR="00D06562" w:rsidRDefault="00D358E2">
            <w:pPr>
              <w:jc w:val="right"/>
              <w:rPr>
                <w:kern w:val="0"/>
                <w:szCs w:val="21"/>
              </w:rPr>
            </w:pPr>
            <w:r>
              <w:rPr>
                <w:rFonts w:hint="eastAsia"/>
                <w:kern w:val="0"/>
                <w:szCs w:val="21"/>
              </w:rPr>
              <w:t>764,294,373.86</w:t>
            </w:r>
          </w:p>
        </w:tc>
      </w:tr>
      <w:tr w:rsidR="00D06562">
        <w:trPr>
          <w:trHeight w:val="941"/>
        </w:trPr>
        <w:tc>
          <w:tcPr>
            <w:tcW w:w="1068" w:type="pct"/>
            <w:vMerge w:val="restart"/>
          </w:tcPr>
          <w:p w:rsidR="00D06562" w:rsidRDefault="00D358E2">
            <w:pPr>
              <w:widowControl/>
              <w:spacing w:line="360" w:lineRule="auto"/>
              <w:jc w:val="left"/>
              <w:rPr>
                <w:kern w:val="0"/>
                <w:szCs w:val="21"/>
              </w:rPr>
            </w:pPr>
            <w:r>
              <w:rPr>
                <w:kern w:val="0"/>
                <w:szCs w:val="21"/>
              </w:rPr>
              <w:t>其中：募集期间基金管理人运用固有资金认购本基金情况</w:t>
            </w:r>
          </w:p>
        </w:tc>
        <w:tc>
          <w:tcPr>
            <w:tcW w:w="858" w:type="pct"/>
          </w:tcPr>
          <w:p w:rsidR="00D06562" w:rsidRDefault="00D358E2">
            <w:pPr>
              <w:widowControl/>
              <w:spacing w:line="360" w:lineRule="auto"/>
              <w:jc w:val="left"/>
              <w:rPr>
                <w:kern w:val="0"/>
                <w:szCs w:val="21"/>
              </w:rPr>
            </w:pPr>
            <w:r>
              <w:rPr>
                <w:kern w:val="0"/>
                <w:szCs w:val="21"/>
              </w:rPr>
              <w:t>认购的基金份额（单位：份）</w:t>
            </w:r>
          </w:p>
        </w:tc>
        <w:tc>
          <w:tcPr>
            <w:tcW w:w="807" w:type="pct"/>
            <w:gridSpan w:val="2"/>
          </w:tcPr>
          <w:p w:rsidR="00D06562" w:rsidRDefault="00D06562"/>
        </w:tc>
        <w:tc>
          <w:tcPr>
            <w:tcW w:w="770" w:type="pct"/>
          </w:tcPr>
          <w:p w:rsidR="00D06562" w:rsidRDefault="00D06562"/>
        </w:tc>
        <w:tc>
          <w:tcPr>
            <w:tcW w:w="695" w:type="pct"/>
          </w:tcPr>
          <w:p w:rsidR="00D06562" w:rsidRDefault="00D06562">
            <w:pPr>
              <w:rPr>
                <w:rFonts w:eastAsia="等线"/>
              </w:rPr>
            </w:pPr>
          </w:p>
        </w:tc>
        <w:tc>
          <w:tcPr>
            <w:tcW w:w="799" w:type="pct"/>
          </w:tcPr>
          <w:p w:rsidR="00D06562" w:rsidRDefault="00D06562"/>
        </w:tc>
      </w:tr>
      <w:tr w:rsidR="00D06562">
        <w:trPr>
          <w:trHeight w:val="941"/>
        </w:trPr>
        <w:tc>
          <w:tcPr>
            <w:tcW w:w="1068" w:type="pct"/>
            <w:vMerge/>
          </w:tcPr>
          <w:p w:rsidR="00D06562" w:rsidRDefault="00D06562">
            <w:pPr>
              <w:widowControl/>
              <w:spacing w:line="360" w:lineRule="auto"/>
              <w:jc w:val="left"/>
              <w:rPr>
                <w:kern w:val="0"/>
                <w:szCs w:val="21"/>
              </w:rPr>
            </w:pPr>
          </w:p>
        </w:tc>
        <w:tc>
          <w:tcPr>
            <w:tcW w:w="858" w:type="pct"/>
          </w:tcPr>
          <w:p w:rsidR="00D06562" w:rsidRDefault="00D358E2">
            <w:pPr>
              <w:widowControl/>
              <w:spacing w:line="360" w:lineRule="auto"/>
              <w:jc w:val="left"/>
              <w:rPr>
                <w:kern w:val="0"/>
                <w:szCs w:val="21"/>
              </w:rPr>
            </w:pPr>
            <w:r>
              <w:rPr>
                <w:kern w:val="0"/>
                <w:szCs w:val="21"/>
              </w:rPr>
              <w:t>占基金总份额比例（</w:t>
            </w:r>
            <w:r>
              <w:rPr>
                <w:kern w:val="0"/>
                <w:szCs w:val="21"/>
              </w:rPr>
              <w:t>%</w:t>
            </w:r>
            <w:r>
              <w:rPr>
                <w:kern w:val="0"/>
                <w:szCs w:val="21"/>
              </w:rPr>
              <w:t>）</w:t>
            </w:r>
          </w:p>
        </w:tc>
        <w:tc>
          <w:tcPr>
            <w:tcW w:w="807" w:type="pct"/>
            <w:gridSpan w:val="2"/>
            <w:vAlign w:val="center"/>
          </w:tcPr>
          <w:p w:rsidR="00D06562" w:rsidRDefault="00D358E2">
            <w:r>
              <w:rPr>
                <w:rFonts w:eastAsia="等线"/>
                <w:color w:val="000000"/>
                <w:sz w:val="22"/>
                <w:szCs w:val="22"/>
              </w:rPr>
              <w:t>-</w:t>
            </w:r>
          </w:p>
        </w:tc>
        <w:tc>
          <w:tcPr>
            <w:tcW w:w="770" w:type="pct"/>
            <w:vAlign w:val="center"/>
          </w:tcPr>
          <w:p w:rsidR="00D06562" w:rsidRDefault="00D06562">
            <w:pPr>
              <w:rPr>
                <w:rFonts w:eastAsia="等线"/>
                <w:color w:val="000000"/>
                <w:sz w:val="22"/>
                <w:szCs w:val="22"/>
              </w:rPr>
            </w:pPr>
          </w:p>
        </w:tc>
        <w:tc>
          <w:tcPr>
            <w:tcW w:w="695" w:type="pct"/>
            <w:vAlign w:val="center"/>
          </w:tcPr>
          <w:p w:rsidR="00D06562" w:rsidRDefault="00D358E2">
            <w:r>
              <w:rPr>
                <w:rFonts w:eastAsia="等线"/>
                <w:color w:val="000000"/>
                <w:sz w:val="22"/>
                <w:szCs w:val="22"/>
              </w:rPr>
              <w:t>-</w:t>
            </w:r>
          </w:p>
        </w:tc>
        <w:tc>
          <w:tcPr>
            <w:tcW w:w="799" w:type="pct"/>
            <w:vAlign w:val="center"/>
          </w:tcPr>
          <w:p w:rsidR="00D06562" w:rsidRDefault="00D358E2">
            <w:r>
              <w:rPr>
                <w:rFonts w:eastAsia="等线"/>
                <w:color w:val="000000"/>
                <w:sz w:val="22"/>
                <w:szCs w:val="22"/>
              </w:rPr>
              <w:t>-</w:t>
            </w:r>
          </w:p>
        </w:tc>
      </w:tr>
      <w:tr w:rsidR="00D06562">
        <w:trPr>
          <w:trHeight w:val="941"/>
        </w:trPr>
        <w:tc>
          <w:tcPr>
            <w:tcW w:w="1068" w:type="pct"/>
            <w:vMerge/>
          </w:tcPr>
          <w:p w:rsidR="00D06562" w:rsidRDefault="00D06562">
            <w:pPr>
              <w:widowControl/>
              <w:spacing w:line="360" w:lineRule="auto"/>
              <w:jc w:val="left"/>
              <w:rPr>
                <w:kern w:val="0"/>
                <w:szCs w:val="21"/>
              </w:rPr>
            </w:pPr>
          </w:p>
        </w:tc>
        <w:tc>
          <w:tcPr>
            <w:tcW w:w="858" w:type="pct"/>
          </w:tcPr>
          <w:p w:rsidR="00D06562" w:rsidRDefault="00D358E2">
            <w:pPr>
              <w:widowControl/>
              <w:spacing w:line="360" w:lineRule="auto"/>
              <w:jc w:val="left"/>
              <w:rPr>
                <w:kern w:val="0"/>
                <w:szCs w:val="21"/>
              </w:rPr>
            </w:pPr>
            <w:r>
              <w:rPr>
                <w:kern w:val="0"/>
                <w:szCs w:val="21"/>
              </w:rPr>
              <w:t>其他需要说明的事项</w:t>
            </w:r>
          </w:p>
        </w:tc>
        <w:tc>
          <w:tcPr>
            <w:tcW w:w="807" w:type="pct"/>
            <w:gridSpan w:val="2"/>
            <w:vAlign w:val="center"/>
          </w:tcPr>
          <w:p w:rsidR="00D06562" w:rsidRDefault="00D358E2">
            <w:r>
              <w:rPr>
                <w:rFonts w:eastAsia="等线"/>
                <w:color w:val="000000"/>
                <w:sz w:val="22"/>
                <w:szCs w:val="22"/>
              </w:rPr>
              <w:t>-</w:t>
            </w:r>
          </w:p>
        </w:tc>
        <w:tc>
          <w:tcPr>
            <w:tcW w:w="770" w:type="pct"/>
            <w:vAlign w:val="center"/>
          </w:tcPr>
          <w:p w:rsidR="00D06562" w:rsidRDefault="00D06562">
            <w:pPr>
              <w:rPr>
                <w:rFonts w:eastAsia="等线"/>
                <w:color w:val="000000"/>
                <w:sz w:val="22"/>
                <w:szCs w:val="22"/>
              </w:rPr>
            </w:pPr>
          </w:p>
        </w:tc>
        <w:tc>
          <w:tcPr>
            <w:tcW w:w="695" w:type="pct"/>
            <w:vAlign w:val="center"/>
          </w:tcPr>
          <w:p w:rsidR="00D06562" w:rsidRDefault="00D358E2">
            <w:r>
              <w:rPr>
                <w:rFonts w:eastAsia="等线"/>
                <w:color w:val="000000"/>
                <w:sz w:val="22"/>
                <w:szCs w:val="22"/>
              </w:rPr>
              <w:t>-</w:t>
            </w:r>
          </w:p>
        </w:tc>
        <w:tc>
          <w:tcPr>
            <w:tcW w:w="799" w:type="pct"/>
            <w:vAlign w:val="center"/>
          </w:tcPr>
          <w:p w:rsidR="00D06562" w:rsidRDefault="00D358E2">
            <w:r>
              <w:rPr>
                <w:rFonts w:eastAsia="等线"/>
                <w:color w:val="000000"/>
                <w:sz w:val="22"/>
                <w:szCs w:val="22"/>
              </w:rPr>
              <w:t>-</w:t>
            </w:r>
          </w:p>
        </w:tc>
      </w:tr>
      <w:tr w:rsidR="00D06562">
        <w:trPr>
          <w:trHeight w:val="941"/>
        </w:trPr>
        <w:tc>
          <w:tcPr>
            <w:tcW w:w="1068" w:type="pct"/>
            <w:vMerge w:val="restart"/>
          </w:tcPr>
          <w:p w:rsidR="00D06562" w:rsidRDefault="00D358E2">
            <w:pPr>
              <w:widowControl/>
              <w:spacing w:line="360" w:lineRule="auto"/>
              <w:jc w:val="left"/>
              <w:rPr>
                <w:kern w:val="0"/>
                <w:szCs w:val="21"/>
              </w:rPr>
            </w:pPr>
            <w:r>
              <w:rPr>
                <w:kern w:val="0"/>
                <w:szCs w:val="21"/>
              </w:rPr>
              <w:t>其中：募集期间基金管理人的从业人员认购本基金情况</w:t>
            </w:r>
          </w:p>
        </w:tc>
        <w:tc>
          <w:tcPr>
            <w:tcW w:w="858" w:type="pct"/>
          </w:tcPr>
          <w:p w:rsidR="00D06562" w:rsidRDefault="00D358E2">
            <w:pPr>
              <w:widowControl/>
              <w:spacing w:line="360" w:lineRule="auto"/>
              <w:jc w:val="left"/>
              <w:rPr>
                <w:kern w:val="0"/>
                <w:szCs w:val="21"/>
              </w:rPr>
            </w:pPr>
            <w:r>
              <w:rPr>
                <w:kern w:val="0"/>
                <w:szCs w:val="21"/>
              </w:rPr>
              <w:t>认购的基金份额（单位：份）</w:t>
            </w:r>
          </w:p>
        </w:tc>
        <w:tc>
          <w:tcPr>
            <w:tcW w:w="807" w:type="pct"/>
            <w:gridSpan w:val="2"/>
          </w:tcPr>
          <w:p w:rsidR="00D06562" w:rsidRDefault="00D358E2">
            <w:pPr>
              <w:rPr>
                <w:rFonts w:eastAsia="等线"/>
                <w:color w:val="000000"/>
                <w:sz w:val="22"/>
                <w:szCs w:val="22"/>
              </w:rPr>
            </w:pPr>
            <w:r>
              <w:rPr>
                <w:rFonts w:eastAsia="等线" w:hint="eastAsia"/>
                <w:color w:val="000000"/>
                <w:sz w:val="22"/>
                <w:szCs w:val="22"/>
              </w:rPr>
              <w:t>-</w:t>
            </w:r>
          </w:p>
        </w:tc>
        <w:tc>
          <w:tcPr>
            <w:tcW w:w="770" w:type="pct"/>
            <w:vAlign w:val="center"/>
          </w:tcPr>
          <w:p w:rsidR="00D06562" w:rsidRDefault="00D358E2">
            <w:pPr>
              <w:jc w:val="right"/>
              <w:rPr>
                <w:rFonts w:eastAsia="等线"/>
                <w:color w:val="000000"/>
                <w:szCs w:val="21"/>
              </w:rPr>
            </w:pPr>
            <w:r>
              <w:rPr>
                <w:rFonts w:eastAsia="等线" w:hint="eastAsia"/>
                <w:color w:val="000000"/>
                <w:szCs w:val="21"/>
              </w:rPr>
              <w:t>250,000.00</w:t>
            </w:r>
          </w:p>
        </w:tc>
        <w:tc>
          <w:tcPr>
            <w:tcW w:w="695" w:type="pct"/>
            <w:vAlign w:val="center"/>
          </w:tcPr>
          <w:p w:rsidR="00D06562" w:rsidRDefault="00D358E2">
            <w:pPr>
              <w:jc w:val="right"/>
              <w:rPr>
                <w:rFonts w:eastAsia="等线"/>
                <w:color w:val="000000"/>
                <w:szCs w:val="21"/>
              </w:rPr>
            </w:pPr>
            <w:r>
              <w:rPr>
                <w:rFonts w:eastAsia="等线" w:hint="eastAsia"/>
                <w:color w:val="000000"/>
                <w:szCs w:val="21"/>
              </w:rPr>
              <w:t>-</w:t>
            </w:r>
          </w:p>
        </w:tc>
        <w:tc>
          <w:tcPr>
            <w:tcW w:w="799" w:type="pct"/>
            <w:vAlign w:val="center"/>
          </w:tcPr>
          <w:p w:rsidR="00D06562" w:rsidRDefault="00D358E2">
            <w:pPr>
              <w:jc w:val="right"/>
              <w:rPr>
                <w:rFonts w:eastAsia="等线"/>
                <w:color w:val="000000"/>
                <w:szCs w:val="21"/>
              </w:rPr>
            </w:pPr>
            <w:r>
              <w:rPr>
                <w:rFonts w:eastAsia="等线" w:hint="eastAsia"/>
                <w:color w:val="000000"/>
                <w:szCs w:val="21"/>
              </w:rPr>
              <w:t>250,000.00</w:t>
            </w:r>
          </w:p>
        </w:tc>
      </w:tr>
      <w:tr w:rsidR="00D06562">
        <w:trPr>
          <w:trHeight w:val="941"/>
        </w:trPr>
        <w:tc>
          <w:tcPr>
            <w:tcW w:w="1068" w:type="pct"/>
            <w:vMerge/>
          </w:tcPr>
          <w:p w:rsidR="00D06562" w:rsidRDefault="00D06562">
            <w:pPr>
              <w:widowControl/>
              <w:spacing w:line="360" w:lineRule="auto"/>
              <w:jc w:val="left"/>
              <w:rPr>
                <w:kern w:val="0"/>
                <w:szCs w:val="21"/>
              </w:rPr>
            </w:pPr>
          </w:p>
        </w:tc>
        <w:tc>
          <w:tcPr>
            <w:tcW w:w="858" w:type="pct"/>
          </w:tcPr>
          <w:p w:rsidR="00D06562" w:rsidRDefault="00D358E2">
            <w:pPr>
              <w:widowControl/>
              <w:spacing w:line="360" w:lineRule="auto"/>
              <w:jc w:val="left"/>
              <w:rPr>
                <w:kern w:val="0"/>
                <w:szCs w:val="21"/>
              </w:rPr>
            </w:pPr>
            <w:r>
              <w:rPr>
                <w:kern w:val="0"/>
                <w:szCs w:val="21"/>
              </w:rPr>
              <w:t>占基金总份额比例（</w:t>
            </w:r>
            <w:r>
              <w:rPr>
                <w:kern w:val="0"/>
                <w:szCs w:val="21"/>
              </w:rPr>
              <w:t>%</w:t>
            </w:r>
            <w:r>
              <w:rPr>
                <w:kern w:val="0"/>
                <w:szCs w:val="21"/>
              </w:rPr>
              <w:t>）</w:t>
            </w:r>
          </w:p>
        </w:tc>
        <w:tc>
          <w:tcPr>
            <w:tcW w:w="807" w:type="pct"/>
            <w:gridSpan w:val="2"/>
            <w:vAlign w:val="center"/>
          </w:tcPr>
          <w:p w:rsidR="00D06562" w:rsidRDefault="00D358E2">
            <w:pPr>
              <w:rPr>
                <w:rFonts w:eastAsia="等线"/>
                <w:color w:val="000000"/>
                <w:sz w:val="22"/>
                <w:szCs w:val="22"/>
              </w:rPr>
            </w:pPr>
            <w:r>
              <w:rPr>
                <w:rFonts w:eastAsia="等线" w:hint="eastAsia"/>
                <w:color w:val="000000"/>
                <w:sz w:val="22"/>
                <w:szCs w:val="22"/>
              </w:rPr>
              <w:t>-</w:t>
            </w:r>
          </w:p>
        </w:tc>
        <w:tc>
          <w:tcPr>
            <w:tcW w:w="770" w:type="pct"/>
            <w:vAlign w:val="center"/>
          </w:tcPr>
          <w:p w:rsidR="00D06562" w:rsidRDefault="00D358E2">
            <w:pPr>
              <w:jc w:val="right"/>
              <w:rPr>
                <w:rFonts w:eastAsia="等线"/>
                <w:color w:val="000000"/>
                <w:szCs w:val="21"/>
              </w:rPr>
            </w:pPr>
            <w:r>
              <w:rPr>
                <w:rFonts w:eastAsia="等线" w:hint="eastAsia"/>
                <w:color w:val="000000"/>
                <w:szCs w:val="21"/>
              </w:rPr>
              <w:t>0.06</w:t>
            </w:r>
          </w:p>
        </w:tc>
        <w:tc>
          <w:tcPr>
            <w:tcW w:w="695" w:type="pct"/>
            <w:vAlign w:val="center"/>
          </w:tcPr>
          <w:p w:rsidR="00D06562" w:rsidRDefault="00D358E2">
            <w:pPr>
              <w:jc w:val="right"/>
              <w:rPr>
                <w:rFonts w:eastAsia="等线"/>
                <w:color w:val="000000"/>
                <w:szCs w:val="21"/>
              </w:rPr>
            </w:pPr>
            <w:r>
              <w:rPr>
                <w:rFonts w:eastAsia="等线" w:hint="eastAsia"/>
                <w:color w:val="000000"/>
                <w:szCs w:val="21"/>
              </w:rPr>
              <w:t>-</w:t>
            </w:r>
          </w:p>
        </w:tc>
        <w:tc>
          <w:tcPr>
            <w:tcW w:w="799" w:type="pct"/>
            <w:vAlign w:val="center"/>
          </w:tcPr>
          <w:p w:rsidR="00D06562" w:rsidRDefault="00D358E2">
            <w:pPr>
              <w:jc w:val="right"/>
              <w:rPr>
                <w:rFonts w:eastAsia="等线"/>
                <w:color w:val="000000"/>
                <w:szCs w:val="21"/>
              </w:rPr>
            </w:pPr>
            <w:r>
              <w:rPr>
                <w:rFonts w:eastAsia="等线" w:hint="eastAsia"/>
                <w:color w:val="000000"/>
                <w:szCs w:val="21"/>
              </w:rPr>
              <w:t>0.03</w:t>
            </w:r>
          </w:p>
        </w:tc>
      </w:tr>
      <w:tr w:rsidR="00D06562">
        <w:trPr>
          <w:trHeight w:val="941"/>
        </w:trPr>
        <w:tc>
          <w:tcPr>
            <w:tcW w:w="1926" w:type="pct"/>
            <w:gridSpan w:val="2"/>
          </w:tcPr>
          <w:p w:rsidR="00D06562" w:rsidRDefault="00D358E2">
            <w:pPr>
              <w:widowControl/>
              <w:spacing w:line="360" w:lineRule="auto"/>
              <w:jc w:val="left"/>
              <w:rPr>
                <w:kern w:val="0"/>
                <w:szCs w:val="21"/>
              </w:rPr>
            </w:pPr>
            <w:r>
              <w:rPr>
                <w:kern w:val="0"/>
                <w:szCs w:val="21"/>
              </w:rPr>
              <w:t>募集期限届满基金是否符合法律法规规定的办理基金备案手续的条件</w:t>
            </w:r>
          </w:p>
        </w:tc>
        <w:tc>
          <w:tcPr>
            <w:tcW w:w="3073" w:type="pct"/>
            <w:gridSpan w:val="5"/>
            <w:vAlign w:val="center"/>
          </w:tcPr>
          <w:p w:rsidR="00D06562" w:rsidRDefault="00D358E2">
            <w:pPr>
              <w:widowControl/>
              <w:spacing w:line="360" w:lineRule="auto"/>
              <w:jc w:val="center"/>
              <w:rPr>
                <w:kern w:val="0"/>
                <w:szCs w:val="21"/>
              </w:rPr>
            </w:pPr>
            <w:r>
              <w:rPr>
                <w:kern w:val="0"/>
                <w:szCs w:val="21"/>
              </w:rPr>
              <w:t>是</w:t>
            </w:r>
          </w:p>
        </w:tc>
      </w:tr>
      <w:tr w:rsidR="00D06562">
        <w:trPr>
          <w:trHeight w:val="951"/>
        </w:trPr>
        <w:tc>
          <w:tcPr>
            <w:tcW w:w="1926" w:type="pct"/>
            <w:gridSpan w:val="2"/>
          </w:tcPr>
          <w:p w:rsidR="00D06562" w:rsidRDefault="00D358E2">
            <w:pPr>
              <w:widowControl/>
              <w:spacing w:line="360" w:lineRule="auto"/>
              <w:jc w:val="left"/>
              <w:rPr>
                <w:kern w:val="0"/>
                <w:szCs w:val="21"/>
              </w:rPr>
            </w:pPr>
            <w:r>
              <w:rPr>
                <w:kern w:val="0"/>
                <w:szCs w:val="21"/>
              </w:rPr>
              <w:t>向中国证监会办理基金备案手续获得书面确认的日期</w:t>
            </w:r>
          </w:p>
        </w:tc>
        <w:tc>
          <w:tcPr>
            <w:tcW w:w="3073" w:type="pct"/>
            <w:gridSpan w:val="5"/>
            <w:vAlign w:val="center"/>
          </w:tcPr>
          <w:p w:rsidR="00D06562" w:rsidRDefault="00D358E2">
            <w:pPr>
              <w:widowControl/>
              <w:spacing w:line="360" w:lineRule="auto"/>
              <w:jc w:val="center"/>
              <w:rPr>
                <w:kern w:val="0"/>
                <w:szCs w:val="21"/>
              </w:rPr>
            </w:pPr>
            <w:r>
              <w:rPr>
                <w:rFonts w:hint="eastAsia"/>
                <w:kern w:val="0"/>
                <w:szCs w:val="21"/>
              </w:rPr>
              <w:t>2025</w:t>
            </w:r>
            <w:r>
              <w:rPr>
                <w:rFonts w:hint="eastAsia"/>
                <w:kern w:val="0"/>
                <w:szCs w:val="21"/>
              </w:rPr>
              <w:t>年</w:t>
            </w:r>
            <w:r>
              <w:rPr>
                <w:rFonts w:hint="eastAsia"/>
                <w:kern w:val="0"/>
                <w:szCs w:val="21"/>
              </w:rPr>
              <w:t>11</w:t>
            </w:r>
            <w:r>
              <w:rPr>
                <w:rFonts w:hint="eastAsia"/>
                <w:kern w:val="0"/>
                <w:szCs w:val="21"/>
              </w:rPr>
              <w:t>月</w:t>
            </w:r>
            <w:r>
              <w:rPr>
                <w:rFonts w:hint="eastAsia"/>
                <w:kern w:val="0"/>
                <w:szCs w:val="21"/>
              </w:rPr>
              <w:t>4</w:t>
            </w:r>
            <w:r>
              <w:rPr>
                <w:rFonts w:hint="eastAsia"/>
                <w:kern w:val="0"/>
                <w:szCs w:val="21"/>
              </w:rPr>
              <w:t>日</w:t>
            </w:r>
          </w:p>
        </w:tc>
      </w:tr>
    </w:tbl>
    <w:p w:rsidR="00D06562" w:rsidRDefault="00D358E2">
      <w:pPr>
        <w:widowControl/>
        <w:spacing w:line="360" w:lineRule="auto"/>
        <w:jc w:val="left"/>
        <w:rPr>
          <w:kern w:val="0"/>
          <w:szCs w:val="21"/>
        </w:rPr>
      </w:pPr>
      <w:r>
        <w:rPr>
          <w:kern w:val="0"/>
          <w:szCs w:val="21"/>
        </w:rPr>
        <w:t>注：</w:t>
      </w:r>
    </w:p>
    <w:p w:rsidR="00D06562" w:rsidRDefault="00D358E2">
      <w:pPr>
        <w:widowControl/>
        <w:spacing w:line="360" w:lineRule="auto"/>
        <w:ind w:firstLineChars="202" w:firstLine="424"/>
        <w:rPr>
          <w:kern w:val="0"/>
          <w:szCs w:val="21"/>
        </w:rPr>
      </w:pPr>
      <w:r>
        <w:rPr>
          <w:kern w:val="0"/>
          <w:szCs w:val="21"/>
        </w:rPr>
        <w:t>（</w:t>
      </w:r>
      <w:r>
        <w:rPr>
          <w:kern w:val="0"/>
          <w:szCs w:val="21"/>
        </w:rPr>
        <w:t>1</w:t>
      </w:r>
      <w:r>
        <w:rPr>
          <w:kern w:val="0"/>
          <w:szCs w:val="21"/>
        </w:rPr>
        <w:t>）本公司高级管理人员、基金投资和研究部门负责人持有该只基金份额总量的数量区间为</w:t>
      </w:r>
      <w:r>
        <w:rPr>
          <w:kern w:val="0"/>
          <w:szCs w:val="21"/>
        </w:rPr>
        <w:t>0</w:t>
      </w:r>
      <w:r>
        <w:rPr>
          <w:kern w:val="0"/>
          <w:szCs w:val="21"/>
        </w:rPr>
        <w:t>份</w:t>
      </w:r>
      <w:r>
        <w:rPr>
          <w:kern w:val="0"/>
          <w:szCs w:val="21"/>
        </w:rPr>
        <w:t>(</w:t>
      </w:r>
      <w:r>
        <w:rPr>
          <w:kern w:val="0"/>
          <w:szCs w:val="21"/>
        </w:rPr>
        <w:t>含</w:t>
      </w:r>
      <w:r>
        <w:rPr>
          <w:kern w:val="0"/>
          <w:szCs w:val="21"/>
        </w:rPr>
        <w:t>)</w:t>
      </w:r>
      <w:r>
        <w:rPr>
          <w:kern w:val="0"/>
          <w:szCs w:val="21"/>
        </w:rPr>
        <w:t>；</w:t>
      </w:r>
    </w:p>
    <w:p w:rsidR="00D06562" w:rsidRDefault="00D358E2">
      <w:pPr>
        <w:widowControl/>
        <w:spacing w:line="360" w:lineRule="auto"/>
        <w:ind w:firstLineChars="202" w:firstLine="424"/>
        <w:rPr>
          <w:kern w:val="0"/>
          <w:szCs w:val="21"/>
        </w:rPr>
      </w:pPr>
      <w:r>
        <w:rPr>
          <w:kern w:val="0"/>
          <w:szCs w:val="21"/>
        </w:rPr>
        <w:t>（</w:t>
      </w:r>
      <w:r>
        <w:rPr>
          <w:kern w:val="0"/>
          <w:szCs w:val="21"/>
        </w:rPr>
        <w:t>2</w:t>
      </w:r>
      <w:r>
        <w:rPr>
          <w:kern w:val="0"/>
          <w:szCs w:val="21"/>
        </w:rPr>
        <w:t>）本基金的基金经理认购本基金份额总量的数量区间为</w:t>
      </w:r>
      <w:r>
        <w:t>0</w:t>
      </w:r>
      <w:r>
        <w:rPr>
          <w:kern w:val="0"/>
          <w:szCs w:val="21"/>
        </w:rPr>
        <w:t>份；</w:t>
      </w:r>
    </w:p>
    <w:p w:rsidR="00D06562" w:rsidRDefault="00D358E2">
      <w:pPr>
        <w:widowControl/>
        <w:spacing w:line="360" w:lineRule="auto"/>
        <w:ind w:firstLineChars="202" w:firstLine="424"/>
        <w:rPr>
          <w:kern w:val="0"/>
          <w:szCs w:val="21"/>
        </w:rPr>
      </w:pPr>
      <w:r>
        <w:rPr>
          <w:kern w:val="0"/>
          <w:szCs w:val="21"/>
        </w:rPr>
        <w:t>（</w:t>
      </w:r>
      <w:r>
        <w:rPr>
          <w:kern w:val="0"/>
          <w:szCs w:val="21"/>
        </w:rPr>
        <w:t>3</w:t>
      </w:r>
      <w:r>
        <w:rPr>
          <w:kern w:val="0"/>
          <w:szCs w:val="21"/>
        </w:rPr>
        <w:t>）本次基金募集期间所发生的信息披露费、律师费和会计师费等费用由</w:t>
      </w:r>
      <w:r>
        <w:rPr>
          <w:kern w:val="0"/>
          <w:szCs w:val="21"/>
        </w:rPr>
        <w:t>基金管理人承担，不另从基金资产支付。</w:t>
      </w:r>
    </w:p>
    <w:p w:rsidR="00D06562" w:rsidRDefault="00D358E2">
      <w:pPr>
        <w:widowControl/>
        <w:spacing w:line="360" w:lineRule="auto"/>
        <w:jc w:val="left"/>
        <w:outlineLvl w:val="2"/>
        <w:rPr>
          <w:b/>
          <w:bCs/>
          <w:kern w:val="0"/>
          <w:szCs w:val="21"/>
        </w:rPr>
      </w:pPr>
      <w:r>
        <w:rPr>
          <w:b/>
          <w:bCs/>
          <w:kern w:val="0"/>
          <w:szCs w:val="21"/>
        </w:rPr>
        <w:t>3.</w:t>
      </w:r>
      <w:r>
        <w:rPr>
          <w:b/>
          <w:bCs/>
          <w:kern w:val="0"/>
          <w:szCs w:val="21"/>
        </w:rPr>
        <w:t>其他需要提示的事项</w:t>
      </w:r>
    </w:p>
    <w:p w:rsidR="00D06562" w:rsidRDefault="00D358E2">
      <w:pPr>
        <w:widowControl/>
        <w:spacing w:line="360" w:lineRule="auto"/>
        <w:ind w:firstLineChars="200" w:firstLine="420"/>
        <w:jc w:val="left"/>
        <w:rPr>
          <w:szCs w:val="21"/>
        </w:rPr>
      </w:pPr>
      <w:r>
        <w:rPr>
          <w:rFonts w:hint="eastAsia"/>
          <w:szCs w:val="21"/>
        </w:rPr>
        <w:t>基金管理人可根据实际情况依法决定本基金开始办理申购的具体日期，具体业务办理时间在申购开始公告中规定。</w:t>
      </w:r>
    </w:p>
    <w:p w:rsidR="00D06562" w:rsidRDefault="00D358E2">
      <w:pPr>
        <w:widowControl/>
        <w:spacing w:line="360" w:lineRule="auto"/>
        <w:ind w:firstLineChars="200" w:firstLine="420"/>
        <w:jc w:val="left"/>
        <w:rPr>
          <w:szCs w:val="21"/>
        </w:rPr>
      </w:pPr>
      <w:r>
        <w:rPr>
          <w:rFonts w:hint="eastAsia"/>
          <w:szCs w:val="21"/>
        </w:rPr>
        <w:t>基金管理人自基金合同生效之日起不超过</w:t>
      </w:r>
      <w:r>
        <w:rPr>
          <w:rFonts w:hint="eastAsia"/>
          <w:szCs w:val="21"/>
        </w:rPr>
        <w:t>3</w:t>
      </w:r>
      <w:r>
        <w:rPr>
          <w:rFonts w:hint="eastAsia"/>
          <w:szCs w:val="21"/>
        </w:rPr>
        <w:t>个月开始办理赎回，具体业务办理时间在赎回开始公告中规定。</w:t>
      </w:r>
    </w:p>
    <w:p w:rsidR="00D06562" w:rsidRDefault="00D358E2">
      <w:pPr>
        <w:widowControl/>
        <w:spacing w:line="360" w:lineRule="auto"/>
        <w:ind w:firstLineChars="200" w:firstLine="420"/>
        <w:jc w:val="left"/>
        <w:rPr>
          <w:szCs w:val="21"/>
        </w:rPr>
      </w:pPr>
      <w:r>
        <w:rPr>
          <w:rFonts w:hint="eastAsia"/>
          <w:szCs w:val="21"/>
        </w:rPr>
        <w:t>在确定申购开始与赎回开始时间后，基金管理人应依照《信息披露办法》的有关规定在规定媒介上公告申购与赎回的开始时间。</w:t>
      </w:r>
    </w:p>
    <w:p w:rsidR="00D06562" w:rsidRDefault="00D358E2">
      <w:pPr>
        <w:widowControl/>
        <w:spacing w:line="360" w:lineRule="auto"/>
        <w:ind w:firstLineChars="200" w:firstLine="420"/>
        <w:jc w:val="left"/>
        <w:rPr>
          <w:szCs w:val="21"/>
        </w:rPr>
      </w:pPr>
      <w:r>
        <w:rPr>
          <w:rFonts w:hint="eastAsia"/>
          <w:szCs w:val="21"/>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基金份额的基金份额申购、赎回的价格。</w:t>
      </w:r>
    </w:p>
    <w:p w:rsidR="00D06562" w:rsidRDefault="00D358E2">
      <w:pPr>
        <w:widowControl/>
        <w:spacing w:line="360" w:lineRule="auto"/>
        <w:ind w:firstLineChars="200" w:firstLine="420"/>
        <w:jc w:val="left"/>
        <w:rPr>
          <w:szCs w:val="21"/>
        </w:rPr>
      </w:pPr>
      <w:r>
        <w:rPr>
          <w:szCs w:val="21"/>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Pr>
          <w:szCs w:val="21"/>
        </w:rPr>
        <w:t>fund.pingan.com</w:t>
      </w:r>
      <w:r>
        <w:rPr>
          <w:szCs w:val="21"/>
        </w:rPr>
        <w:t>）或客户服务电话</w:t>
      </w:r>
      <w:r>
        <w:rPr>
          <w:szCs w:val="21"/>
        </w:rPr>
        <w:t>400-800-4800</w:t>
      </w:r>
      <w:r>
        <w:rPr>
          <w:szCs w:val="21"/>
        </w:rPr>
        <w:t>查询交易确认情况。</w:t>
      </w:r>
    </w:p>
    <w:p w:rsidR="00D06562" w:rsidRDefault="00D358E2">
      <w:pPr>
        <w:widowControl/>
        <w:spacing w:line="360" w:lineRule="auto"/>
        <w:ind w:firstLineChars="200" w:firstLine="420"/>
        <w:jc w:val="left"/>
        <w:rPr>
          <w:kern w:val="0"/>
          <w:szCs w:val="21"/>
        </w:rPr>
      </w:pPr>
      <w:r>
        <w:rPr>
          <w:kern w:val="0"/>
          <w:szCs w:val="21"/>
        </w:rPr>
        <w:t>特此公告。</w:t>
      </w:r>
    </w:p>
    <w:p w:rsidR="00D06562" w:rsidRDefault="00D358E2">
      <w:pPr>
        <w:widowControl/>
        <w:spacing w:line="360" w:lineRule="auto"/>
        <w:ind w:firstLineChars="200" w:firstLine="420"/>
        <w:jc w:val="right"/>
        <w:rPr>
          <w:kern w:val="0"/>
          <w:szCs w:val="21"/>
        </w:rPr>
      </w:pPr>
      <w:r>
        <w:rPr>
          <w:kern w:val="0"/>
          <w:szCs w:val="21"/>
        </w:rPr>
        <w:t>平安基金管理有限公司</w:t>
      </w:r>
    </w:p>
    <w:p w:rsidR="00D06562" w:rsidRDefault="00D358E2">
      <w:pPr>
        <w:widowControl/>
        <w:spacing w:line="360" w:lineRule="auto"/>
        <w:ind w:firstLineChars="200" w:firstLine="420"/>
        <w:jc w:val="right"/>
        <w:rPr>
          <w:kern w:val="0"/>
          <w:szCs w:val="21"/>
        </w:rPr>
      </w:pPr>
      <w:r>
        <w:rPr>
          <w:rFonts w:hint="eastAsia"/>
          <w:kern w:val="0"/>
          <w:szCs w:val="21"/>
        </w:rPr>
        <w:t>2025</w:t>
      </w:r>
      <w:r>
        <w:rPr>
          <w:rFonts w:hint="eastAsia"/>
          <w:kern w:val="0"/>
          <w:szCs w:val="21"/>
        </w:rPr>
        <w:t>年</w:t>
      </w:r>
      <w:r>
        <w:rPr>
          <w:kern w:val="0"/>
          <w:szCs w:val="21"/>
        </w:rPr>
        <w:t>1</w:t>
      </w:r>
      <w:r>
        <w:rPr>
          <w:rFonts w:hint="eastAsia"/>
          <w:kern w:val="0"/>
          <w:szCs w:val="21"/>
        </w:rPr>
        <w:t>1</w:t>
      </w:r>
      <w:r>
        <w:rPr>
          <w:rFonts w:hint="eastAsia"/>
          <w:kern w:val="0"/>
          <w:szCs w:val="21"/>
        </w:rPr>
        <w:t>月</w:t>
      </w:r>
      <w:r>
        <w:rPr>
          <w:rFonts w:hint="eastAsia"/>
          <w:kern w:val="0"/>
          <w:szCs w:val="21"/>
        </w:rPr>
        <w:t>5</w:t>
      </w:r>
      <w:r>
        <w:rPr>
          <w:rFonts w:hint="eastAsia"/>
          <w:kern w:val="0"/>
          <w:szCs w:val="21"/>
        </w:rPr>
        <w:t>日</w:t>
      </w:r>
    </w:p>
    <w:sectPr w:rsidR="00D06562" w:rsidSect="00D06562">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562" w:rsidRDefault="00D06562" w:rsidP="00D06562">
      <w:r>
        <w:separator/>
      </w:r>
    </w:p>
  </w:endnote>
  <w:endnote w:type="continuationSeparator" w:id="0">
    <w:p w:rsidR="00D06562" w:rsidRDefault="00D06562" w:rsidP="00D0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62" w:rsidRDefault="00D06562">
    <w:pPr>
      <w:pStyle w:val="a5"/>
      <w:framePr w:wrap="around" w:vAnchor="text" w:hAnchor="margin" w:xAlign="right" w:y="1"/>
      <w:rPr>
        <w:rStyle w:val="ac"/>
      </w:rPr>
    </w:pPr>
    <w:r>
      <w:rPr>
        <w:rStyle w:val="ac"/>
      </w:rPr>
      <w:fldChar w:fldCharType="begin"/>
    </w:r>
    <w:r w:rsidR="00D358E2">
      <w:rPr>
        <w:rStyle w:val="ac"/>
      </w:rPr>
      <w:instrText xml:space="preserve">PAGE  </w:instrText>
    </w:r>
    <w:r>
      <w:rPr>
        <w:rStyle w:val="ac"/>
      </w:rPr>
      <w:fldChar w:fldCharType="end"/>
    </w:r>
  </w:p>
  <w:p w:rsidR="00D06562" w:rsidRDefault="00D0656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62" w:rsidRDefault="00D06562">
    <w:pPr>
      <w:pStyle w:val="a5"/>
      <w:framePr w:wrap="around" w:vAnchor="text" w:hAnchor="margin" w:xAlign="right" w:y="1"/>
      <w:rPr>
        <w:rStyle w:val="ac"/>
      </w:rPr>
    </w:pPr>
    <w:r>
      <w:rPr>
        <w:rStyle w:val="ac"/>
      </w:rPr>
      <w:fldChar w:fldCharType="begin"/>
    </w:r>
    <w:r w:rsidR="00D358E2">
      <w:rPr>
        <w:rStyle w:val="ac"/>
      </w:rPr>
      <w:instrText xml:space="preserve">PAGE  </w:instrText>
    </w:r>
    <w:r>
      <w:rPr>
        <w:rStyle w:val="ac"/>
      </w:rPr>
      <w:fldChar w:fldCharType="separate"/>
    </w:r>
    <w:r w:rsidR="00D358E2">
      <w:rPr>
        <w:rStyle w:val="ac"/>
        <w:noProof/>
      </w:rPr>
      <w:t>4</w:t>
    </w:r>
    <w:r>
      <w:rPr>
        <w:rStyle w:val="ac"/>
      </w:rPr>
      <w:fldChar w:fldCharType="end"/>
    </w:r>
  </w:p>
  <w:p w:rsidR="00D06562" w:rsidRDefault="00D0656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562" w:rsidRDefault="00D06562" w:rsidP="00D06562">
      <w:r>
        <w:separator/>
      </w:r>
    </w:p>
  </w:footnote>
  <w:footnote w:type="continuationSeparator" w:id="0">
    <w:p w:rsidR="00D06562" w:rsidRDefault="00D06562" w:rsidP="00D06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1170B"/>
    <w:rsid w:val="000043A0"/>
    <w:rsid w:val="000055D8"/>
    <w:rsid w:val="000127A2"/>
    <w:rsid w:val="00013B6E"/>
    <w:rsid w:val="00023473"/>
    <w:rsid w:val="00024DA9"/>
    <w:rsid w:val="0002727E"/>
    <w:rsid w:val="00030BF1"/>
    <w:rsid w:val="00035D8F"/>
    <w:rsid w:val="00037DDA"/>
    <w:rsid w:val="000412D3"/>
    <w:rsid w:val="00042BCD"/>
    <w:rsid w:val="00043B25"/>
    <w:rsid w:val="000447F0"/>
    <w:rsid w:val="00044E36"/>
    <w:rsid w:val="000471CA"/>
    <w:rsid w:val="000578E1"/>
    <w:rsid w:val="00060C2A"/>
    <w:rsid w:val="00065193"/>
    <w:rsid w:val="00074DBA"/>
    <w:rsid w:val="00077C3D"/>
    <w:rsid w:val="00077CAF"/>
    <w:rsid w:val="000843EA"/>
    <w:rsid w:val="00093826"/>
    <w:rsid w:val="00093DB7"/>
    <w:rsid w:val="000A3728"/>
    <w:rsid w:val="000A5F9F"/>
    <w:rsid w:val="000B0323"/>
    <w:rsid w:val="000B3483"/>
    <w:rsid w:val="000B5911"/>
    <w:rsid w:val="000B7182"/>
    <w:rsid w:val="000B73DB"/>
    <w:rsid w:val="000C1E0A"/>
    <w:rsid w:val="000C2C49"/>
    <w:rsid w:val="000D29D0"/>
    <w:rsid w:val="000D430E"/>
    <w:rsid w:val="000D4A29"/>
    <w:rsid w:val="000D6CFF"/>
    <w:rsid w:val="000D75BA"/>
    <w:rsid w:val="000E00EE"/>
    <w:rsid w:val="000E1BD1"/>
    <w:rsid w:val="000F0003"/>
    <w:rsid w:val="000F1CA0"/>
    <w:rsid w:val="000F38CF"/>
    <w:rsid w:val="000F3F5C"/>
    <w:rsid w:val="000F4684"/>
    <w:rsid w:val="00105842"/>
    <w:rsid w:val="001115DD"/>
    <w:rsid w:val="0011170B"/>
    <w:rsid w:val="001117F8"/>
    <w:rsid w:val="00112829"/>
    <w:rsid w:val="00116C86"/>
    <w:rsid w:val="00117FD1"/>
    <w:rsid w:val="001239FE"/>
    <w:rsid w:val="00123BBF"/>
    <w:rsid w:val="00125B17"/>
    <w:rsid w:val="0012646E"/>
    <w:rsid w:val="00126FD5"/>
    <w:rsid w:val="001277EF"/>
    <w:rsid w:val="0014209E"/>
    <w:rsid w:val="0014594A"/>
    <w:rsid w:val="001472A4"/>
    <w:rsid w:val="00150B79"/>
    <w:rsid w:val="00157603"/>
    <w:rsid w:val="00160968"/>
    <w:rsid w:val="00161830"/>
    <w:rsid w:val="0016576A"/>
    <w:rsid w:val="00165F64"/>
    <w:rsid w:val="00167056"/>
    <w:rsid w:val="00167347"/>
    <w:rsid w:val="0016784C"/>
    <w:rsid w:val="001724B5"/>
    <w:rsid w:val="001732EC"/>
    <w:rsid w:val="001748F5"/>
    <w:rsid w:val="00176381"/>
    <w:rsid w:val="001805ED"/>
    <w:rsid w:val="00181A67"/>
    <w:rsid w:val="0018358C"/>
    <w:rsid w:val="00185382"/>
    <w:rsid w:val="00187CD4"/>
    <w:rsid w:val="00190B9E"/>
    <w:rsid w:val="001932D3"/>
    <w:rsid w:val="00195B57"/>
    <w:rsid w:val="00195EC3"/>
    <w:rsid w:val="00197734"/>
    <w:rsid w:val="00197CDF"/>
    <w:rsid w:val="001A3D8D"/>
    <w:rsid w:val="001A555C"/>
    <w:rsid w:val="001A5E77"/>
    <w:rsid w:val="001A639D"/>
    <w:rsid w:val="001A6E21"/>
    <w:rsid w:val="001B0909"/>
    <w:rsid w:val="001B2C17"/>
    <w:rsid w:val="001B4AA1"/>
    <w:rsid w:val="001C1213"/>
    <w:rsid w:val="001C1E35"/>
    <w:rsid w:val="001C4E6A"/>
    <w:rsid w:val="001C7E6F"/>
    <w:rsid w:val="001D6D22"/>
    <w:rsid w:val="001E423B"/>
    <w:rsid w:val="001F0053"/>
    <w:rsid w:val="001F160E"/>
    <w:rsid w:val="001F510E"/>
    <w:rsid w:val="00201BA9"/>
    <w:rsid w:val="002043D8"/>
    <w:rsid w:val="002128E2"/>
    <w:rsid w:val="00214800"/>
    <w:rsid w:val="00220B0C"/>
    <w:rsid w:val="00225576"/>
    <w:rsid w:val="0023397A"/>
    <w:rsid w:val="002379A9"/>
    <w:rsid w:val="00237DDB"/>
    <w:rsid w:val="00237FFC"/>
    <w:rsid w:val="00241270"/>
    <w:rsid w:val="002429C2"/>
    <w:rsid w:val="0024702C"/>
    <w:rsid w:val="00250648"/>
    <w:rsid w:val="002545F8"/>
    <w:rsid w:val="002546E4"/>
    <w:rsid w:val="00257F93"/>
    <w:rsid w:val="00261D8C"/>
    <w:rsid w:val="00262116"/>
    <w:rsid w:val="002631AF"/>
    <w:rsid w:val="002636D4"/>
    <w:rsid w:val="00267972"/>
    <w:rsid w:val="002730EC"/>
    <w:rsid w:val="002760A9"/>
    <w:rsid w:val="002806D8"/>
    <w:rsid w:val="00281C7A"/>
    <w:rsid w:val="00291627"/>
    <w:rsid w:val="002917B6"/>
    <w:rsid w:val="00292A64"/>
    <w:rsid w:val="002A0882"/>
    <w:rsid w:val="002A0BB1"/>
    <w:rsid w:val="002A194A"/>
    <w:rsid w:val="002A257C"/>
    <w:rsid w:val="002A52A9"/>
    <w:rsid w:val="002A75A3"/>
    <w:rsid w:val="002A7CE7"/>
    <w:rsid w:val="002A7CF3"/>
    <w:rsid w:val="002B51D2"/>
    <w:rsid w:val="002B6FBC"/>
    <w:rsid w:val="002B75FA"/>
    <w:rsid w:val="002C0FE0"/>
    <w:rsid w:val="002C164E"/>
    <w:rsid w:val="002C7B15"/>
    <w:rsid w:val="002D2D92"/>
    <w:rsid w:val="002D3741"/>
    <w:rsid w:val="002E0366"/>
    <w:rsid w:val="002E2FF3"/>
    <w:rsid w:val="002E519B"/>
    <w:rsid w:val="002F238D"/>
    <w:rsid w:val="002F2D84"/>
    <w:rsid w:val="002F63FE"/>
    <w:rsid w:val="003002D0"/>
    <w:rsid w:val="00306BB4"/>
    <w:rsid w:val="0031001B"/>
    <w:rsid w:val="0031141D"/>
    <w:rsid w:val="00312BEE"/>
    <w:rsid w:val="003218A2"/>
    <w:rsid w:val="0032478A"/>
    <w:rsid w:val="003322E8"/>
    <w:rsid w:val="003338C1"/>
    <w:rsid w:val="003360E9"/>
    <w:rsid w:val="003375A4"/>
    <w:rsid w:val="0033792F"/>
    <w:rsid w:val="00342E78"/>
    <w:rsid w:val="00346225"/>
    <w:rsid w:val="00346BF0"/>
    <w:rsid w:val="00347A07"/>
    <w:rsid w:val="00347A99"/>
    <w:rsid w:val="00347C98"/>
    <w:rsid w:val="00352C17"/>
    <w:rsid w:val="00353984"/>
    <w:rsid w:val="00360F64"/>
    <w:rsid w:val="003614D1"/>
    <w:rsid w:val="00363338"/>
    <w:rsid w:val="003663FC"/>
    <w:rsid w:val="00366AA9"/>
    <w:rsid w:val="003938E1"/>
    <w:rsid w:val="003A13F1"/>
    <w:rsid w:val="003A4EA1"/>
    <w:rsid w:val="003A6388"/>
    <w:rsid w:val="003A6C61"/>
    <w:rsid w:val="003A6DA5"/>
    <w:rsid w:val="003B0618"/>
    <w:rsid w:val="003B2EBC"/>
    <w:rsid w:val="003B3385"/>
    <w:rsid w:val="003B4E20"/>
    <w:rsid w:val="003B67FC"/>
    <w:rsid w:val="003B6A42"/>
    <w:rsid w:val="003C32D8"/>
    <w:rsid w:val="003C451C"/>
    <w:rsid w:val="003C5A41"/>
    <w:rsid w:val="003C6E24"/>
    <w:rsid w:val="003D1E7C"/>
    <w:rsid w:val="003D28D3"/>
    <w:rsid w:val="003D4652"/>
    <w:rsid w:val="003D77AC"/>
    <w:rsid w:val="003E2AE5"/>
    <w:rsid w:val="003E4814"/>
    <w:rsid w:val="003E4C1E"/>
    <w:rsid w:val="003E513C"/>
    <w:rsid w:val="003E661C"/>
    <w:rsid w:val="003E7F58"/>
    <w:rsid w:val="003F1B71"/>
    <w:rsid w:val="003F2D0D"/>
    <w:rsid w:val="003F59B9"/>
    <w:rsid w:val="003F5D81"/>
    <w:rsid w:val="003F623F"/>
    <w:rsid w:val="003F7FFB"/>
    <w:rsid w:val="004010EE"/>
    <w:rsid w:val="00403067"/>
    <w:rsid w:val="0040577A"/>
    <w:rsid w:val="004057C8"/>
    <w:rsid w:val="00407A5B"/>
    <w:rsid w:val="004103AD"/>
    <w:rsid w:val="0041127D"/>
    <w:rsid w:val="00413791"/>
    <w:rsid w:val="00414604"/>
    <w:rsid w:val="004150FB"/>
    <w:rsid w:val="00425199"/>
    <w:rsid w:val="004279B7"/>
    <w:rsid w:val="00431EB0"/>
    <w:rsid w:val="00432B98"/>
    <w:rsid w:val="004352F8"/>
    <w:rsid w:val="00435A84"/>
    <w:rsid w:val="004363F2"/>
    <w:rsid w:val="00437369"/>
    <w:rsid w:val="00437493"/>
    <w:rsid w:val="00441809"/>
    <w:rsid w:val="00450FA3"/>
    <w:rsid w:val="00453141"/>
    <w:rsid w:val="00453DF7"/>
    <w:rsid w:val="00454D17"/>
    <w:rsid w:val="0045509B"/>
    <w:rsid w:val="004614B5"/>
    <w:rsid w:val="00461EB4"/>
    <w:rsid w:val="00462D7F"/>
    <w:rsid w:val="004651F5"/>
    <w:rsid w:val="00466117"/>
    <w:rsid w:val="00471058"/>
    <w:rsid w:val="00476FE7"/>
    <w:rsid w:val="0048175E"/>
    <w:rsid w:val="004819E7"/>
    <w:rsid w:val="004849EB"/>
    <w:rsid w:val="004915D7"/>
    <w:rsid w:val="004923C5"/>
    <w:rsid w:val="00492C23"/>
    <w:rsid w:val="0049491E"/>
    <w:rsid w:val="0049743A"/>
    <w:rsid w:val="004A0293"/>
    <w:rsid w:val="004A1960"/>
    <w:rsid w:val="004A652B"/>
    <w:rsid w:val="004B1E70"/>
    <w:rsid w:val="004B3FAF"/>
    <w:rsid w:val="004B4771"/>
    <w:rsid w:val="004C3ECE"/>
    <w:rsid w:val="004C66CA"/>
    <w:rsid w:val="004D2996"/>
    <w:rsid w:val="004D35A8"/>
    <w:rsid w:val="004D463A"/>
    <w:rsid w:val="004D578E"/>
    <w:rsid w:val="004D7570"/>
    <w:rsid w:val="004E00F8"/>
    <w:rsid w:val="004E1473"/>
    <w:rsid w:val="004E28CB"/>
    <w:rsid w:val="004E35C3"/>
    <w:rsid w:val="004E54B8"/>
    <w:rsid w:val="004E76BD"/>
    <w:rsid w:val="004F41B1"/>
    <w:rsid w:val="004F555B"/>
    <w:rsid w:val="004F66D6"/>
    <w:rsid w:val="004F7129"/>
    <w:rsid w:val="005016DC"/>
    <w:rsid w:val="00503290"/>
    <w:rsid w:val="00505B30"/>
    <w:rsid w:val="0051045C"/>
    <w:rsid w:val="0051127E"/>
    <w:rsid w:val="00512E3D"/>
    <w:rsid w:val="00515A2B"/>
    <w:rsid w:val="00515A68"/>
    <w:rsid w:val="00515BB3"/>
    <w:rsid w:val="00520A83"/>
    <w:rsid w:val="00525D2B"/>
    <w:rsid w:val="00526896"/>
    <w:rsid w:val="005318CC"/>
    <w:rsid w:val="00533ACD"/>
    <w:rsid w:val="00540164"/>
    <w:rsid w:val="0054221E"/>
    <w:rsid w:val="005431FA"/>
    <w:rsid w:val="00545EAA"/>
    <w:rsid w:val="00547EFC"/>
    <w:rsid w:val="0055002F"/>
    <w:rsid w:val="00551929"/>
    <w:rsid w:val="00555C95"/>
    <w:rsid w:val="0055605B"/>
    <w:rsid w:val="00566C68"/>
    <w:rsid w:val="00567CD7"/>
    <w:rsid w:val="00570713"/>
    <w:rsid w:val="005746BC"/>
    <w:rsid w:val="005754B3"/>
    <w:rsid w:val="00576665"/>
    <w:rsid w:val="00577DEB"/>
    <w:rsid w:val="005804D7"/>
    <w:rsid w:val="00582130"/>
    <w:rsid w:val="00582C50"/>
    <w:rsid w:val="005862D1"/>
    <w:rsid w:val="005874E0"/>
    <w:rsid w:val="00590769"/>
    <w:rsid w:val="005918D7"/>
    <w:rsid w:val="00593373"/>
    <w:rsid w:val="005933F2"/>
    <w:rsid w:val="005A2815"/>
    <w:rsid w:val="005A2B61"/>
    <w:rsid w:val="005A67B4"/>
    <w:rsid w:val="005B0CB0"/>
    <w:rsid w:val="005B3192"/>
    <w:rsid w:val="005B53EA"/>
    <w:rsid w:val="005B5CEE"/>
    <w:rsid w:val="005B5F0D"/>
    <w:rsid w:val="005C08EE"/>
    <w:rsid w:val="005C2807"/>
    <w:rsid w:val="005C609F"/>
    <w:rsid w:val="005C7268"/>
    <w:rsid w:val="005C7FD4"/>
    <w:rsid w:val="005D5F33"/>
    <w:rsid w:val="005E7F56"/>
    <w:rsid w:val="005F49EB"/>
    <w:rsid w:val="005F54A0"/>
    <w:rsid w:val="005F6A96"/>
    <w:rsid w:val="005F730A"/>
    <w:rsid w:val="0060150B"/>
    <w:rsid w:val="00604D56"/>
    <w:rsid w:val="00605F40"/>
    <w:rsid w:val="00607692"/>
    <w:rsid w:val="00611D87"/>
    <w:rsid w:val="0061299B"/>
    <w:rsid w:val="006152C9"/>
    <w:rsid w:val="00615840"/>
    <w:rsid w:val="00617613"/>
    <w:rsid w:val="00621F28"/>
    <w:rsid w:val="0062599A"/>
    <w:rsid w:val="006270E5"/>
    <w:rsid w:val="00630827"/>
    <w:rsid w:val="00636849"/>
    <w:rsid w:val="006427DC"/>
    <w:rsid w:val="00643EFA"/>
    <w:rsid w:val="00647C34"/>
    <w:rsid w:val="0065357D"/>
    <w:rsid w:val="006536E5"/>
    <w:rsid w:val="006548B3"/>
    <w:rsid w:val="00663F64"/>
    <w:rsid w:val="006643A7"/>
    <w:rsid w:val="006647DF"/>
    <w:rsid w:val="0066711E"/>
    <w:rsid w:val="0067609D"/>
    <w:rsid w:val="00676B47"/>
    <w:rsid w:val="00686CF2"/>
    <w:rsid w:val="00687BE0"/>
    <w:rsid w:val="006904C3"/>
    <w:rsid w:val="00691B51"/>
    <w:rsid w:val="0069263B"/>
    <w:rsid w:val="00693FE7"/>
    <w:rsid w:val="00694231"/>
    <w:rsid w:val="00696E17"/>
    <w:rsid w:val="00697897"/>
    <w:rsid w:val="006A2AFC"/>
    <w:rsid w:val="006A2C51"/>
    <w:rsid w:val="006A3891"/>
    <w:rsid w:val="006A3948"/>
    <w:rsid w:val="006A3C2C"/>
    <w:rsid w:val="006C0088"/>
    <w:rsid w:val="006C21A8"/>
    <w:rsid w:val="006C2295"/>
    <w:rsid w:val="006C2AC0"/>
    <w:rsid w:val="006C7DD1"/>
    <w:rsid w:val="006D3339"/>
    <w:rsid w:val="006D4FFE"/>
    <w:rsid w:val="006D657E"/>
    <w:rsid w:val="006D7642"/>
    <w:rsid w:val="006E0C2E"/>
    <w:rsid w:val="006E23F5"/>
    <w:rsid w:val="006E5B50"/>
    <w:rsid w:val="00700946"/>
    <w:rsid w:val="007128BD"/>
    <w:rsid w:val="00713375"/>
    <w:rsid w:val="00716CE0"/>
    <w:rsid w:val="00717733"/>
    <w:rsid w:val="00720E6D"/>
    <w:rsid w:val="007248BB"/>
    <w:rsid w:val="00724E67"/>
    <w:rsid w:val="00726172"/>
    <w:rsid w:val="00727AD8"/>
    <w:rsid w:val="007312EA"/>
    <w:rsid w:val="00735B66"/>
    <w:rsid w:val="0073758E"/>
    <w:rsid w:val="007439D9"/>
    <w:rsid w:val="007459BC"/>
    <w:rsid w:val="00745E2A"/>
    <w:rsid w:val="007521E0"/>
    <w:rsid w:val="007569E8"/>
    <w:rsid w:val="00756CA2"/>
    <w:rsid w:val="0076084E"/>
    <w:rsid w:val="00761293"/>
    <w:rsid w:val="00761DC2"/>
    <w:rsid w:val="007624CC"/>
    <w:rsid w:val="007639C7"/>
    <w:rsid w:val="00763F46"/>
    <w:rsid w:val="007644B5"/>
    <w:rsid w:val="00764500"/>
    <w:rsid w:val="007649BB"/>
    <w:rsid w:val="007749BC"/>
    <w:rsid w:val="007820A1"/>
    <w:rsid w:val="00795F45"/>
    <w:rsid w:val="00796719"/>
    <w:rsid w:val="007969CE"/>
    <w:rsid w:val="00797B8C"/>
    <w:rsid w:val="00797B95"/>
    <w:rsid w:val="007A0A0C"/>
    <w:rsid w:val="007A240B"/>
    <w:rsid w:val="007A371C"/>
    <w:rsid w:val="007B0E90"/>
    <w:rsid w:val="007B24B2"/>
    <w:rsid w:val="007B2504"/>
    <w:rsid w:val="007B38BE"/>
    <w:rsid w:val="007C1E68"/>
    <w:rsid w:val="007C70C0"/>
    <w:rsid w:val="007D0254"/>
    <w:rsid w:val="007D0EA6"/>
    <w:rsid w:val="007D1BA0"/>
    <w:rsid w:val="007D321B"/>
    <w:rsid w:val="007D3ADD"/>
    <w:rsid w:val="007E1765"/>
    <w:rsid w:val="007E220A"/>
    <w:rsid w:val="007E5100"/>
    <w:rsid w:val="007E5570"/>
    <w:rsid w:val="007E5954"/>
    <w:rsid w:val="007F0274"/>
    <w:rsid w:val="007F0D58"/>
    <w:rsid w:val="007F2C50"/>
    <w:rsid w:val="007F50B7"/>
    <w:rsid w:val="007F602E"/>
    <w:rsid w:val="007F6C7B"/>
    <w:rsid w:val="0080079F"/>
    <w:rsid w:val="0080225A"/>
    <w:rsid w:val="0081114A"/>
    <w:rsid w:val="00821180"/>
    <w:rsid w:val="008279F3"/>
    <w:rsid w:val="0083165F"/>
    <w:rsid w:val="00832652"/>
    <w:rsid w:val="008346C6"/>
    <w:rsid w:val="008364FD"/>
    <w:rsid w:val="00841BF9"/>
    <w:rsid w:val="008426B8"/>
    <w:rsid w:val="00843C75"/>
    <w:rsid w:val="00853B8F"/>
    <w:rsid w:val="00854EB6"/>
    <w:rsid w:val="0085557D"/>
    <w:rsid w:val="0085696C"/>
    <w:rsid w:val="00860256"/>
    <w:rsid w:val="00861910"/>
    <w:rsid w:val="00862A68"/>
    <w:rsid w:val="00863976"/>
    <w:rsid w:val="008644C2"/>
    <w:rsid w:val="00864FBF"/>
    <w:rsid w:val="008656B3"/>
    <w:rsid w:val="00866FCE"/>
    <w:rsid w:val="0087192E"/>
    <w:rsid w:val="00875236"/>
    <w:rsid w:val="00877030"/>
    <w:rsid w:val="008779E2"/>
    <w:rsid w:val="00880BAA"/>
    <w:rsid w:val="0088385D"/>
    <w:rsid w:val="008852F0"/>
    <w:rsid w:val="00891EEB"/>
    <w:rsid w:val="00893013"/>
    <w:rsid w:val="008A0FBF"/>
    <w:rsid w:val="008B219B"/>
    <w:rsid w:val="008B422A"/>
    <w:rsid w:val="008B7E87"/>
    <w:rsid w:val="008C0BD1"/>
    <w:rsid w:val="008C3AA0"/>
    <w:rsid w:val="008C7294"/>
    <w:rsid w:val="008D1DD9"/>
    <w:rsid w:val="008D7E56"/>
    <w:rsid w:val="008E03F8"/>
    <w:rsid w:val="008E1846"/>
    <w:rsid w:val="008E54EE"/>
    <w:rsid w:val="008E7D16"/>
    <w:rsid w:val="008F187E"/>
    <w:rsid w:val="008F200E"/>
    <w:rsid w:val="008F3823"/>
    <w:rsid w:val="008F3A0D"/>
    <w:rsid w:val="008F511A"/>
    <w:rsid w:val="008F756E"/>
    <w:rsid w:val="008F7E96"/>
    <w:rsid w:val="009023C7"/>
    <w:rsid w:val="00903433"/>
    <w:rsid w:val="00903BD1"/>
    <w:rsid w:val="00911DD6"/>
    <w:rsid w:val="0091233F"/>
    <w:rsid w:val="00915F3B"/>
    <w:rsid w:val="0091692C"/>
    <w:rsid w:val="00917F04"/>
    <w:rsid w:val="0092012E"/>
    <w:rsid w:val="00920208"/>
    <w:rsid w:val="00921143"/>
    <w:rsid w:val="009217CA"/>
    <w:rsid w:val="00921B02"/>
    <w:rsid w:val="00927AE2"/>
    <w:rsid w:val="00930831"/>
    <w:rsid w:val="00931499"/>
    <w:rsid w:val="0093206B"/>
    <w:rsid w:val="00932300"/>
    <w:rsid w:val="00935AB2"/>
    <w:rsid w:val="00936082"/>
    <w:rsid w:val="00937E07"/>
    <w:rsid w:val="00942829"/>
    <w:rsid w:val="009436DC"/>
    <w:rsid w:val="00943F64"/>
    <w:rsid w:val="00945FEE"/>
    <w:rsid w:val="00946B62"/>
    <w:rsid w:val="00953327"/>
    <w:rsid w:val="0095667E"/>
    <w:rsid w:val="00956BBB"/>
    <w:rsid w:val="00957344"/>
    <w:rsid w:val="0096002E"/>
    <w:rsid w:val="009614C3"/>
    <w:rsid w:val="009636E5"/>
    <w:rsid w:val="00963809"/>
    <w:rsid w:val="00965665"/>
    <w:rsid w:val="009677F5"/>
    <w:rsid w:val="00974083"/>
    <w:rsid w:val="009766BB"/>
    <w:rsid w:val="0097733C"/>
    <w:rsid w:val="009774F2"/>
    <w:rsid w:val="009801CF"/>
    <w:rsid w:val="0098222D"/>
    <w:rsid w:val="009855C9"/>
    <w:rsid w:val="00985FDD"/>
    <w:rsid w:val="0098782E"/>
    <w:rsid w:val="009A27EB"/>
    <w:rsid w:val="009A286D"/>
    <w:rsid w:val="009A6120"/>
    <w:rsid w:val="009B1F35"/>
    <w:rsid w:val="009B26F5"/>
    <w:rsid w:val="009B2E6F"/>
    <w:rsid w:val="009B48C6"/>
    <w:rsid w:val="009B4E69"/>
    <w:rsid w:val="009B5C0E"/>
    <w:rsid w:val="009B7101"/>
    <w:rsid w:val="009C07C9"/>
    <w:rsid w:val="009C2067"/>
    <w:rsid w:val="009C2BDA"/>
    <w:rsid w:val="009C5577"/>
    <w:rsid w:val="009C74A9"/>
    <w:rsid w:val="009D03A5"/>
    <w:rsid w:val="009D0B06"/>
    <w:rsid w:val="009D17FC"/>
    <w:rsid w:val="009D7974"/>
    <w:rsid w:val="009E2079"/>
    <w:rsid w:val="009E2FF7"/>
    <w:rsid w:val="009F075B"/>
    <w:rsid w:val="009F0FB1"/>
    <w:rsid w:val="00A005AE"/>
    <w:rsid w:val="00A00685"/>
    <w:rsid w:val="00A016F6"/>
    <w:rsid w:val="00A02768"/>
    <w:rsid w:val="00A06398"/>
    <w:rsid w:val="00A064AC"/>
    <w:rsid w:val="00A06C05"/>
    <w:rsid w:val="00A13FE3"/>
    <w:rsid w:val="00A24D08"/>
    <w:rsid w:val="00A25ACA"/>
    <w:rsid w:val="00A30F64"/>
    <w:rsid w:val="00A377B7"/>
    <w:rsid w:val="00A460C1"/>
    <w:rsid w:val="00A56240"/>
    <w:rsid w:val="00A57E6E"/>
    <w:rsid w:val="00A60A15"/>
    <w:rsid w:val="00A64E50"/>
    <w:rsid w:val="00A66E0D"/>
    <w:rsid w:val="00A66E13"/>
    <w:rsid w:val="00A71E17"/>
    <w:rsid w:val="00A75BF9"/>
    <w:rsid w:val="00A80848"/>
    <w:rsid w:val="00A80ACB"/>
    <w:rsid w:val="00A80F3D"/>
    <w:rsid w:val="00A82EE0"/>
    <w:rsid w:val="00A85D7E"/>
    <w:rsid w:val="00A85F5F"/>
    <w:rsid w:val="00A86F8B"/>
    <w:rsid w:val="00A87462"/>
    <w:rsid w:val="00A90723"/>
    <w:rsid w:val="00A90FDA"/>
    <w:rsid w:val="00A92768"/>
    <w:rsid w:val="00A95871"/>
    <w:rsid w:val="00A96149"/>
    <w:rsid w:val="00AA28A2"/>
    <w:rsid w:val="00AA53FC"/>
    <w:rsid w:val="00AC1AD8"/>
    <w:rsid w:val="00AC51B4"/>
    <w:rsid w:val="00AC6527"/>
    <w:rsid w:val="00AD0512"/>
    <w:rsid w:val="00AD09EF"/>
    <w:rsid w:val="00AD7C71"/>
    <w:rsid w:val="00AD7F15"/>
    <w:rsid w:val="00AE1604"/>
    <w:rsid w:val="00AE17A4"/>
    <w:rsid w:val="00AE2BCC"/>
    <w:rsid w:val="00AF0F90"/>
    <w:rsid w:val="00AF446D"/>
    <w:rsid w:val="00AF5AE7"/>
    <w:rsid w:val="00AF6A99"/>
    <w:rsid w:val="00B00F3B"/>
    <w:rsid w:val="00B02BEF"/>
    <w:rsid w:val="00B02C98"/>
    <w:rsid w:val="00B02ECB"/>
    <w:rsid w:val="00B07AE3"/>
    <w:rsid w:val="00B12C94"/>
    <w:rsid w:val="00B159B4"/>
    <w:rsid w:val="00B21C47"/>
    <w:rsid w:val="00B23C0E"/>
    <w:rsid w:val="00B24507"/>
    <w:rsid w:val="00B24BAC"/>
    <w:rsid w:val="00B25623"/>
    <w:rsid w:val="00B27CBA"/>
    <w:rsid w:val="00B32350"/>
    <w:rsid w:val="00B343E7"/>
    <w:rsid w:val="00B34FB9"/>
    <w:rsid w:val="00B42040"/>
    <w:rsid w:val="00B42C62"/>
    <w:rsid w:val="00B43948"/>
    <w:rsid w:val="00B45BAE"/>
    <w:rsid w:val="00B47151"/>
    <w:rsid w:val="00B54ABA"/>
    <w:rsid w:val="00B54F86"/>
    <w:rsid w:val="00B5617A"/>
    <w:rsid w:val="00B5661F"/>
    <w:rsid w:val="00B568F9"/>
    <w:rsid w:val="00B61D87"/>
    <w:rsid w:val="00B62341"/>
    <w:rsid w:val="00B70C10"/>
    <w:rsid w:val="00B73028"/>
    <w:rsid w:val="00B765F9"/>
    <w:rsid w:val="00B8053E"/>
    <w:rsid w:val="00B8169E"/>
    <w:rsid w:val="00B81EC9"/>
    <w:rsid w:val="00B864FB"/>
    <w:rsid w:val="00B87DBA"/>
    <w:rsid w:val="00B9379F"/>
    <w:rsid w:val="00BA1C41"/>
    <w:rsid w:val="00BA498B"/>
    <w:rsid w:val="00BB1D07"/>
    <w:rsid w:val="00BB21AA"/>
    <w:rsid w:val="00BB38CE"/>
    <w:rsid w:val="00BB46F1"/>
    <w:rsid w:val="00BB4C15"/>
    <w:rsid w:val="00BB629D"/>
    <w:rsid w:val="00BC3606"/>
    <w:rsid w:val="00BC3B70"/>
    <w:rsid w:val="00BC5548"/>
    <w:rsid w:val="00BD5112"/>
    <w:rsid w:val="00BD606B"/>
    <w:rsid w:val="00BD64AE"/>
    <w:rsid w:val="00BD752D"/>
    <w:rsid w:val="00BE0642"/>
    <w:rsid w:val="00BE6B66"/>
    <w:rsid w:val="00BF0E15"/>
    <w:rsid w:val="00BF49E1"/>
    <w:rsid w:val="00BF5EF6"/>
    <w:rsid w:val="00C0247B"/>
    <w:rsid w:val="00C04F36"/>
    <w:rsid w:val="00C07A2C"/>
    <w:rsid w:val="00C1087F"/>
    <w:rsid w:val="00C13584"/>
    <w:rsid w:val="00C13650"/>
    <w:rsid w:val="00C2192C"/>
    <w:rsid w:val="00C22D7D"/>
    <w:rsid w:val="00C258C7"/>
    <w:rsid w:val="00C302D9"/>
    <w:rsid w:val="00C31ADD"/>
    <w:rsid w:val="00C3221A"/>
    <w:rsid w:val="00C3407A"/>
    <w:rsid w:val="00C40000"/>
    <w:rsid w:val="00C41573"/>
    <w:rsid w:val="00C4720C"/>
    <w:rsid w:val="00C50A6C"/>
    <w:rsid w:val="00C525B7"/>
    <w:rsid w:val="00C53AE4"/>
    <w:rsid w:val="00C6017F"/>
    <w:rsid w:val="00C60468"/>
    <w:rsid w:val="00C635D0"/>
    <w:rsid w:val="00C7164F"/>
    <w:rsid w:val="00C76193"/>
    <w:rsid w:val="00C764DA"/>
    <w:rsid w:val="00C8257B"/>
    <w:rsid w:val="00C8751C"/>
    <w:rsid w:val="00C87E63"/>
    <w:rsid w:val="00C9120D"/>
    <w:rsid w:val="00C94D33"/>
    <w:rsid w:val="00C95304"/>
    <w:rsid w:val="00C967CB"/>
    <w:rsid w:val="00C96D13"/>
    <w:rsid w:val="00CA1072"/>
    <w:rsid w:val="00CA4C36"/>
    <w:rsid w:val="00CB3A08"/>
    <w:rsid w:val="00CB416E"/>
    <w:rsid w:val="00CB4C97"/>
    <w:rsid w:val="00CB6323"/>
    <w:rsid w:val="00CC1AD8"/>
    <w:rsid w:val="00CC2723"/>
    <w:rsid w:val="00CC2B33"/>
    <w:rsid w:val="00CC484C"/>
    <w:rsid w:val="00CC61DF"/>
    <w:rsid w:val="00CD4E78"/>
    <w:rsid w:val="00CD73C7"/>
    <w:rsid w:val="00CE2B1A"/>
    <w:rsid w:val="00CE2D91"/>
    <w:rsid w:val="00CE3177"/>
    <w:rsid w:val="00CF2E50"/>
    <w:rsid w:val="00CF45AC"/>
    <w:rsid w:val="00D007AC"/>
    <w:rsid w:val="00D0428C"/>
    <w:rsid w:val="00D04CFB"/>
    <w:rsid w:val="00D058F9"/>
    <w:rsid w:val="00D06562"/>
    <w:rsid w:val="00D07C2D"/>
    <w:rsid w:val="00D11503"/>
    <w:rsid w:val="00D14DBB"/>
    <w:rsid w:val="00D15205"/>
    <w:rsid w:val="00D154D3"/>
    <w:rsid w:val="00D1732C"/>
    <w:rsid w:val="00D20555"/>
    <w:rsid w:val="00D22286"/>
    <w:rsid w:val="00D24E8C"/>
    <w:rsid w:val="00D24EA0"/>
    <w:rsid w:val="00D25D0D"/>
    <w:rsid w:val="00D25FF8"/>
    <w:rsid w:val="00D27935"/>
    <w:rsid w:val="00D31BF9"/>
    <w:rsid w:val="00D344A2"/>
    <w:rsid w:val="00D358E2"/>
    <w:rsid w:val="00D402D0"/>
    <w:rsid w:val="00D4144B"/>
    <w:rsid w:val="00D43CBB"/>
    <w:rsid w:val="00D45DF2"/>
    <w:rsid w:val="00D523C6"/>
    <w:rsid w:val="00D54D56"/>
    <w:rsid w:val="00D60CAB"/>
    <w:rsid w:val="00D60F57"/>
    <w:rsid w:val="00D615B5"/>
    <w:rsid w:val="00D62F26"/>
    <w:rsid w:val="00D72333"/>
    <w:rsid w:val="00D75A18"/>
    <w:rsid w:val="00D766CE"/>
    <w:rsid w:val="00D76C5B"/>
    <w:rsid w:val="00D81DAA"/>
    <w:rsid w:val="00D85F42"/>
    <w:rsid w:val="00D86400"/>
    <w:rsid w:val="00D9012B"/>
    <w:rsid w:val="00D9165C"/>
    <w:rsid w:val="00D93C31"/>
    <w:rsid w:val="00DA10BD"/>
    <w:rsid w:val="00DA2EB4"/>
    <w:rsid w:val="00DA30D7"/>
    <w:rsid w:val="00DA6018"/>
    <w:rsid w:val="00DA74F9"/>
    <w:rsid w:val="00DB0F6B"/>
    <w:rsid w:val="00DC1296"/>
    <w:rsid w:val="00DC1E5C"/>
    <w:rsid w:val="00DC61B7"/>
    <w:rsid w:val="00DD2BCD"/>
    <w:rsid w:val="00DD5D2A"/>
    <w:rsid w:val="00DE0801"/>
    <w:rsid w:val="00DE388D"/>
    <w:rsid w:val="00DE45FF"/>
    <w:rsid w:val="00DE6240"/>
    <w:rsid w:val="00DF37F9"/>
    <w:rsid w:val="00DF7043"/>
    <w:rsid w:val="00E02B81"/>
    <w:rsid w:val="00E06FC7"/>
    <w:rsid w:val="00E0719E"/>
    <w:rsid w:val="00E1115B"/>
    <w:rsid w:val="00E119C6"/>
    <w:rsid w:val="00E11B33"/>
    <w:rsid w:val="00E142DE"/>
    <w:rsid w:val="00E17054"/>
    <w:rsid w:val="00E20846"/>
    <w:rsid w:val="00E20FF7"/>
    <w:rsid w:val="00E211AA"/>
    <w:rsid w:val="00E21DAA"/>
    <w:rsid w:val="00E243E4"/>
    <w:rsid w:val="00E25EE3"/>
    <w:rsid w:val="00E26A9A"/>
    <w:rsid w:val="00E3494A"/>
    <w:rsid w:val="00E352E9"/>
    <w:rsid w:val="00E40B91"/>
    <w:rsid w:val="00E41654"/>
    <w:rsid w:val="00E41C11"/>
    <w:rsid w:val="00E43446"/>
    <w:rsid w:val="00E464EE"/>
    <w:rsid w:val="00E513EA"/>
    <w:rsid w:val="00E55CCA"/>
    <w:rsid w:val="00E56960"/>
    <w:rsid w:val="00E60146"/>
    <w:rsid w:val="00E60A04"/>
    <w:rsid w:val="00E62023"/>
    <w:rsid w:val="00E65A4F"/>
    <w:rsid w:val="00E725C6"/>
    <w:rsid w:val="00E73A07"/>
    <w:rsid w:val="00E84715"/>
    <w:rsid w:val="00E859D1"/>
    <w:rsid w:val="00E85CD5"/>
    <w:rsid w:val="00EA29FF"/>
    <w:rsid w:val="00EA3566"/>
    <w:rsid w:val="00EA43AE"/>
    <w:rsid w:val="00EA55DF"/>
    <w:rsid w:val="00EA634A"/>
    <w:rsid w:val="00EB16A9"/>
    <w:rsid w:val="00EB3333"/>
    <w:rsid w:val="00EB4D2E"/>
    <w:rsid w:val="00EB6A3D"/>
    <w:rsid w:val="00EC03BF"/>
    <w:rsid w:val="00EC1FC6"/>
    <w:rsid w:val="00EC3CA3"/>
    <w:rsid w:val="00EC5EC1"/>
    <w:rsid w:val="00EC617F"/>
    <w:rsid w:val="00EC61BE"/>
    <w:rsid w:val="00EC678C"/>
    <w:rsid w:val="00EC6A53"/>
    <w:rsid w:val="00EC6B5F"/>
    <w:rsid w:val="00ED4188"/>
    <w:rsid w:val="00ED7486"/>
    <w:rsid w:val="00EE5C17"/>
    <w:rsid w:val="00EF13F1"/>
    <w:rsid w:val="00EF21B5"/>
    <w:rsid w:val="00EF39F6"/>
    <w:rsid w:val="00EF3BE2"/>
    <w:rsid w:val="00EF44B1"/>
    <w:rsid w:val="00EF499A"/>
    <w:rsid w:val="00EF5BD9"/>
    <w:rsid w:val="00F0117B"/>
    <w:rsid w:val="00F01A17"/>
    <w:rsid w:val="00F112EF"/>
    <w:rsid w:val="00F12E41"/>
    <w:rsid w:val="00F136DA"/>
    <w:rsid w:val="00F14792"/>
    <w:rsid w:val="00F154E6"/>
    <w:rsid w:val="00F156B1"/>
    <w:rsid w:val="00F15828"/>
    <w:rsid w:val="00F15E5D"/>
    <w:rsid w:val="00F16629"/>
    <w:rsid w:val="00F21672"/>
    <w:rsid w:val="00F2177F"/>
    <w:rsid w:val="00F228F5"/>
    <w:rsid w:val="00F25889"/>
    <w:rsid w:val="00F260CB"/>
    <w:rsid w:val="00F31A97"/>
    <w:rsid w:val="00F325C3"/>
    <w:rsid w:val="00F32AFC"/>
    <w:rsid w:val="00F40A56"/>
    <w:rsid w:val="00F42BCA"/>
    <w:rsid w:val="00F479C7"/>
    <w:rsid w:val="00F55D7C"/>
    <w:rsid w:val="00F5650D"/>
    <w:rsid w:val="00F60017"/>
    <w:rsid w:val="00F6222D"/>
    <w:rsid w:val="00F62FC7"/>
    <w:rsid w:val="00F8341B"/>
    <w:rsid w:val="00F9085C"/>
    <w:rsid w:val="00F91A52"/>
    <w:rsid w:val="00F93BA5"/>
    <w:rsid w:val="00F9511E"/>
    <w:rsid w:val="00F95CA2"/>
    <w:rsid w:val="00FA53E9"/>
    <w:rsid w:val="00FA7C06"/>
    <w:rsid w:val="00FB115B"/>
    <w:rsid w:val="00FB3142"/>
    <w:rsid w:val="00FB3B87"/>
    <w:rsid w:val="00FB3D22"/>
    <w:rsid w:val="00FB631D"/>
    <w:rsid w:val="00FC1740"/>
    <w:rsid w:val="00FC1A1C"/>
    <w:rsid w:val="00FC7F35"/>
    <w:rsid w:val="00FD260D"/>
    <w:rsid w:val="00FD5B67"/>
    <w:rsid w:val="00FD68B5"/>
    <w:rsid w:val="00FD7733"/>
    <w:rsid w:val="00FD7A09"/>
    <w:rsid w:val="00FD7FEF"/>
    <w:rsid w:val="00FE17A4"/>
    <w:rsid w:val="00FE1870"/>
    <w:rsid w:val="00FE30B7"/>
    <w:rsid w:val="00FE3370"/>
    <w:rsid w:val="00FE3B3F"/>
    <w:rsid w:val="00FE511F"/>
    <w:rsid w:val="00FE60D6"/>
    <w:rsid w:val="00FE6EFE"/>
    <w:rsid w:val="00FF03D0"/>
    <w:rsid w:val="00FF25E0"/>
    <w:rsid w:val="00FF2B1D"/>
    <w:rsid w:val="00FF2BB3"/>
    <w:rsid w:val="00FF503D"/>
    <w:rsid w:val="00FF7BDE"/>
    <w:rsid w:val="17A9376B"/>
    <w:rsid w:val="1A6E464E"/>
    <w:rsid w:val="209100DD"/>
    <w:rsid w:val="28D73D07"/>
    <w:rsid w:val="357B56A2"/>
    <w:rsid w:val="40050695"/>
    <w:rsid w:val="54A1135E"/>
    <w:rsid w:val="5A9E1D73"/>
    <w:rsid w:val="6C693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562"/>
    <w:pPr>
      <w:widowControl w:val="0"/>
      <w:jc w:val="both"/>
    </w:pPr>
    <w:rPr>
      <w:kern w:val="2"/>
      <w:sz w:val="21"/>
      <w:szCs w:val="24"/>
    </w:rPr>
  </w:style>
  <w:style w:type="paragraph" w:styleId="3">
    <w:name w:val="heading 3"/>
    <w:basedOn w:val="a"/>
    <w:qFormat/>
    <w:rsid w:val="00D06562"/>
    <w:pPr>
      <w:widowControl/>
      <w:spacing w:before="180" w:after="100" w:afterAutospacing="1"/>
      <w:jc w:val="left"/>
      <w:outlineLvl w:val="2"/>
    </w:pPr>
    <w:rPr>
      <w:rFonts w:ascii="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06562"/>
    <w:pPr>
      <w:jc w:val="left"/>
    </w:pPr>
  </w:style>
  <w:style w:type="paragraph" w:styleId="a4">
    <w:name w:val="Balloon Text"/>
    <w:basedOn w:val="a"/>
    <w:semiHidden/>
    <w:qFormat/>
    <w:rsid w:val="00D06562"/>
    <w:rPr>
      <w:sz w:val="18"/>
      <w:szCs w:val="18"/>
    </w:rPr>
  </w:style>
  <w:style w:type="paragraph" w:styleId="a5">
    <w:name w:val="footer"/>
    <w:basedOn w:val="a"/>
    <w:qFormat/>
    <w:rsid w:val="00D06562"/>
    <w:pPr>
      <w:tabs>
        <w:tab w:val="center" w:pos="4153"/>
        <w:tab w:val="right" w:pos="8306"/>
      </w:tabs>
      <w:snapToGrid w:val="0"/>
      <w:jc w:val="left"/>
    </w:pPr>
    <w:rPr>
      <w:sz w:val="18"/>
      <w:szCs w:val="18"/>
    </w:rPr>
  </w:style>
  <w:style w:type="paragraph" w:styleId="a6">
    <w:name w:val="header"/>
    <w:basedOn w:val="a"/>
    <w:link w:val="Char0"/>
    <w:qFormat/>
    <w:rsid w:val="00D06562"/>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qFormat/>
    <w:rsid w:val="00D06562"/>
    <w:pPr>
      <w:snapToGrid w:val="0"/>
      <w:jc w:val="left"/>
    </w:pPr>
    <w:rPr>
      <w:sz w:val="18"/>
      <w:szCs w:val="20"/>
    </w:rPr>
  </w:style>
  <w:style w:type="paragraph" w:styleId="a8">
    <w:name w:val="Normal (Web)"/>
    <w:basedOn w:val="a"/>
    <w:qFormat/>
    <w:rsid w:val="00D06562"/>
    <w:pPr>
      <w:widowControl/>
      <w:spacing w:before="100" w:beforeAutospacing="1" w:after="100" w:afterAutospacing="1"/>
      <w:jc w:val="left"/>
    </w:pPr>
    <w:rPr>
      <w:rFonts w:ascii="宋体" w:hAnsi="宋体" w:cs="宋体"/>
      <w:color w:val="333333"/>
      <w:kern w:val="0"/>
      <w:sz w:val="24"/>
    </w:rPr>
  </w:style>
  <w:style w:type="paragraph" w:styleId="a9">
    <w:name w:val="annotation subject"/>
    <w:basedOn w:val="a3"/>
    <w:next w:val="a3"/>
    <w:link w:val="Char2"/>
    <w:qFormat/>
    <w:rsid w:val="00D06562"/>
    <w:rPr>
      <w:b/>
      <w:bCs/>
    </w:rPr>
  </w:style>
  <w:style w:type="table" w:styleId="aa">
    <w:name w:val="Table Theme"/>
    <w:basedOn w:val="a1"/>
    <w:qFormat/>
    <w:rsid w:val="00D065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D06562"/>
    <w:rPr>
      <w:b/>
      <w:bCs/>
    </w:rPr>
  </w:style>
  <w:style w:type="character" w:styleId="ac">
    <w:name w:val="page number"/>
    <w:qFormat/>
    <w:rsid w:val="00D06562"/>
  </w:style>
  <w:style w:type="character" w:styleId="ad">
    <w:name w:val="Hyperlink"/>
    <w:qFormat/>
    <w:rsid w:val="00D06562"/>
    <w:rPr>
      <w:color w:val="333333"/>
      <w:u w:val="none"/>
    </w:rPr>
  </w:style>
  <w:style w:type="character" w:styleId="ae">
    <w:name w:val="annotation reference"/>
    <w:qFormat/>
    <w:rsid w:val="00D06562"/>
    <w:rPr>
      <w:sz w:val="21"/>
      <w:szCs w:val="21"/>
    </w:rPr>
  </w:style>
  <w:style w:type="character" w:styleId="af">
    <w:name w:val="footnote reference"/>
    <w:qFormat/>
    <w:rsid w:val="00D06562"/>
    <w:rPr>
      <w:vertAlign w:val="superscript"/>
    </w:rPr>
  </w:style>
  <w:style w:type="character" w:customStyle="1" w:styleId="Char">
    <w:name w:val="批注文字 Char"/>
    <w:link w:val="a3"/>
    <w:qFormat/>
    <w:rsid w:val="00D06562"/>
    <w:rPr>
      <w:kern w:val="2"/>
      <w:sz w:val="21"/>
      <w:szCs w:val="24"/>
    </w:rPr>
  </w:style>
  <w:style w:type="character" w:customStyle="1" w:styleId="Char0">
    <w:name w:val="页眉 Char"/>
    <w:link w:val="a6"/>
    <w:qFormat/>
    <w:rsid w:val="00D06562"/>
    <w:rPr>
      <w:kern w:val="2"/>
      <w:sz w:val="18"/>
      <w:szCs w:val="18"/>
    </w:rPr>
  </w:style>
  <w:style w:type="character" w:customStyle="1" w:styleId="Char1">
    <w:name w:val="脚注文本 Char"/>
    <w:link w:val="a7"/>
    <w:qFormat/>
    <w:rsid w:val="00D06562"/>
    <w:rPr>
      <w:kern w:val="2"/>
      <w:sz w:val="18"/>
    </w:rPr>
  </w:style>
  <w:style w:type="character" w:customStyle="1" w:styleId="Char2">
    <w:name w:val="批注主题 Char"/>
    <w:link w:val="a9"/>
    <w:qFormat/>
    <w:rsid w:val="00D06562"/>
    <w:rPr>
      <w:b/>
      <w:bCs/>
      <w:kern w:val="2"/>
      <w:sz w:val="21"/>
      <w:szCs w:val="24"/>
    </w:rPr>
  </w:style>
  <w:style w:type="character" w:customStyle="1" w:styleId="2999">
    <w:name w:val="2999"/>
    <w:semiHidden/>
    <w:qFormat/>
    <w:rsid w:val="00D06562"/>
    <w:rPr>
      <w:rFonts w:ascii="Arial" w:eastAsia="宋体" w:hAnsi="Arial" w:cs="Arial"/>
      <w:color w:val="000080"/>
      <w:sz w:val="18"/>
      <w:szCs w:val="20"/>
    </w:rPr>
  </w:style>
  <w:style w:type="paragraph" w:customStyle="1" w:styleId="Style22">
    <w:name w:val="_Style 22"/>
    <w:uiPriority w:val="99"/>
    <w:semiHidden/>
    <w:qFormat/>
    <w:rsid w:val="00D06562"/>
    <w:rPr>
      <w:kern w:val="2"/>
      <w:sz w:val="21"/>
      <w:szCs w:val="24"/>
    </w:rPr>
  </w:style>
  <w:style w:type="paragraph" w:customStyle="1" w:styleId="Default">
    <w:name w:val="Default"/>
    <w:qFormat/>
    <w:rsid w:val="00D06562"/>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1476</Characters>
  <Application>Microsoft Office Word</Application>
  <DocSecurity>4</DocSecurity>
  <Lines>12</Lines>
  <Paragraphs>3</Paragraphs>
  <ScaleCrop>false</ScaleCrop>
  <Company>平安大华基金管理有限公司</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附件3：平安大华基金管理有限公司关于平安大华保本混合型证券投资基金基金合同生效的公告</dc:title>
  <dc:creator>刘雪</dc:creator>
  <cp:lastModifiedBy>ZHONGM</cp:lastModifiedBy>
  <cp:revision>2</cp:revision>
  <cp:lastPrinted>2020-12-18T06:19:00Z</cp:lastPrinted>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DD36AE2C350A4EA894B679E2BE2A123A_13</vt:lpwstr>
  </property>
</Properties>
</file>