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0C9" w:rsidRDefault="002B61EB">
      <w:pPr>
        <w:widowControl/>
        <w:shd w:val="clear" w:color="auto" w:fill="FFFFFF"/>
        <w:spacing w:before="345" w:after="100" w:afterAutospacing="1"/>
        <w:jc w:val="center"/>
        <w:outlineLvl w:val="1"/>
        <w:rPr>
          <w:rFonts w:ascii="Verdana" w:eastAsia="宋体" w:hAnsi="Verdana" w:cs="宋体"/>
          <w:b/>
          <w:bCs/>
          <w:kern w:val="36"/>
          <w:sz w:val="39"/>
          <w:szCs w:val="39"/>
        </w:rPr>
      </w:pPr>
      <w:r>
        <w:rPr>
          <w:rFonts w:ascii="Verdana" w:eastAsia="宋体" w:hAnsi="Verdana" w:cs="宋体" w:hint="eastAsia"/>
          <w:b/>
          <w:bCs/>
          <w:kern w:val="36"/>
          <w:sz w:val="39"/>
          <w:szCs w:val="39"/>
        </w:rPr>
        <w:t>富荣</w:t>
      </w:r>
      <w:r>
        <w:rPr>
          <w:rFonts w:ascii="Verdana" w:eastAsia="宋体" w:hAnsi="Verdana" w:cs="宋体"/>
          <w:b/>
          <w:bCs/>
          <w:kern w:val="36"/>
          <w:sz w:val="39"/>
          <w:szCs w:val="39"/>
        </w:rPr>
        <w:t>基金管理有限公司关于旗下</w:t>
      </w:r>
      <w:r>
        <w:rPr>
          <w:rFonts w:ascii="Verdana" w:eastAsia="宋体" w:hAnsi="Verdana" w:cs="宋体" w:hint="eastAsia"/>
          <w:b/>
          <w:bCs/>
          <w:kern w:val="36"/>
          <w:sz w:val="39"/>
          <w:szCs w:val="39"/>
        </w:rPr>
        <w:t>部分</w:t>
      </w:r>
      <w:r>
        <w:rPr>
          <w:rFonts w:ascii="Verdana" w:eastAsia="宋体" w:hAnsi="Verdana" w:cs="宋体"/>
          <w:b/>
          <w:bCs/>
          <w:kern w:val="36"/>
          <w:sz w:val="39"/>
          <w:szCs w:val="39"/>
        </w:rPr>
        <w:t>基金新增</w:t>
      </w:r>
      <w:r>
        <w:rPr>
          <w:rFonts w:ascii="Verdana" w:eastAsia="宋体" w:hAnsi="Verdana" w:cs="宋体" w:hint="eastAsia"/>
          <w:b/>
          <w:bCs/>
          <w:kern w:val="36"/>
          <w:sz w:val="39"/>
          <w:szCs w:val="39"/>
        </w:rPr>
        <w:t>中信银行股份有限公司</w:t>
      </w:r>
      <w:r>
        <w:rPr>
          <w:rFonts w:ascii="Verdana" w:eastAsia="宋体" w:hAnsi="Verdana" w:cs="宋体"/>
          <w:b/>
          <w:bCs/>
          <w:kern w:val="36"/>
          <w:sz w:val="39"/>
          <w:szCs w:val="39"/>
        </w:rPr>
        <w:t>为销售机构</w:t>
      </w:r>
      <w:r>
        <w:rPr>
          <w:rFonts w:ascii="Verdana" w:eastAsia="宋体" w:hAnsi="Verdana" w:cs="宋体" w:hint="eastAsia"/>
          <w:b/>
          <w:bCs/>
          <w:kern w:val="36"/>
          <w:sz w:val="39"/>
          <w:szCs w:val="39"/>
        </w:rPr>
        <w:t>、</w:t>
      </w:r>
      <w:r>
        <w:rPr>
          <w:rFonts w:ascii="Verdana" w:eastAsia="宋体" w:hAnsi="Verdana" w:cs="宋体"/>
          <w:b/>
          <w:bCs/>
          <w:kern w:val="36"/>
          <w:sz w:val="39"/>
          <w:szCs w:val="39"/>
        </w:rPr>
        <w:t>开通基金定期定额投资业务和基金转换业务</w:t>
      </w:r>
      <w:r>
        <w:rPr>
          <w:rFonts w:ascii="Verdana" w:eastAsia="宋体" w:hAnsi="Verdana" w:cs="宋体" w:hint="eastAsia"/>
          <w:b/>
          <w:bCs/>
          <w:kern w:val="36"/>
          <w:sz w:val="39"/>
          <w:szCs w:val="39"/>
        </w:rPr>
        <w:t>并参加申购及定期定额投资申购费率优惠活动的公告</w:t>
      </w:r>
    </w:p>
    <w:p w:rsidR="008410C9" w:rsidRDefault="002B61EB">
      <w:pPr>
        <w:widowControl/>
        <w:shd w:val="clear" w:color="auto" w:fill="FFFFFF"/>
        <w:spacing w:line="360" w:lineRule="auto"/>
        <w:ind w:firstLine="420"/>
        <w:rPr>
          <w:rFonts w:ascii="宋体" w:eastAsia="宋体" w:hAnsi="宋体" w:cs="Calibri"/>
          <w:color w:val="000000"/>
          <w:kern w:val="0"/>
          <w:szCs w:val="21"/>
        </w:rPr>
      </w:pPr>
      <w:r>
        <w:rPr>
          <w:rFonts w:ascii="宋体" w:eastAsia="宋体" w:hAnsi="宋体" w:cs="Calibri" w:hint="eastAsia"/>
          <w:color w:val="000000"/>
          <w:kern w:val="0"/>
          <w:szCs w:val="21"/>
        </w:rPr>
        <w:t>为更好地满足广大投资者的理财需求，根据富荣基金管理有限公司（以下简称“本公司”）与</w:t>
      </w:r>
      <w:r>
        <w:rPr>
          <w:rFonts w:ascii="宋体" w:eastAsia="宋体" w:hAnsi="宋体" w:cs="Calibri" w:hint="eastAsia"/>
          <w:color w:val="000000"/>
          <w:kern w:val="0"/>
          <w:szCs w:val="21"/>
        </w:rPr>
        <w:t>中信银行股份有限公司</w:t>
      </w:r>
      <w:r>
        <w:rPr>
          <w:rFonts w:ascii="宋体" w:eastAsia="宋体" w:hAnsi="宋体" w:cs="Calibri" w:hint="eastAsia"/>
          <w:color w:val="000000"/>
          <w:kern w:val="0"/>
          <w:szCs w:val="21"/>
        </w:rPr>
        <w:t>（以下简称“</w:t>
      </w:r>
      <w:r>
        <w:rPr>
          <w:rFonts w:ascii="宋体" w:eastAsia="宋体" w:hAnsi="宋体" w:cs="Calibri" w:hint="eastAsia"/>
          <w:bCs/>
          <w:color w:val="000000"/>
          <w:kern w:val="0"/>
          <w:szCs w:val="21"/>
        </w:rPr>
        <w:t>中信银行</w:t>
      </w:r>
      <w:r>
        <w:rPr>
          <w:rFonts w:ascii="宋体" w:eastAsia="宋体" w:hAnsi="宋体" w:cs="Calibri" w:hint="eastAsia"/>
          <w:color w:val="000000"/>
          <w:kern w:val="0"/>
          <w:szCs w:val="21"/>
        </w:rPr>
        <w:t>”）签署的委托销售协议，自</w:t>
      </w:r>
      <w:r>
        <w:rPr>
          <w:rFonts w:ascii="宋体" w:eastAsia="宋体" w:hAnsi="宋体" w:cs="Calibri"/>
          <w:color w:val="000000"/>
          <w:kern w:val="0"/>
          <w:szCs w:val="21"/>
        </w:rPr>
        <w:t>20</w:t>
      </w:r>
      <w:r>
        <w:rPr>
          <w:rFonts w:ascii="宋体" w:eastAsia="宋体" w:hAnsi="宋体" w:cs="Calibri" w:hint="eastAsia"/>
          <w:color w:val="000000"/>
          <w:kern w:val="0"/>
          <w:szCs w:val="21"/>
        </w:rPr>
        <w:t>2</w:t>
      </w:r>
      <w:r>
        <w:rPr>
          <w:rFonts w:ascii="宋体" w:eastAsia="宋体" w:hAnsi="宋体" w:cs="Calibri" w:hint="eastAsia"/>
          <w:color w:val="000000"/>
          <w:kern w:val="0"/>
          <w:szCs w:val="21"/>
        </w:rPr>
        <w:t>5</w:t>
      </w:r>
      <w:r>
        <w:rPr>
          <w:rFonts w:ascii="宋体" w:eastAsia="宋体" w:hAnsi="宋体" w:cs="Calibri" w:hint="eastAsia"/>
          <w:color w:val="000000"/>
          <w:kern w:val="0"/>
          <w:szCs w:val="21"/>
        </w:rPr>
        <w:t>年</w:t>
      </w:r>
      <w:r>
        <w:rPr>
          <w:rFonts w:ascii="宋体" w:eastAsia="宋体" w:hAnsi="宋体" w:cs="Calibri" w:hint="eastAsia"/>
          <w:color w:val="000000"/>
          <w:kern w:val="0"/>
          <w:szCs w:val="21"/>
        </w:rPr>
        <w:t>11</w:t>
      </w:r>
      <w:r>
        <w:rPr>
          <w:rFonts w:ascii="宋体" w:eastAsia="宋体" w:hAnsi="宋体" w:cs="Calibri" w:hint="eastAsia"/>
          <w:color w:val="000000"/>
          <w:kern w:val="0"/>
          <w:szCs w:val="21"/>
        </w:rPr>
        <w:t>月</w:t>
      </w:r>
      <w:r>
        <w:rPr>
          <w:rFonts w:ascii="宋体" w:eastAsia="宋体" w:hAnsi="宋体" w:cs="Calibri" w:hint="eastAsia"/>
          <w:color w:val="000000"/>
          <w:kern w:val="0"/>
          <w:szCs w:val="21"/>
        </w:rPr>
        <w:t>5</w:t>
      </w:r>
      <w:r>
        <w:rPr>
          <w:rFonts w:ascii="宋体" w:eastAsia="宋体" w:hAnsi="宋体" w:cs="Calibri" w:hint="eastAsia"/>
          <w:color w:val="000000"/>
          <w:kern w:val="0"/>
          <w:szCs w:val="21"/>
        </w:rPr>
        <w:t>日起本公司旗下</w:t>
      </w:r>
      <w:r>
        <w:rPr>
          <w:rFonts w:ascii="宋体" w:eastAsia="宋体" w:hAnsi="宋体" w:cs="Calibri" w:hint="eastAsia"/>
          <w:color w:val="000000"/>
          <w:kern w:val="0"/>
          <w:szCs w:val="21"/>
        </w:rPr>
        <w:t>部分</w:t>
      </w:r>
      <w:r>
        <w:rPr>
          <w:rFonts w:ascii="宋体" w:eastAsia="宋体" w:hAnsi="宋体" w:cs="Calibri" w:hint="eastAsia"/>
          <w:color w:val="000000"/>
          <w:kern w:val="0"/>
          <w:szCs w:val="21"/>
        </w:rPr>
        <w:t>基金新增</w:t>
      </w:r>
      <w:r>
        <w:rPr>
          <w:rFonts w:ascii="宋体" w:eastAsia="宋体" w:hAnsi="宋体" w:cs="Calibri" w:hint="eastAsia"/>
          <w:color w:val="000000"/>
          <w:kern w:val="0"/>
          <w:szCs w:val="21"/>
        </w:rPr>
        <w:t>中信银行</w:t>
      </w:r>
      <w:r>
        <w:rPr>
          <w:rFonts w:ascii="宋体" w:eastAsia="宋体" w:hAnsi="宋体" w:cs="Calibri" w:hint="eastAsia"/>
          <w:color w:val="000000"/>
          <w:kern w:val="0"/>
          <w:szCs w:val="21"/>
        </w:rPr>
        <w:t>为销售机构并开通基金“定期定额投资业务”和基金“转换业务</w:t>
      </w:r>
      <w:r>
        <w:rPr>
          <w:rFonts w:ascii="宋体" w:eastAsia="宋体" w:hAnsi="宋体" w:cs="Calibri"/>
          <w:color w:val="000000"/>
          <w:kern w:val="0"/>
          <w:szCs w:val="21"/>
        </w:rPr>
        <w:t>”</w:t>
      </w:r>
      <w:r>
        <w:rPr>
          <w:rFonts w:ascii="宋体" w:eastAsia="宋体" w:hAnsi="宋体" w:cs="Calibri" w:hint="eastAsia"/>
          <w:color w:val="000000"/>
          <w:kern w:val="0"/>
          <w:szCs w:val="21"/>
        </w:rPr>
        <w:t>，具体的业务流程、办理时间和办理方式以</w:t>
      </w:r>
      <w:r>
        <w:rPr>
          <w:rFonts w:ascii="宋体" w:eastAsia="宋体" w:hAnsi="宋体" w:cs="Calibri" w:hint="eastAsia"/>
          <w:color w:val="000000"/>
          <w:kern w:val="0"/>
          <w:szCs w:val="21"/>
        </w:rPr>
        <w:t>中信银行</w:t>
      </w:r>
      <w:r>
        <w:rPr>
          <w:rFonts w:ascii="宋体" w:eastAsia="宋体" w:hAnsi="宋体" w:cs="Calibri" w:hint="eastAsia"/>
          <w:color w:val="000000"/>
          <w:kern w:val="0"/>
          <w:szCs w:val="21"/>
        </w:rPr>
        <w:t>的规定为准。同时，本公司旗下</w:t>
      </w:r>
      <w:r>
        <w:rPr>
          <w:rFonts w:ascii="宋体" w:eastAsia="宋体" w:hAnsi="宋体" w:cs="Calibri" w:hint="eastAsia"/>
          <w:color w:val="000000"/>
          <w:kern w:val="0"/>
          <w:szCs w:val="21"/>
        </w:rPr>
        <w:t>部分</w:t>
      </w:r>
      <w:r>
        <w:rPr>
          <w:rFonts w:ascii="宋体" w:eastAsia="宋体" w:hAnsi="宋体" w:cs="Calibri" w:hint="eastAsia"/>
          <w:color w:val="000000"/>
          <w:kern w:val="0"/>
          <w:szCs w:val="21"/>
        </w:rPr>
        <w:t>基金参加</w:t>
      </w:r>
      <w:r>
        <w:rPr>
          <w:rFonts w:ascii="宋体" w:eastAsia="宋体" w:hAnsi="宋体" w:cs="Calibri" w:hint="eastAsia"/>
          <w:color w:val="000000"/>
          <w:kern w:val="0"/>
          <w:szCs w:val="21"/>
        </w:rPr>
        <w:t>中信银行</w:t>
      </w:r>
      <w:r>
        <w:rPr>
          <w:rFonts w:ascii="宋体" w:eastAsia="宋体" w:hAnsi="宋体" w:cs="Calibri" w:hint="eastAsia"/>
          <w:color w:val="000000"/>
          <w:kern w:val="0"/>
          <w:szCs w:val="21"/>
        </w:rPr>
        <w:t>开展的基金申购及定期定额投资申购费率优惠活动，具体的活动时间、优惠费率以</w:t>
      </w:r>
      <w:r>
        <w:rPr>
          <w:rFonts w:ascii="宋体" w:eastAsia="宋体" w:hAnsi="宋体" w:cs="Calibri" w:hint="eastAsia"/>
          <w:color w:val="000000"/>
          <w:kern w:val="0"/>
          <w:szCs w:val="21"/>
        </w:rPr>
        <w:t>中信银行</w:t>
      </w:r>
      <w:r>
        <w:rPr>
          <w:rFonts w:ascii="宋体" w:eastAsia="宋体" w:hAnsi="宋体" w:cs="Calibri" w:hint="eastAsia"/>
          <w:color w:val="000000"/>
          <w:kern w:val="0"/>
          <w:szCs w:val="21"/>
        </w:rPr>
        <w:t>的规定为准。现将相关事项公告如下：</w:t>
      </w: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 </w:t>
      </w: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一、适用基金</w:t>
      </w:r>
    </w:p>
    <w:p w:rsidR="008410C9" w:rsidRDefault="002B61EB">
      <w:pPr>
        <w:widowControl/>
        <w:shd w:val="clear" w:color="auto" w:fill="FFFFFF"/>
        <w:spacing w:line="360" w:lineRule="auto"/>
        <w:ind w:firstLine="48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hint="eastAsia"/>
          <w:color w:val="000000"/>
          <w:kern w:val="0"/>
          <w:szCs w:val="21"/>
        </w:rPr>
        <w:t>1</w:t>
      </w:r>
      <w:r>
        <w:rPr>
          <w:rFonts w:ascii="宋体" w:eastAsia="宋体" w:hAnsi="宋体" w:cs="Calibri" w:hint="eastAsia"/>
          <w:color w:val="000000"/>
          <w:kern w:val="0"/>
          <w:szCs w:val="21"/>
        </w:rPr>
        <w:t>）富荣货币市场基金（基金代码：</w:t>
      </w:r>
      <w:r>
        <w:rPr>
          <w:rFonts w:ascii="宋体" w:eastAsia="宋体" w:hAnsi="宋体" w:cs="Calibri" w:hint="eastAsia"/>
          <w:color w:val="000000"/>
          <w:kern w:val="0"/>
          <w:szCs w:val="21"/>
        </w:rPr>
        <w:t>A</w:t>
      </w:r>
      <w:r>
        <w:rPr>
          <w:rFonts w:ascii="宋体" w:eastAsia="宋体" w:hAnsi="宋体" w:cs="Calibri" w:hint="eastAsia"/>
          <w:color w:val="000000"/>
          <w:kern w:val="0"/>
          <w:szCs w:val="21"/>
        </w:rPr>
        <w:t>类</w:t>
      </w:r>
      <w:r>
        <w:rPr>
          <w:rFonts w:ascii="宋体" w:eastAsia="宋体" w:hAnsi="宋体" w:cs="Calibri" w:hint="eastAsia"/>
          <w:color w:val="000000"/>
          <w:kern w:val="0"/>
          <w:szCs w:val="21"/>
        </w:rPr>
        <w:t>003467</w:t>
      </w:r>
      <w:r>
        <w:rPr>
          <w:rFonts w:ascii="宋体" w:eastAsia="宋体" w:hAnsi="宋体" w:cs="Calibri" w:hint="eastAsia"/>
          <w:color w:val="000000"/>
          <w:kern w:val="0"/>
          <w:szCs w:val="21"/>
        </w:rPr>
        <w:t>、</w:t>
      </w:r>
      <w:r>
        <w:rPr>
          <w:rFonts w:ascii="宋体" w:eastAsia="宋体" w:hAnsi="宋体" w:cs="Calibri" w:hint="eastAsia"/>
          <w:color w:val="000000"/>
          <w:kern w:val="0"/>
          <w:szCs w:val="21"/>
        </w:rPr>
        <w:t>B</w:t>
      </w:r>
      <w:r>
        <w:rPr>
          <w:rFonts w:ascii="宋体" w:eastAsia="宋体" w:hAnsi="宋体" w:cs="Calibri" w:hint="eastAsia"/>
          <w:color w:val="000000"/>
          <w:kern w:val="0"/>
          <w:szCs w:val="21"/>
        </w:rPr>
        <w:t>类</w:t>
      </w:r>
      <w:r>
        <w:rPr>
          <w:rFonts w:ascii="宋体" w:eastAsia="宋体" w:hAnsi="宋体" w:cs="Calibri" w:hint="eastAsia"/>
          <w:color w:val="000000"/>
          <w:kern w:val="0"/>
          <w:szCs w:val="21"/>
        </w:rPr>
        <w:t>003468</w:t>
      </w:r>
      <w:r>
        <w:rPr>
          <w:rFonts w:ascii="宋体" w:eastAsia="宋体" w:hAnsi="宋体" w:cs="Calibri" w:hint="eastAsia"/>
          <w:color w:val="000000"/>
          <w:kern w:val="0"/>
          <w:szCs w:val="21"/>
        </w:rPr>
        <w:t>）</w:t>
      </w:r>
      <w:r>
        <w:rPr>
          <w:rFonts w:ascii="宋体" w:eastAsia="宋体" w:hAnsi="宋体" w:cs="Calibri" w:hint="eastAsia"/>
          <w:color w:val="000000"/>
          <w:kern w:val="0"/>
          <w:szCs w:val="21"/>
        </w:rPr>
        <w:t>；</w:t>
      </w:r>
    </w:p>
    <w:p w:rsidR="008410C9" w:rsidRDefault="002B61EB">
      <w:pPr>
        <w:widowControl/>
        <w:shd w:val="clear" w:color="auto" w:fill="FFFFFF"/>
        <w:spacing w:line="360" w:lineRule="auto"/>
        <w:ind w:firstLine="480"/>
        <w:jc w:val="left"/>
        <w:rPr>
          <w:rFonts w:ascii="宋体" w:eastAsia="宋体" w:hAnsi="宋体" w:cs="Calibri"/>
          <w:color w:val="000000"/>
          <w:kern w:val="0"/>
          <w:sz w:val="20"/>
          <w:szCs w:val="20"/>
        </w:rPr>
      </w:pPr>
      <w:r>
        <w:rPr>
          <w:rFonts w:ascii="宋体" w:eastAsia="宋体" w:hAnsi="宋体" w:cs="Calibri" w:hint="eastAsia"/>
          <w:color w:val="000000"/>
          <w:kern w:val="0"/>
          <w:szCs w:val="21"/>
        </w:rPr>
        <w:t>（</w:t>
      </w:r>
      <w:r>
        <w:rPr>
          <w:rFonts w:ascii="宋体" w:eastAsia="宋体" w:hAnsi="宋体" w:cs="Calibri" w:hint="eastAsia"/>
          <w:color w:val="000000"/>
          <w:kern w:val="0"/>
          <w:szCs w:val="21"/>
        </w:rPr>
        <w:t>2</w:t>
      </w:r>
      <w:r>
        <w:rPr>
          <w:rFonts w:ascii="宋体" w:eastAsia="宋体" w:hAnsi="宋体" w:cs="Calibri" w:hint="eastAsia"/>
          <w:color w:val="000000"/>
          <w:kern w:val="0"/>
          <w:szCs w:val="21"/>
        </w:rPr>
        <w:t>）富荣富兴纯债债券型证券投资基金（基金代码：</w:t>
      </w:r>
      <w:r>
        <w:rPr>
          <w:rFonts w:ascii="宋体" w:eastAsia="宋体" w:hAnsi="宋体" w:cs="Calibri" w:hint="eastAsia"/>
          <w:color w:val="000000"/>
          <w:kern w:val="0"/>
          <w:szCs w:val="21"/>
        </w:rPr>
        <w:t>A</w:t>
      </w:r>
      <w:r>
        <w:rPr>
          <w:rFonts w:ascii="宋体" w:eastAsia="宋体" w:hAnsi="宋体" w:cs="Calibri" w:hint="eastAsia"/>
          <w:color w:val="000000"/>
          <w:kern w:val="0"/>
          <w:szCs w:val="21"/>
        </w:rPr>
        <w:t>类</w:t>
      </w:r>
      <w:r>
        <w:rPr>
          <w:rFonts w:ascii="宋体" w:eastAsia="宋体" w:hAnsi="宋体" w:cs="Calibri" w:hint="eastAsia"/>
          <w:color w:val="000000"/>
          <w:kern w:val="0"/>
          <w:szCs w:val="21"/>
        </w:rPr>
        <w:t>004441</w:t>
      </w:r>
      <w:r>
        <w:rPr>
          <w:rFonts w:ascii="宋体" w:eastAsia="宋体" w:hAnsi="宋体" w:cs="Calibri" w:hint="eastAsia"/>
          <w:color w:val="000000"/>
          <w:kern w:val="0"/>
          <w:szCs w:val="21"/>
        </w:rPr>
        <w:t>、</w:t>
      </w:r>
      <w:r>
        <w:rPr>
          <w:rFonts w:ascii="宋体" w:eastAsia="宋体" w:hAnsi="宋体" w:cs="Calibri" w:hint="eastAsia"/>
          <w:color w:val="000000"/>
          <w:kern w:val="0"/>
          <w:szCs w:val="21"/>
        </w:rPr>
        <w:t>C</w:t>
      </w:r>
      <w:r>
        <w:rPr>
          <w:rFonts w:ascii="宋体" w:eastAsia="宋体" w:hAnsi="宋体" w:cs="Calibri" w:hint="eastAsia"/>
          <w:color w:val="000000"/>
          <w:kern w:val="0"/>
          <w:szCs w:val="21"/>
        </w:rPr>
        <w:t>类</w:t>
      </w:r>
      <w:r>
        <w:rPr>
          <w:rFonts w:ascii="宋体" w:eastAsia="宋体" w:hAnsi="宋体" w:cs="Calibri" w:hint="eastAsia"/>
          <w:color w:val="000000"/>
          <w:kern w:val="0"/>
          <w:szCs w:val="21"/>
        </w:rPr>
        <w:t>021917</w:t>
      </w:r>
      <w:r>
        <w:rPr>
          <w:rFonts w:ascii="宋体" w:eastAsia="宋体" w:hAnsi="宋体" w:cs="Calibri" w:hint="eastAsia"/>
          <w:color w:val="000000"/>
          <w:kern w:val="0"/>
          <w:szCs w:val="21"/>
        </w:rPr>
        <w:t>）</w:t>
      </w:r>
      <w:r>
        <w:rPr>
          <w:rFonts w:ascii="宋体" w:eastAsia="宋体" w:hAnsi="宋体" w:cs="Calibri" w:hint="eastAsia"/>
          <w:color w:val="000000"/>
          <w:kern w:val="0"/>
          <w:sz w:val="20"/>
          <w:szCs w:val="20"/>
        </w:rPr>
        <w:t>。</w:t>
      </w:r>
    </w:p>
    <w:p w:rsidR="008410C9" w:rsidRDefault="008410C9">
      <w:pPr>
        <w:widowControl/>
        <w:shd w:val="clear" w:color="auto" w:fill="FFFFFF"/>
        <w:spacing w:line="360" w:lineRule="auto"/>
        <w:ind w:firstLine="480"/>
        <w:jc w:val="left"/>
        <w:rPr>
          <w:rFonts w:ascii="宋体" w:eastAsia="宋体" w:hAnsi="宋体" w:cs="Calibri"/>
          <w:color w:val="000000"/>
          <w:kern w:val="0"/>
          <w:szCs w:val="21"/>
        </w:rPr>
      </w:pP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二、业务咨询</w:t>
      </w: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1</w:t>
      </w:r>
      <w:r>
        <w:rPr>
          <w:rFonts w:ascii="宋体" w:eastAsia="宋体" w:hAnsi="宋体" w:cs="Calibri" w:hint="eastAsia"/>
          <w:color w:val="000000"/>
          <w:kern w:val="0"/>
          <w:szCs w:val="21"/>
        </w:rPr>
        <w:t>、富荣基金管理有限公司</w:t>
      </w: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客户服务电话：</w:t>
      </w:r>
      <w:r>
        <w:rPr>
          <w:rFonts w:ascii="宋体" w:eastAsia="宋体" w:hAnsi="宋体" w:cs="Calibri"/>
          <w:color w:val="000000"/>
          <w:kern w:val="0"/>
          <w:szCs w:val="21"/>
        </w:rPr>
        <w:t>400</w:t>
      </w:r>
      <w:r>
        <w:rPr>
          <w:rFonts w:ascii="宋体" w:eastAsia="宋体" w:hAnsi="宋体" w:cs="Calibri" w:hint="eastAsia"/>
          <w:color w:val="000000"/>
          <w:kern w:val="0"/>
          <w:szCs w:val="21"/>
        </w:rPr>
        <w:t>-685-5</w:t>
      </w:r>
      <w:r>
        <w:rPr>
          <w:rFonts w:ascii="宋体" w:eastAsia="宋体" w:hAnsi="宋体" w:cs="Calibri"/>
          <w:color w:val="000000"/>
          <w:kern w:val="0"/>
          <w:szCs w:val="21"/>
        </w:rPr>
        <w:t>60</w:t>
      </w:r>
      <w:r>
        <w:rPr>
          <w:rFonts w:ascii="宋体" w:eastAsia="宋体" w:hAnsi="宋体" w:cs="Calibri" w:hint="eastAsia"/>
          <w:color w:val="000000"/>
          <w:kern w:val="0"/>
          <w:szCs w:val="21"/>
        </w:rPr>
        <w:t>0</w:t>
      </w: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网址：</w:t>
      </w:r>
      <w:r>
        <w:rPr>
          <w:rFonts w:ascii="宋体" w:eastAsia="宋体" w:hAnsi="宋体" w:cs="Calibri"/>
          <w:color w:val="000000"/>
          <w:kern w:val="0"/>
          <w:szCs w:val="21"/>
        </w:rPr>
        <w:t>www.</w:t>
      </w:r>
      <w:r>
        <w:rPr>
          <w:rFonts w:ascii="宋体" w:eastAsia="宋体" w:hAnsi="宋体" w:cs="Calibri" w:hint="eastAsia"/>
          <w:color w:val="000000"/>
          <w:kern w:val="0"/>
          <w:szCs w:val="21"/>
        </w:rPr>
        <w:t>furamc</w:t>
      </w:r>
      <w:r>
        <w:rPr>
          <w:rFonts w:ascii="宋体" w:eastAsia="宋体" w:hAnsi="宋体" w:cs="Calibri"/>
          <w:color w:val="000000"/>
          <w:kern w:val="0"/>
          <w:szCs w:val="21"/>
        </w:rPr>
        <w:t>.com</w:t>
      </w:r>
      <w:r>
        <w:rPr>
          <w:rFonts w:ascii="宋体" w:eastAsia="宋体" w:hAnsi="宋体" w:cs="Calibri" w:hint="eastAsia"/>
          <w:color w:val="000000"/>
          <w:kern w:val="0"/>
          <w:szCs w:val="21"/>
        </w:rPr>
        <w:t>.cn</w:t>
      </w: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kern w:val="0"/>
          <w:szCs w:val="21"/>
        </w:rPr>
        <w:t>2</w:t>
      </w:r>
      <w:r>
        <w:rPr>
          <w:rFonts w:ascii="宋体" w:eastAsia="宋体" w:hAnsi="宋体" w:cs="Calibri" w:hint="eastAsia"/>
          <w:kern w:val="0"/>
          <w:szCs w:val="21"/>
        </w:rPr>
        <w:t>、</w:t>
      </w:r>
      <w:r>
        <w:rPr>
          <w:rFonts w:ascii="宋体" w:eastAsia="宋体" w:hAnsi="宋体" w:cs="Calibri" w:hint="eastAsia"/>
          <w:color w:val="000000"/>
          <w:kern w:val="0"/>
          <w:szCs w:val="21"/>
        </w:rPr>
        <w:t>中信银行股份有限公司</w:t>
      </w: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客户服务电话：</w:t>
      </w:r>
      <w:r>
        <w:rPr>
          <w:rFonts w:ascii="宋体" w:eastAsia="宋体" w:hAnsi="宋体" w:cs="Calibri" w:hint="eastAsia"/>
          <w:color w:val="000000"/>
          <w:kern w:val="0"/>
          <w:szCs w:val="21"/>
        </w:rPr>
        <w:t>95558</w:t>
      </w: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网址：</w:t>
      </w:r>
      <w:r>
        <w:rPr>
          <w:rFonts w:ascii="宋体" w:eastAsia="宋体" w:hAnsi="宋体" w:cs="Calibri" w:hint="eastAsia"/>
          <w:color w:val="000000"/>
          <w:kern w:val="0"/>
          <w:szCs w:val="21"/>
        </w:rPr>
        <w:t>www.citicbank.com</w:t>
      </w:r>
    </w:p>
    <w:p w:rsidR="008410C9" w:rsidRDefault="008410C9">
      <w:pPr>
        <w:widowControl/>
        <w:shd w:val="clear" w:color="auto" w:fill="FFFFFF"/>
        <w:spacing w:line="360" w:lineRule="auto"/>
        <w:ind w:firstLine="420"/>
        <w:jc w:val="left"/>
        <w:rPr>
          <w:rFonts w:ascii="宋体" w:eastAsia="宋体" w:hAnsi="宋体" w:cs="Calibri"/>
          <w:color w:val="000000"/>
          <w:kern w:val="0"/>
          <w:szCs w:val="21"/>
        </w:rPr>
      </w:pPr>
    </w:p>
    <w:p w:rsidR="008410C9" w:rsidRDefault="002B61EB">
      <w:pPr>
        <w:widowControl/>
        <w:spacing w:line="360" w:lineRule="auto"/>
        <w:ind w:firstLineChars="200"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投资者可以通过上述销售机构办理相关基金的申购、赎回、转换及定投业务。业务办理的具体程序，以销售机构相关规定为准。同时，投资者办理相关基金转换业务适用转换范围，请参考本公司相关公告及业务规则。</w:t>
      </w:r>
    </w:p>
    <w:p w:rsidR="008410C9" w:rsidRDefault="008410C9">
      <w:pPr>
        <w:widowControl/>
        <w:spacing w:line="360" w:lineRule="auto"/>
        <w:ind w:leftChars="200" w:left="420"/>
        <w:jc w:val="left"/>
        <w:rPr>
          <w:rFonts w:ascii="宋体" w:eastAsia="宋体" w:hAnsi="宋体" w:cs="Calibri"/>
          <w:color w:val="000000"/>
          <w:kern w:val="0"/>
          <w:szCs w:val="21"/>
        </w:rPr>
      </w:pPr>
    </w:p>
    <w:p w:rsidR="008410C9" w:rsidRDefault="002B61EB">
      <w:pPr>
        <w:spacing w:line="360" w:lineRule="auto"/>
        <w:ind w:firstLineChars="200" w:firstLine="420"/>
        <w:jc w:val="left"/>
      </w:pPr>
      <w:r>
        <w:rPr>
          <w:rFonts w:ascii="宋体" w:eastAsia="宋体" w:hAnsi="宋体" w:cs="Calibri" w:hint="eastAsia"/>
          <w:color w:val="000000"/>
          <w:kern w:val="0"/>
          <w:szCs w:val="21"/>
        </w:rPr>
        <w:lastRenderedPageBreak/>
        <w:t>三、</w:t>
      </w:r>
      <w:r>
        <w:t>优惠</w:t>
      </w:r>
      <w:r>
        <w:rPr>
          <w:rFonts w:hint="eastAsia"/>
        </w:rPr>
        <w:t>活动内容</w:t>
      </w:r>
    </w:p>
    <w:p w:rsidR="008410C9" w:rsidRDefault="002B61EB">
      <w:pPr>
        <w:spacing w:line="360" w:lineRule="auto"/>
        <w:ind w:firstLineChars="200" w:firstLine="420"/>
        <w:jc w:val="left"/>
      </w:pPr>
      <w:r>
        <w:rPr>
          <w:rFonts w:hint="eastAsia"/>
        </w:rPr>
        <w:t>活动期间，投资者通过</w:t>
      </w:r>
      <w:r>
        <w:rPr>
          <w:rFonts w:hint="eastAsia"/>
        </w:rPr>
        <w:t>中信银行</w:t>
      </w:r>
      <w:r>
        <w:rPr>
          <w:rFonts w:hint="eastAsia"/>
        </w:rPr>
        <w:t>一次性申购或定期定额投资申购本公司上述基金（限前端收费模式），享有费率折扣优惠。本次费率优惠活动如有展期、终止或调整，费率优惠规则如有变更，均以销售机构的安排和规定为准。</w:t>
      </w:r>
    </w:p>
    <w:p w:rsidR="008410C9" w:rsidRDefault="008410C9">
      <w:pPr>
        <w:widowControl/>
        <w:spacing w:line="360" w:lineRule="auto"/>
        <w:ind w:leftChars="200" w:left="420"/>
        <w:jc w:val="left"/>
        <w:rPr>
          <w:rFonts w:ascii="宋体" w:eastAsia="宋体" w:hAnsi="宋体" w:cs="Calibri"/>
          <w:color w:val="000000"/>
          <w:kern w:val="0"/>
          <w:szCs w:val="21"/>
        </w:rPr>
      </w:pPr>
    </w:p>
    <w:p w:rsidR="008410C9" w:rsidRDefault="002B61EB">
      <w:pPr>
        <w:spacing w:line="360" w:lineRule="auto"/>
        <w:ind w:firstLineChars="200" w:firstLine="420"/>
        <w:jc w:val="left"/>
      </w:pPr>
      <w:r>
        <w:rPr>
          <w:rFonts w:hint="eastAsia"/>
        </w:rPr>
        <w:t>四、重要提示</w:t>
      </w:r>
    </w:p>
    <w:p w:rsidR="008410C9" w:rsidRDefault="002B61EB">
      <w:pPr>
        <w:spacing w:line="360" w:lineRule="auto"/>
        <w:ind w:firstLineChars="200" w:firstLine="420"/>
        <w:jc w:val="left"/>
      </w:pPr>
      <w:r>
        <w:rPr>
          <w:rFonts w:hint="eastAsia"/>
        </w:rPr>
        <w:t>1</w:t>
      </w:r>
      <w:r>
        <w:rPr>
          <w:rFonts w:hint="eastAsia"/>
        </w:rPr>
        <w:t>、本优惠活动仅适用于正常申购期基金的一次性申购手续费和定期定额投资申购手续费，不包括上述基金的后端收费模式的申购手续费，对于大额申购采用固定费用方式收费的基金不参与折扣活动。</w:t>
      </w: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hint="eastAsia"/>
        </w:rPr>
        <w:t>2</w:t>
      </w:r>
      <w:r>
        <w:rPr>
          <w:rFonts w:hint="eastAsia"/>
        </w:rPr>
        <w:t>、</w:t>
      </w:r>
      <w:r>
        <w:rPr>
          <w:rFonts w:ascii="宋体" w:eastAsia="宋体" w:hAnsi="宋体" w:cs="Calibri" w:hint="eastAsia"/>
          <w:color w:val="000000"/>
          <w:kern w:val="0"/>
          <w:szCs w:val="21"/>
        </w:rPr>
        <w:t>上述基金原申购费率标准请详见上述基金相关法律文件及本公司发布的最新业务公告。</w:t>
      </w:r>
    </w:p>
    <w:p w:rsidR="008410C9" w:rsidRDefault="002B61EB">
      <w:pPr>
        <w:spacing w:line="360" w:lineRule="auto"/>
        <w:ind w:firstLineChars="200" w:firstLine="420"/>
        <w:jc w:val="left"/>
      </w:pPr>
      <w:r>
        <w:t>3</w:t>
      </w:r>
      <w:r>
        <w:rPr>
          <w:rFonts w:hint="eastAsia"/>
        </w:rPr>
        <w:t>、该活动解释权归本公司及代销机构所有。有关本次活动的具体规定如有变化，敬请投资者留意本公司及代销机构的相关公告。</w:t>
      </w:r>
    </w:p>
    <w:p w:rsidR="008410C9" w:rsidRDefault="008410C9">
      <w:pPr>
        <w:widowControl/>
        <w:shd w:val="clear" w:color="auto" w:fill="FFFFFF"/>
        <w:spacing w:line="360" w:lineRule="auto"/>
        <w:jc w:val="left"/>
        <w:rPr>
          <w:rFonts w:ascii="宋体" w:eastAsia="宋体" w:hAnsi="宋体" w:cs="Calibri"/>
          <w:color w:val="000000"/>
          <w:kern w:val="0"/>
          <w:szCs w:val="21"/>
        </w:rPr>
      </w:pP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风险提示：</w:t>
      </w: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投资人应当充分了解基金定期定额投资和零存整取等储蓄方式的区别。定期定额投资是引导投资人进行长期投资、平均投资成本的一种简单</w:t>
      </w:r>
      <w:r>
        <w:rPr>
          <w:rFonts w:ascii="宋体" w:eastAsia="宋体" w:hAnsi="宋体" w:cs="Calibri" w:hint="eastAsia"/>
          <w:color w:val="000000"/>
          <w:kern w:val="0"/>
          <w:szCs w:val="21"/>
        </w:rPr>
        <w:t>易行的投资方式。但是定期定额投资并不能规避基金投资所固有的风险，不能保证投资人获得收益，也不是替代储蓄的等效理财方式。</w:t>
      </w: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基金产品资料概要》等基金法律文件，全面认识基金产品的风险收益特征，在了解产品情况及听取销售机构适当性意见的基础上，根据自身的风险承受能力、</w:t>
      </w:r>
      <w:r>
        <w:rPr>
          <w:rFonts w:ascii="宋体" w:eastAsia="宋体" w:hAnsi="宋体" w:cs="Calibri" w:hint="eastAsia"/>
          <w:color w:val="000000"/>
          <w:kern w:val="0"/>
          <w:szCs w:val="21"/>
        </w:rPr>
        <w:t>投资期限和投资目标，对基金投资作出独立决策，选择合适的基金产品。敬请投资者留意投资风险。</w:t>
      </w:r>
    </w:p>
    <w:p w:rsidR="008410C9" w:rsidRDefault="002B61EB">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特此公告。</w:t>
      </w:r>
      <w:bookmarkStart w:id="0" w:name="_GoBack"/>
      <w:bookmarkEnd w:id="0"/>
    </w:p>
    <w:p w:rsidR="008410C9" w:rsidRDefault="002B61EB">
      <w:pPr>
        <w:widowControl/>
        <w:shd w:val="clear" w:color="auto" w:fill="FFFFFF"/>
        <w:spacing w:line="360" w:lineRule="auto"/>
        <w:jc w:val="left"/>
        <w:rPr>
          <w:rFonts w:ascii="宋体" w:eastAsia="宋体" w:hAnsi="宋体" w:cs="Calibri"/>
          <w:color w:val="000000"/>
          <w:kern w:val="0"/>
          <w:szCs w:val="21"/>
        </w:rPr>
      </w:pPr>
      <w:r>
        <w:rPr>
          <w:rFonts w:ascii="宋体" w:eastAsia="宋体" w:hAnsi="宋体" w:cs="Calibri"/>
          <w:color w:val="000000"/>
          <w:kern w:val="0"/>
          <w:szCs w:val="21"/>
        </w:rPr>
        <w:t> </w:t>
      </w:r>
    </w:p>
    <w:p w:rsidR="008410C9" w:rsidRDefault="002B61EB">
      <w:pPr>
        <w:widowControl/>
        <w:shd w:val="clear" w:color="auto" w:fill="FFFFFF"/>
        <w:spacing w:line="360" w:lineRule="auto"/>
        <w:ind w:firstLine="420"/>
        <w:jc w:val="right"/>
        <w:rPr>
          <w:rFonts w:ascii="宋体" w:eastAsia="宋体" w:hAnsi="宋体" w:cs="Calibri"/>
          <w:color w:val="000000"/>
          <w:kern w:val="0"/>
          <w:szCs w:val="21"/>
        </w:rPr>
      </w:pPr>
      <w:r>
        <w:rPr>
          <w:rFonts w:ascii="宋体" w:eastAsia="宋体" w:hAnsi="宋体" w:cs="Calibri" w:hint="eastAsia"/>
          <w:color w:val="000000"/>
          <w:kern w:val="0"/>
          <w:szCs w:val="21"/>
        </w:rPr>
        <w:t>富荣基金管理有限公司</w:t>
      </w:r>
    </w:p>
    <w:p w:rsidR="008410C9" w:rsidRDefault="002B61EB">
      <w:pPr>
        <w:widowControl/>
        <w:shd w:val="clear" w:color="auto" w:fill="FFFFFF"/>
        <w:wordWrap w:val="0"/>
        <w:spacing w:line="360" w:lineRule="auto"/>
        <w:jc w:val="right"/>
        <w:rPr>
          <w:rFonts w:ascii="宋体" w:eastAsia="宋体" w:hAnsi="宋体" w:cs="Calibri"/>
          <w:color w:val="000000"/>
          <w:kern w:val="0"/>
          <w:szCs w:val="21"/>
        </w:rPr>
      </w:pPr>
      <w:r>
        <w:rPr>
          <w:rFonts w:ascii="宋体" w:eastAsia="宋体" w:hAnsi="宋体" w:cs="Calibri" w:hint="eastAsia"/>
          <w:color w:val="000000"/>
          <w:kern w:val="0"/>
          <w:szCs w:val="21"/>
        </w:rPr>
        <w:t>二○二</w:t>
      </w:r>
      <w:r>
        <w:rPr>
          <w:rFonts w:ascii="宋体" w:eastAsia="宋体" w:hAnsi="宋体" w:cs="Calibri" w:hint="eastAsia"/>
          <w:color w:val="000000"/>
          <w:kern w:val="0"/>
          <w:szCs w:val="21"/>
        </w:rPr>
        <w:t>五</w:t>
      </w:r>
      <w:r>
        <w:rPr>
          <w:rFonts w:ascii="宋体" w:eastAsia="宋体" w:hAnsi="宋体" w:cs="Calibri" w:hint="eastAsia"/>
          <w:color w:val="000000"/>
          <w:kern w:val="0"/>
          <w:szCs w:val="21"/>
        </w:rPr>
        <w:t>年</w:t>
      </w:r>
      <w:r>
        <w:rPr>
          <w:rFonts w:ascii="宋体" w:eastAsia="宋体" w:hAnsi="宋体" w:cs="Calibri" w:hint="eastAsia"/>
          <w:color w:val="000000"/>
          <w:kern w:val="0"/>
          <w:szCs w:val="21"/>
        </w:rPr>
        <w:t>十一</w:t>
      </w:r>
      <w:r>
        <w:rPr>
          <w:rFonts w:ascii="宋体" w:eastAsia="宋体" w:hAnsi="宋体" w:cs="Calibri" w:hint="eastAsia"/>
          <w:color w:val="000000"/>
          <w:kern w:val="0"/>
          <w:szCs w:val="21"/>
        </w:rPr>
        <w:t>月</w:t>
      </w:r>
      <w:r>
        <w:rPr>
          <w:rFonts w:ascii="宋体" w:eastAsia="宋体" w:hAnsi="宋体" w:cs="Calibri" w:hint="eastAsia"/>
          <w:color w:val="000000"/>
          <w:kern w:val="0"/>
          <w:szCs w:val="21"/>
        </w:rPr>
        <w:t>五</w:t>
      </w:r>
      <w:r>
        <w:rPr>
          <w:rFonts w:ascii="宋体" w:eastAsia="宋体" w:hAnsi="宋体" w:cs="Calibri" w:hint="eastAsia"/>
          <w:color w:val="000000"/>
          <w:kern w:val="0"/>
          <w:szCs w:val="21"/>
        </w:rPr>
        <w:t>日</w:t>
      </w:r>
    </w:p>
    <w:sectPr w:rsidR="008410C9" w:rsidSect="008410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k1ZDdmZTkxYTc4Njg1OTczNGFlZDIwMDVlZGYwMjEifQ=="/>
  </w:docVars>
  <w:rsids>
    <w:rsidRoot w:val="005F0FF9"/>
    <w:rsid w:val="000063A6"/>
    <w:rsid w:val="00010E32"/>
    <w:rsid w:val="00012B45"/>
    <w:rsid w:val="00036567"/>
    <w:rsid w:val="00041473"/>
    <w:rsid w:val="00047C93"/>
    <w:rsid w:val="0005325C"/>
    <w:rsid w:val="00053447"/>
    <w:rsid w:val="00066E81"/>
    <w:rsid w:val="000845D6"/>
    <w:rsid w:val="000866CD"/>
    <w:rsid w:val="000A19F7"/>
    <w:rsid w:val="000A37C3"/>
    <w:rsid w:val="000B7D03"/>
    <w:rsid w:val="000C2998"/>
    <w:rsid w:val="000C4780"/>
    <w:rsid w:val="000D3390"/>
    <w:rsid w:val="000D435D"/>
    <w:rsid w:val="000E0433"/>
    <w:rsid w:val="000F38A5"/>
    <w:rsid w:val="000F45A7"/>
    <w:rsid w:val="000F55D3"/>
    <w:rsid w:val="001012B4"/>
    <w:rsid w:val="00105708"/>
    <w:rsid w:val="001128C8"/>
    <w:rsid w:val="00122CE1"/>
    <w:rsid w:val="00134BDD"/>
    <w:rsid w:val="00135159"/>
    <w:rsid w:val="00137189"/>
    <w:rsid w:val="00142495"/>
    <w:rsid w:val="00144909"/>
    <w:rsid w:val="00147917"/>
    <w:rsid w:val="001500A9"/>
    <w:rsid w:val="00153B98"/>
    <w:rsid w:val="00153D29"/>
    <w:rsid w:val="0015492E"/>
    <w:rsid w:val="00161C3C"/>
    <w:rsid w:val="0016440B"/>
    <w:rsid w:val="00164F8D"/>
    <w:rsid w:val="0017005E"/>
    <w:rsid w:val="00185799"/>
    <w:rsid w:val="00186642"/>
    <w:rsid w:val="00192984"/>
    <w:rsid w:val="001A08E9"/>
    <w:rsid w:val="001D5D31"/>
    <w:rsid w:val="001E2726"/>
    <w:rsid w:val="001F5024"/>
    <w:rsid w:val="001F7AF7"/>
    <w:rsid w:val="0020452E"/>
    <w:rsid w:val="00211961"/>
    <w:rsid w:val="00222108"/>
    <w:rsid w:val="00231B53"/>
    <w:rsid w:val="00273DA4"/>
    <w:rsid w:val="0029219E"/>
    <w:rsid w:val="002A313C"/>
    <w:rsid w:val="002B12E2"/>
    <w:rsid w:val="002B61EB"/>
    <w:rsid w:val="002C0B82"/>
    <w:rsid w:val="002D7C8B"/>
    <w:rsid w:val="002E39DF"/>
    <w:rsid w:val="002E61A1"/>
    <w:rsid w:val="002E7AE9"/>
    <w:rsid w:val="00307FB6"/>
    <w:rsid w:val="0031076A"/>
    <w:rsid w:val="003157F5"/>
    <w:rsid w:val="003158A0"/>
    <w:rsid w:val="00322FC0"/>
    <w:rsid w:val="0032369D"/>
    <w:rsid w:val="003245A6"/>
    <w:rsid w:val="00335551"/>
    <w:rsid w:val="003466AF"/>
    <w:rsid w:val="00360A56"/>
    <w:rsid w:val="003648F6"/>
    <w:rsid w:val="00372C7B"/>
    <w:rsid w:val="00382A5D"/>
    <w:rsid w:val="00387EA3"/>
    <w:rsid w:val="0039784A"/>
    <w:rsid w:val="003A65B9"/>
    <w:rsid w:val="003C4AD5"/>
    <w:rsid w:val="0040304A"/>
    <w:rsid w:val="004063E7"/>
    <w:rsid w:val="00407342"/>
    <w:rsid w:val="0041332B"/>
    <w:rsid w:val="004228D4"/>
    <w:rsid w:val="00431B29"/>
    <w:rsid w:val="00432895"/>
    <w:rsid w:val="00444DE4"/>
    <w:rsid w:val="00452D24"/>
    <w:rsid w:val="00461C90"/>
    <w:rsid w:val="00493B0F"/>
    <w:rsid w:val="00497AE9"/>
    <w:rsid w:val="004A0701"/>
    <w:rsid w:val="004A78C5"/>
    <w:rsid w:val="004B521F"/>
    <w:rsid w:val="004C1531"/>
    <w:rsid w:val="004E0BDC"/>
    <w:rsid w:val="004E6304"/>
    <w:rsid w:val="00506369"/>
    <w:rsid w:val="00510AEC"/>
    <w:rsid w:val="00517EC1"/>
    <w:rsid w:val="005215A5"/>
    <w:rsid w:val="005232AA"/>
    <w:rsid w:val="00524EFE"/>
    <w:rsid w:val="00531823"/>
    <w:rsid w:val="00531F61"/>
    <w:rsid w:val="00540B51"/>
    <w:rsid w:val="00540EA3"/>
    <w:rsid w:val="00547ADC"/>
    <w:rsid w:val="005516CE"/>
    <w:rsid w:val="00554BFE"/>
    <w:rsid w:val="00564E78"/>
    <w:rsid w:val="00576669"/>
    <w:rsid w:val="00584F5E"/>
    <w:rsid w:val="00586C7A"/>
    <w:rsid w:val="005873F3"/>
    <w:rsid w:val="00593630"/>
    <w:rsid w:val="00594061"/>
    <w:rsid w:val="00595635"/>
    <w:rsid w:val="005A2A8F"/>
    <w:rsid w:val="005A730C"/>
    <w:rsid w:val="005B1D53"/>
    <w:rsid w:val="005B4903"/>
    <w:rsid w:val="005B5906"/>
    <w:rsid w:val="005B5CED"/>
    <w:rsid w:val="005E26B5"/>
    <w:rsid w:val="005F0FF9"/>
    <w:rsid w:val="00624915"/>
    <w:rsid w:val="00626DF6"/>
    <w:rsid w:val="00634A21"/>
    <w:rsid w:val="0065319A"/>
    <w:rsid w:val="006568AE"/>
    <w:rsid w:val="00662005"/>
    <w:rsid w:val="006670A6"/>
    <w:rsid w:val="006715C2"/>
    <w:rsid w:val="006743CD"/>
    <w:rsid w:val="00686AEB"/>
    <w:rsid w:val="00692B3F"/>
    <w:rsid w:val="00694708"/>
    <w:rsid w:val="006A0E1E"/>
    <w:rsid w:val="006A5027"/>
    <w:rsid w:val="006A79EC"/>
    <w:rsid w:val="006C3287"/>
    <w:rsid w:val="006D31A7"/>
    <w:rsid w:val="006D69E0"/>
    <w:rsid w:val="006F4B7D"/>
    <w:rsid w:val="00705727"/>
    <w:rsid w:val="00733EFE"/>
    <w:rsid w:val="00750AA8"/>
    <w:rsid w:val="00752953"/>
    <w:rsid w:val="00757E7C"/>
    <w:rsid w:val="00762507"/>
    <w:rsid w:val="00776B22"/>
    <w:rsid w:val="00782179"/>
    <w:rsid w:val="007872D0"/>
    <w:rsid w:val="00796FD5"/>
    <w:rsid w:val="007A2D93"/>
    <w:rsid w:val="007C6EB5"/>
    <w:rsid w:val="007E429E"/>
    <w:rsid w:val="007E6C57"/>
    <w:rsid w:val="007F0B92"/>
    <w:rsid w:val="007F1B88"/>
    <w:rsid w:val="00814468"/>
    <w:rsid w:val="00815249"/>
    <w:rsid w:val="00817554"/>
    <w:rsid w:val="008303D1"/>
    <w:rsid w:val="00835926"/>
    <w:rsid w:val="008410C9"/>
    <w:rsid w:val="00845099"/>
    <w:rsid w:val="00846E74"/>
    <w:rsid w:val="00847904"/>
    <w:rsid w:val="00850F93"/>
    <w:rsid w:val="00862A8E"/>
    <w:rsid w:val="00864504"/>
    <w:rsid w:val="008729D0"/>
    <w:rsid w:val="00881E6A"/>
    <w:rsid w:val="0088220E"/>
    <w:rsid w:val="0088331C"/>
    <w:rsid w:val="00885459"/>
    <w:rsid w:val="00887103"/>
    <w:rsid w:val="00891162"/>
    <w:rsid w:val="00897622"/>
    <w:rsid w:val="008B5617"/>
    <w:rsid w:val="008B7D62"/>
    <w:rsid w:val="008C38A2"/>
    <w:rsid w:val="008E65BB"/>
    <w:rsid w:val="008F297F"/>
    <w:rsid w:val="008F4AC6"/>
    <w:rsid w:val="00904391"/>
    <w:rsid w:val="00913894"/>
    <w:rsid w:val="009167E2"/>
    <w:rsid w:val="00917F6C"/>
    <w:rsid w:val="00926B3F"/>
    <w:rsid w:val="0092733B"/>
    <w:rsid w:val="00933EAB"/>
    <w:rsid w:val="00941D1E"/>
    <w:rsid w:val="00951C6F"/>
    <w:rsid w:val="00957396"/>
    <w:rsid w:val="00960151"/>
    <w:rsid w:val="00966751"/>
    <w:rsid w:val="009678FB"/>
    <w:rsid w:val="009816CB"/>
    <w:rsid w:val="00982575"/>
    <w:rsid w:val="00984BC3"/>
    <w:rsid w:val="009927DC"/>
    <w:rsid w:val="0099332B"/>
    <w:rsid w:val="009C27D6"/>
    <w:rsid w:val="009C70A8"/>
    <w:rsid w:val="009E35B6"/>
    <w:rsid w:val="009E5DC3"/>
    <w:rsid w:val="00A066C7"/>
    <w:rsid w:val="00A145CB"/>
    <w:rsid w:val="00A1468E"/>
    <w:rsid w:val="00A16F6F"/>
    <w:rsid w:val="00A2059D"/>
    <w:rsid w:val="00A30588"/>
    <w:rsid w:val="00A4417E"/>
    <w:rsid w:val="00A4467A"/>
    <w:rsid w:val="00A47EEB"/>
    <w:rsid w:val="00A534AC"/>
    <w:rsid w:val="00A53889"/>
    <w:rsid w:val="00A60441"/>
    <w:rsid w:val="00A608FE"/>
    <w:rsid w:val="00A76ED2"/>
    <w:rsid w:val="00A81542"/>
    <w:rsid w:val="00AA4F88"/>
    <w:rsid w:val="00AA7BAC"/>
    <w:rsid w:val="00AB67C6"/>
    <w:rsid w:val="00AC0F9B"/>
    <w:rsid w:val="00AC2611"/>
    <w:rsid w:val="00AD37E8"/>
    <w:rsid w:val="00AF5292"/>
    <w:rsid w:val="00B013AF"/>
    <w:rsid w:val="00B06163"/>
    <w:rsid w:val="00B103C3"/>
    <w:rsid w:val="00B40BB8"/>
    <w:rsid w:val="00B4754E"/>
    <w:rsid w:val="00B47DFC"/>
    <w:rsid w:val="00B54E29"/>
    <w:rsid w:val="00B664EE"/>
    <w:rsid w:val="00B80FCC"/>
    <w:rsid w:val="00B87F62"/>
    <w:rsid w:val="00B95086"/>
    <w:rsid w:val="00BA101F"/>
    <w:rsid w:val="00BA2C2B"/>
    <w:rsid w:val="00BB24BB"/>
    <w:rsid w:val="00BB2B6F"/>
    <w:rsid w:val="00BC14D6"/>
    <w:rsid w:val="00BC3C12"/>
    <w:rsid w:val="00BC3D8A"/>
    <w:rsid w:val="00BD2690"/>
    <w:rsid w:val="00BF0517"/>
    <w:rsid w:val="00BF7F4A"/>
    <w:rsid w:val="00C1570B"/>
    <w:rsid w:val="00C204F1"/>
    <w:rsid w:val="00C24E72"/>
    <w:rsid w:val="00C4239D"/>
    <w:rsid w:val="00C62665"/>
    <w:rsid w:val="00C657B9"/>
    <w:rsid w:val="00C66D14"/>
    <w:rsid w:val="00C8577C"/>
    <w:rsid w:val="00C915F4"/>
    <w:rsid w:val="00C92118"/>
    <w:rsid w:val="00C941E5"/>
    <w:rsid w:val="00C963BF"/>
    <w:rsid w:val="00C97B54"/>
    <w:rsid w:val="00CA4CFA"/>
    <w:rsid w:val="00CA5728"/>
    <w:rsid w:val="00CA6C4F"/>
    <w:rsid w:val="00CB23F9"/>
    <w:rsid w:val="00CB4B42"/>
    <w:rsid w:val="00CC2255"/>
    <w:rsid w:val="00CC30EF"/>
    <w:rsid w:val="00CE48D6"/>
    <w:rsid w:val="00CF041F"/>
    <w:rsid w:val="00CF34E7"/>
    <w:rsid w:val="00D1031E"/>
    <w:rsid w:val="00D129AB"/>
    <w:rsid w:val="00D14422"/>
    <w:rsid w:val="00D15EDA"/>
    <w:rsid w:val="00D203DF"/>
    <w:rsid w:val="00D26CF2"/>
    <w:rsid w:val="00D275D5"/>
    <w:rsid w:val="00D33650"/>
    <w:rsid w:val="00D462A3"/>
    <w:rsid w:val="00D51CBF"/>
    <w:rsid w:val="00D61D1C"/>
    <w:rsid w:val="00D63A38"/>
    <w:rsid w:val="00D70414"/>
    <w:rsid w:val="00D70BF7"/>
    <w:rsid w:val="00D77088"/>
    <w:rsid w:val="00D772A5"/>
    <w:rsid w:val="00D80774"/>
    <w:rsid w:val="00D842FC"/>
    <w:rsid w:val="00D87D0D"/>
    <w:rsid w:val="00D969DF"/>
    <w:rsid w:val="00DA00DE"/>
    <w:rsid w:val="00DC1837"/>
    <w:rsid w:val="00DC2D68"/>
    <w:rsid w:val="00DC51DA"/>
    <w:rsid w:val="00DE16FC"/>
    <w:rsid w:val="00DE5A26"/>
    <w:rsid w:val="00DE5CC1"/>
    <w:rsid w:val="00DE77B3"/>
    <w:rsid w:val="00DF5D70"/>
    <w:rsid w:val="00E022BF"/>
    <w:rsid w:val="00E12E40"/>
    <w:rsid w:val="00E17BC7"/>
    <w:rsid w:val="00E2674D"/>
    <w:rsid w:val="00E327EA"/>
    <w:rsid w:val="00E35CB7"/>
    <w:rsid w:val="00E4200A"/>
    <w:rsid w:val="00E42FE9"/>
    <w:rsid w:val="00E44BD4"/>
    <w:rsid w:val="00E472B0"/>
    <w:rsid w:val="00E70217"/>
    <w:rsid w:val="00E77DE5"/>
    <w:rsid w:val="00E83C85"/>
    <w:rsid w:val="00E95FDE"/>
    <w:rsid w:val="00EA291B"/>
    <w:rsid w:val="00EB60AC"/>
    <w:rsid w:val="00ED38AD"/>
    <w:rsid w:val="00EE6842"/>
    <w:rsid w:val="00EF7D90"/>
    <w:rsid w:val="00F00FA0"/>
    <w:rsid w:val="00F07918"/>
    <w:rsid w:val="00F27967"/>
    <w:rsid w:val="00F32A0E"/>
    <w:rsid w:val="00F36946"/>
    <w:rsid w:val="00F5032A"/>
    <w:rsid w:val="00F534D8"/>
    <w:rsid w:val="00F537EC"/>
    <w:rsid w:val="00F76845"/>
    <w:rsid w:val="00F86927"/>
    <w:rsid w:val="00F87967"/>
    <w:rsid w:val="00F91631"/>
    <w:rsid w:val="00F95946"/>
    <w:rsid w:val="00FA340E"/>
    <w:rsid w:val="00FA7DDC"/>
    <w:rsid w:val="00FB3174"/>
    <w:rsid w:val="00FB64C6"/>
    <w:rsid w:val="00FC13F1"/>
    <w:rsid w:val="00FD0E25"/>
    <w:rsid w:val="00FD2B2C"/>
    <w:rsid w:val="00FD3084"/>
    <w:rsid w:val="00FE36B1"/>
    <w:rsid w:val="00FE5065"/>
    <w:rsid w:val="00FF19A2"/>
    <w:rsid w:val="00FF23DB"/>
    <w:rsid w:val="00FF5914"/>
    <w:rsid w:val="038832EC"/>
    <w:rsid w:val="06EB7766"/>
    <w:rsid w:val="0D701199"/>
    <w:rsid w:val="19BF4DB7"/>
    <w:rsid w:val="1F1C3BAF"/>
    <w:rsid w:val="21752A45"/>
    <w:rsid w:val="225E5933"/>
    <w:rsid w:val="25BC272B"/>
    <w:rsid w:val="26A0451A"/>
    <w:rsid w:val="26DB31B1"/>
    <w:rsid w:val="273F60A6"/>
    <w:rsid w:val="287F1800"/>
    <w:rsid w:val="28882B05"/>
    <w:rsid w:val="29C62208"/>
    <w:rsid w:val="2B702C22"/>
    <w:rsid w:val="2C9220DA"/>
    <w:rsid w:val="33F61188"/>
    <w:rsid w:val="350D52D0"/>
    <w:rsid w:val="358643DE"/>
    <w:rsid w:val="3B55612D"/>
    <w:rsid w:val="3DA804C5"/>
    <w:rsid w:val="3F672502"/>
    <w:rsid w:val="42E46BA5"/>
    <w:rsid w:val="444C2BAD"/>
    <w:rsid w:val="47796DDA"/>
    <w:rsid w:val="48195F83"/>
    <w:rsid w:val="4B9425A7"/>
    <w:rsid w:val="4C21754B"/>
    <w:rsid w:val="4C3D72CE"/>
    <w:rsid w:val="4EA73064"/>
    <w:rsid w:val="5065520B"/>
    <w:rsid w:val="50DF560F"/>
    <w:rsid w:val="547C510B"/>
    <w:rsid w:val="57556680"/>
    <w:rsid w:val="5A446194"/>
    <w:rsid w:val="5B486DCE"/>
    <w:rsid w:val="614702AB"/>
    <w:rsid w:val="618010AA"/>
    <w:rsid w:val="62731B54"/>
    <w:rsid w:val="66B27F22"/>
    <w:rsid w:val="67935ACF"/>
    <w:rsid w:val="67AD3598"/>
    <w:rsid w:val="67BB4BB4"/>
    <w:rsid w:val="69DF4EAA"/>
    <w:rsid w:val="6A7F6677"/>
    <w:rsid w:val="6C160B26"/>
    <w:rsid w:val="70BA3EAB"/>
    <w:rsid w:val="782A06EE"/>
    <w:rsid w:val="799E7C8D"/>
    <w:rsid w:val="79B9217A"/>
    <w:rsid w:val="7F1D33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0C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8410C9"/>
    <w:rPr>
      <w:rFonts w:ascii="宋体" w:eastAsia="宋体"/>
      <w:sz w:val="18"/>
      <w:szCs w:val="18"/>
    </w:rPr>
  </w:style>
  <w:style w:type="paragraph" w:styleId="a4">
    <w:name w:val="annotation text"/>
    <w:basedOn w:val="a"/>
    <w:link w:val="Char0"/>
    <w:uiPriority w:val="99"/>
    <w:semiHidden/>
    <w:unhideWhenUsed/>
    <w:qFormat/>
    <w:rsid w:val="008410C9"/>
    <w:pPr>
      <w:jc w:val="left"/>
    </w:pPr>
  </w:style>
  <w:style w:type="paragraph" w:styleId="a5">
    <w:name w:val="Balloon Text"/>
    <w:basedOn w:val="a"/>
    <w:link w:val="Char1"/>
    <w:uiPriority w:val="99"/>
    <w:semiHidden/>
    <w:unhideWhenUsed/>
    <w:qFormat/>
    <w:rsid w:val="008410C9"/>
    <w:rPr>
      <w:sz w:val="18"/>
      <w:szCs w:val="18"/>
    </w:rPr>
  </w:style>
  <w:style w:type="paragraph" w:styleId="a6">
    <w:name w:val="footer"/>
    <w:basedOn w:val="a"/>
    <w:link w:val="Char2"/>
    <w:uiPriority w:val="99"/>
    <w:unhideWhenUsed/>
    <w:qFormat/>
    <w:rsid w:val="008410C9"/>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410C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8410C9"/>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4"/>
    <w:uiPriority w:val="99"/>
    <w:semiHidden/>
    <w:unhideWhenUsed/>
    <w:qFormat/>
    <w:rsid w:val="008410C9"/>
    <w:rPr>
      <w:b/>
      <w:bCs/>
    </w:rPr>
  </w:style>
  <w:style w:type="character" w:styleId="aa">
    <w:name w:val="Hyperlink"/>
    <w:uiPriority w:val="99"/>
    <w:unhideWhenUsed/>
    <w:qFormat/>
    <w:rsid w:val="008410C9"/>
    <w:rPr>
      <w:color w:val="0000FF"/>
      <w:u w:val="single"/>
    </w:rPr>
  </w:style>
  <w:style w:type="character" w:styleId="ab">
    <w:name w:val="annotation reference"/>
    <w:basedOn w:val="a0"/>
    <w:uiPriority w:val="99"/>
    <w:semiHidden/>
    <w:unhideWhenUsed/>
    <w:qFormat/>
    <w:rsid w:val="008410C9"/>
    <w:rPr>
      <w:sz w:val="21"/>
      <w:szCs w:val="21"/>
    </w:rPr>
  </w:style>
  <w:style w:type="paragraph" w:customStyle="1" w:styleId="source-date1">
    <w:name w:val="source-date1"/>
    <w:basedOn w:val="a"/>
    <w:qFormat/>
    <w:rsid w:val="008410C9"/>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0">
    <w:name w:val="批注文字 Char"/>
    <w:basedOn w:val="a0"/>
    <w:link w:val="a4"/>
    <w:uiPriority w:val="99"/>
    <w:semiHidden/>
    <w:qFormat/>
    <w:rsid w:val="008410C9"/>
  </w:style>
  <w:style w:type="character" w:customStyle="1" w:styleId="Char4">
    <w:name w:val="批注主题 Char"/>
    <w:basedOn w:val="Char0"/>
    <w:link w:val="a9"/>
    <w:uiPriority w:val="99"/>
    <w:semiHidden/>
    <w:qFormat/>
    <w:rsid w:val="008410C9"/>
    <w:rPr>
      <w:b/>
      <w:bCs/>
    </w:rPr>
  </w:style>
  <w:style w:type="character" w:customStyle="1" w:styleId="Char1">
    <w:name w:val="批注框文本 Char"/>
    <w:basedOn w:val="a0"/>
    <w:link w:val="a5"/>
    <w:uiPriority w:val="99"/>
    <w:semiHidden/>
    <w:qFormat/>
    <w:rsid w:val="008410C9"/>
    <w:rPr>
      <w:sz w:val="18"/>
      <w:szCs w:val="18"/>
    </w:rPr>
  </w:style>
  <w:style w:type="character" w:customStyle="1" w:styleId="Char3">
    <w:name w:val="页眉 Char"/>
    <w:basedOn w:val="a0"/>
    <w:link w:val="a7"/>
    <w:uiPriority w:val="99"/>
    <w:qFormat/>
    <w:rsid w:val="008410C9"/>
    <w:rPr>
      <w:sz w:val="18"/>
      <w:szCs w:val="18"/>
    </w:rPr>
  </w:style>
  <w:style w:type="character" w:customStyle="1" w:styleId="Char2">
    <w:name w:val="页脚 Char"/>
    <w:basedOn w:val="a0"/>
    <w:link w:val="a6"/>
    <w:uiPriority w:val="99"/>
    <w:qFormat/>
    <w:rsid w:val="008410C9"/>
    <w:rPr>
      <w:sz w:val="18"/>
      <w:szCs w:val="18"/>
    </w:rPr>
  </w:style>
  <w:style w:type="character" w:customStyle="1" w:styleId="Char">
    <w:name w:val="文档结构图 Char"/>
    <w:basedOn w:val="a0"/>
    <w:link w:val="a3"/>
    <w:uiPriority w:val="99"/>
    <w:semiHidden/>
    <w:qFormat/>
    <w:rsid w:val="008410C9"/>
    <w:rPr>
      <w:rFonts w:ascii="宋体" w:eastAsia="宋体"/>
      <w:sz w:val="18"/>
      <w:szCs w:val="18"/>
    </w:rPr>
  </w:style>
  <w:style w:type="paragraph" w:customStyle="1" w:styleId="1">
    <w:name w:val="修订1"/>
    <w:hidden/>
    <w:uiPriority w:val="99"/>
    <w:unhideWhenUsed/>
    <w:qFormat/>
    <w:rsid w:val="008410C9"/>
    <w:rPr>
      <w:rFonts w:asciiTheme="minorHAnsi" w:eastAsiaTheme="minorEastAsia" w:hAnsiTheme="minorHAnsi" w:cstheme="minorBidi"/>
      <w:kern w:val="2"/>
      <w:sz w:val="21"/>
      <w:szCs w:val="22"/>
    </w:rPr>
  </w:style>
  <w:style w:type="character" w:customStyle="1" w:styleId="10">
    <w:name w:val="不明显强调1"/>
    <w:basedOn w:val="a0"/>
    <w:uiPriority w:val="19"/>
    <w:qFormat/>
    <w:rsid w:val="008410C9"/>
    <w:rPr>
      <w:i/>
      <w:iCs/>
      <w:color w:val="7F7F7F" w:themeColor="text1" w:themeTint="80"/>
    </w:rPr>
  </w:style>
  <w:style w:type="paragraph" w:customStyle="1" w:styleId="2">
    <w:name w:val="修订2"/>
    <w:hidden/>
    <w:uiPriority w:val="99"/>
    <w:semiHidden/>
    <w:qFormat/>
    <w:rsid w:val="008410C9"/>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1118</Characters>
  <Application>Microsoft Office Word</Application>
  <DocSecurity>4</DocSecurity>
  <Lines>9</Lines>
  <Paragraphs>2</Paragraphs>
  <ScaleCrop>false</ScaleCrop>
  <Company>Microsoft</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周宁</dc:creator>
  <cp:lastModifiedBy>ZHONGM</cp:lastModifiedBy>
  <cp:revision>2</cp:revision>
  <dcterms:created xsi:type="dcterms:W3CDTF">2025-11-04T16:00:00Z</dcterms:created>
  <dcterms:modified xsi:type="dcterms:W3CDTF">2025-11-04T16:00:00Z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8B41FE439A054C0086F27969331C2CA3_13</vt:lpwstr>
  </property>
  <property fmtid="{D5CDD505-2E9C-101B-9397-08002B2CF9AE}" pid="4" name="KSOTemplateDocerSaveRecord">
    <vt:lpwstr>eyJoZGlkIjoiNzk1ZDdmZTkxYTc4Njg1OTczNGFlZDIwMDVlZGYwMjEiLCJ1c2VySWQiOiIzMDA3OTY4OCJ9</vt:lpwstr>
  </property>
</Properties>
</file>