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Toc457987864"/>
      <w:r w:rsidRPr="00570428">
        <w:rPr>
          <w:b/>
          <w:sz w:val="48"/>
          <w:szCs w:val="48"/>
        </w:rPr>
        <w:t>鹏扬淳熙一年定期开放债券型发起式证券投资基金分红公告</w:t>
      </w:r>
    </w:p>
    <w:p w:rsidR="00DA2749" w:rsidRDefault="00341BC3" w:rsidP="00310EC7">
      <w:pPr>
        <w:pStyle w:val="1"/>
        <w:spacing w:before="156" w:after="156"/>
      </w:pPr>
      <w:r w:rsidRPr="00341BC3">
        <w:rPr>
          <w:rFonts w:hint="eastAsia"/>
        </w:rPr>
        <w:t>公告基本信息</w:t>
      </w:r>
      <w:bookmarkEnd w:id="0"/>
    </w:p>
    <w:tbl>
      <w:tblPr>
        <w:tblStyle w:val="ac"/>
        <w:tblW w:w="9911" w:type="dxa"/>
        <w:jc w:val="center"/>
        <w:tblLayout w:type="fixed"/>
        <w:tblLook w:val="04A0"/>
      </w:tblPr>
      <w:tblGrid>
        <w:gridCol w:w="1419"/>
        <w:gridCol w:w="2619"/>
        <w:gridCol w:w="5873"/>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鹏扬淳熙一年定期开放债券型发起式证券投资基金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鹏扬淳熙一年定开债券发起式</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tcMar>
              <w:left w:w="85" w:type="dxa"/>
              <w:right w:w="85" w:type="dxa"/>
            </w:tcMar>
            <w:vAlign w:val="center"/>
          </w:tcPr>
          <w:p w:rsidR="006C5B9B" w:rsidRPr="00A5411A" w:rsidRDefault="006C5B9B" w:rsidP="00BE74A8">
            <w:pPr>
              <w:rPr>
                <w:szCs w:val="22"/>
              </w:rPr>
            </w:pPr>
            <w:r w:rsidRPr="00A5411A">
              <w:rPr>
                <w:szCs w:val="22"/>
              </w:rPr>
              <w:t>013265</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tcMar>
              <w:left w:w="85" w:type="dxa"/>
              <w:right w:w="85" w:type="dxa"/>
            </w:tcMar>
            <w:vAlign w:val="center"/>
          </w:tcPr>
          <w:p w:rsidR="006C5B9B" w:rsidRPr="00A5411A" w:rsidRDefault="006C5B9B" w:rsidP="00BE74A8">
            <w:pPr>
              <w:rPr>
                <w:szCs w:val="22"/>
              </w:rPr>
            </w:pPr>
            <w:r>
              <w:rPr>
                <w:szCs w:val="22"/>
              </w:rPr>
              <w:t>2021年8月18日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鹏扬基金管理有限公司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tcMar>
              <w:left w:w="85" w:type="dxa"/>
              <w:right w:w="85" w:type="dxa"/>
            </w:tcMar>
            <w:vAlign w:val="center"/>
          </w:tcPr>
          <w:p w:rsidR="006C5B9B" w:rsidRPr="00A5411A" w:rsidRDefault="006C5B9B" w:rsidP="00BE74A8">
            <w:pPr>
              <w:rPr>
                <w:szCs w:val="22"/>
              </w:rPr>
            </w:pPr>
            <w:r w:rsidRPr="00A5411A">
              <w:rPr>
                <w:szCs w:val="22"/>
              </w:rPr>
              <w:t>兴业银行股份有限公司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鹏扬淳熙一年定期开放债券型发起式证券投资基金基金合同》、《鹏扬淳熙一年定期开放债券型发起式证券投资基金招募说明书》等</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tcMar>
              <w:left w:w="85" w:type="dxa"/>
              <w:right w:w="85" w:type="dxa"/>
            </w:tcMar>
            <w:vAlign w:val="center"/>
          </w:tcPr>
          <w:p w:rsidR="006C5B9B" w:rsidRPr="00A5411A" w:rsidRDefault="006C5B9B" w:rsidP="00BE74A8">
            <w:pPr>
              <w:rPr>
                <w:szCs w:val="22"/>
              </w:rPr>
            </w:pPr>
            <w:r>
              <w:rPr>
                <w:szCs w:val="22"/>
              </w:rPr>
              <w:t>2025年10月31日</w:t>
            </w:r>
          </w:p>
        </w:tc>
      </w:tr>
      <w:tr w:rsidR="006C5B9B" w:rsidTr="00B765BF">
        <w:trPr>
          <w:jc w:val="center"/>
        </w:trPr>
        <w:tc>
          <w:tcPr>
            <w:tcW w:w="1419" w:type="dxa"/>
            <w:vMerge w:val="restart"/>
            <w:tcMar>
              <w:left w:w="85" w:type="dxa"/>
              <w:right w:w="85" w:type="dxa"/>
            </w:tcMar>
            <w:vAlign w:val="center"/>
          </w:tcPr>
          <w:p w:rsidR="006C5B9B" w:rsidRPr="00A5411A" w:rsidRDefault="006C5B9B" w:rsidP="007B5D69">
            <w:pPr>
              <w:jc w:val="both"/>
              <w:rPr>
                <w:szCs w:val="22"/>
              </w:rPr>
            </w:pPr>
            <w:r w:rsidRPr="00A5411A">
              <w:rPr>
                <w:szCs w:val="22"/>
              </w:rPr>
              <w:t>截止收益分配基准日的相关指标</w:t>
            </w:r>
          </w:p>
        </w:tc>
        <w:tc>
          <w:tcPr>
            <w:tcW w:w="2619" w:type="dxa"/>
            <w:tcMar>
              <w:left w:w="85" w:type="dxa"/>
              <w:right w:w="85" w:type="dxa"/>
            </w:tcMar>
            <w:vAlign w:val="center"/>
          </w:tcPr>
          <w:p w:rsidR="006C5B9B" w:rsidRPr="00A5411A" w:rsidRDefault="006C5B9B" w:rsidP="007B5D69">
            <w:pPr>
              <w:jc w:val="both"/>
              <w:rPr>
                <w:szCs w:val="22"/>
              </w:rPr>
            </w:pPr>
            <w:r>
              <w:rPr>
                <w:szCs w:val="22"/>
              </w:rPr>
              <w:t>基准日基金份额净值</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1.1820</w:t>
            </w:r>
          </w:p>
        </w:tc>
      </w:tr>
      <w:tr w:rsidR="006C5B9B" w:rsidTr="00706547">
        <w:trPr>
          <w:jc w:val="center"/>
        </w:trPr>
        <w:tc>
          <w:tcPr>
            <w:tcW w:w="1419" w:type="dxa"/>
            <w:vMerge/>
            <w:tcMar>
              <w:left w:w="85" w:type="dxa"/>
              <w:right w:w="85" w:type="dxa"/>
            </w:tcMar>
            <w:vAlign w:val="center"/>
          </w:tcPr>
          <w:p w:rsidR="006C5B9B" w:rsidRPr="00A5411A" w:rsidRDefault="006C5B9B" w:rsidP="00BE74A8">
            <w:pPr>
              <w:rPr>
                <w:szCs w:val="22"/>
              </w:rPr>
            </w:pPr>
          </w:p>
        </w:tc>
        <w:tc>
          <w:tcPr>
            <w:tcW w:w="2619" w:type="dxa"/>
            <w:tcMar>
              <w:left w:w="85" w:type="dxa"/>
              <w:right w:w="85" w:type="dxa"/>
            </w:tcMar>
            <w:vAlign w:val="center"/>
          </w:tcPr>
          <w:p w:rsidR="006C5B9B" w:rsidRPr="00A5411A" w:rsidRDefault="006C5B9B" w:rsidP="007B5D69">
            <w:pPr>
              <w:jc w:val="both"/>
              <w:rPr>
                <w:szCs w:val="22"/>
              </w:rPr>
            </w:pPr>
            <w:r>
              <w:rPr>
                <w:szCs w:val="22"/>
              </w:rPr>
              <w:t>基准日基金可供分配利润</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182,042,229.76</w:t>
            </w:r>
          </w:p>
        </w:tc>
      </w:tr>
      <w:tr w:rsidR="006C5B9B" w:rsidTr="00E275B8">
        <w:trPr>
          <w:jc w:val="center"/>
        </w:trPr>
        <w:tc>
          <w:tcPr>
            <w:tcW w:w="1419" w:type="dxa"/>
            <w:vMerge/>
            <w:tcMar>
              <w:left w:w="85" w:type="dxa"/>
              <w:right w:w="85" w:type="dxa"/>
            </w:tcMar>
            <w:vAlign w:val="center"/>
          </w:tcPr>
          <w:p w:rsidR="006C5B9B" w:rsidRPr="00A5411A" w:rsidRDefault="006C5B9B" w:rsidP="00BE74A8">
            <w:pPr>
              <w:rPr>
                <w:szCs w:val="22"/>
              </w:rPr>
            </w:pPr>
          </w:p>
        </w:tc>
        <w:tc>
          <w:tcPr>
            <w:tcW w:w="2619" w:type="dxa"/>
            <w:tcMar>
              <w:left w:w="85" w:type="dxa"/>
              <w:right w:w="85" w:type="dxa"/>
            </w:tcMar>
            <w:vAlign w:val="center"/>
          </w:tcPr>
          <w:p w:rsidR="006C5B9B" w:rsidRPr="00A5411A" w:rsidRDefault="006C5B9B" w:rsidP="007B5D69">
            <w:pPr>
              <w:jc w:val="both"/>
              <w:rPr>
                <w:szCs w:val="22"/>
              </w:rPr>
            </w:pPr>
            <w:r>
              <w:rPr>
                <w:szCs w:val="22"/>
              </w:rPr>
              <w:t>截止基准日按照基金合同约定的分红比例计算的应分配金额</w:t>
            </w:r>
            <w:r>
              <w:rPr>
                <w:rFonts w:hAnsi="宋体" w:hint="eastAsia"/>
              </w:rPr>
              <w:t>（单位：人民币元）</w:t>
            </w:r>
          </w:p>
        </w:tc>
        <w:tc>
          <w:tcPr>
            <w:tcW w:w="5873" w:type="dxa"/>
            <w:tcMar>
              <w:left w:w="85" w:type="dxa"/>
              <w:right w:w="85" w:type="dxa"/>
            </w:tcMar>
            <w:vAlign w:val="center"/>
          </w:tcPr>
          <w:p w:rsidR="006C5B9B" w:rsidRPr="00A5411A" w:rsidRDefault="006C5B9B" w:rsidP="00BE74A8">
            <w:pPr>
              <w:pStyle w:val="a9"/>
              <w:jc w:val="left"/>
            </w:pPr>
            <w:r w:rsidRPr="00A5411A">
              <w:t>-</w:t>
            </w:r>
          </w:p>
        </w:tc>
      </w:tr>
      <w:tr w:rsidR="006C5B9B" w:rsidTr="00E10E44">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本次分红方案（单位：元/10份基金份额）</w:t>
            </w:r>
          </w:p>
        </w:tc>
        <w:tc>
          <w:tcPr>
            <w:tcW w:w="5873" w:type="dxa"/>
            <w:tcMar>
              <w:left w:w="85" w:type="dxa"/>
              <w:right w:w="85" w:type="dxa"/>
            </w:tcMar>
            <w:vAlign w:val="center"/>
          </w:tcPr>
          <w:p w:rsidR="006C5B9B" w:rsidRPr="00A5411A" w:rsidRDefault="006C5B9B" w:rsidP="00BE74A8">
            <w:pPr>
              <w:pStyle w:val="a9"/>
              <w:jc w:val="left"/>
            </w:pPr>
            <w:r w:rsidRPr="00A5411A">
              <w:t>0.5400</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tcMar>
              <w:left w:w="85" w:type="dxa"/>
              <w:right w:w="85" w:type="dxa"/>
            </w:tcMar>
            <w:vAlign w:val="center"/>
          </w:tcPr>
          <w:p w:rsidR="006C5B9B" w:rsidRPr="00A5411A" w:rsidRDefault="006C5B9B" w:rsidP="00BE74A8">
            <w:pPr>
              <w:rPr>
                <w:szCs w:val="22"/>
              </w:rPr>
            </w:pPr>
            <w:r w:rsidRPr="00A5411A">
              <w:rPr>
                <w:szCs w:val="22"/>
              </w:rPr>
              <w:t>本次分红为 2025 年度第一次分红</w:t>
            </w:r>
          </w:p>
        </w:tc>
      </w:tr>
    </w:tbl>
    <w:p w:rsidR="00341BC3" w:rsidRDefault="005765DC" w:rsidP="005765DC">
      <w:pPr>
        <w:pStyle w:val="1"/>
        <w:spacing w:before="156" w:after="156"/>
      </w:pPr>
      <w:bookmarkStart w:id="1" w:name="_Toc457987865"/>
      <w:r w:rsidRPr="005765DC">
        <w:rPr>
          <w:rFonts w:hint="eastAsia"/>
        </w:rPr>
        <w:t>与分红相关的其他信息</w:t>
      </w:r>
      <w:bookmarkEnd w:id="1"/>
    </w:p>
    <w:tbl>
      <w:tblPr>
        <w:tblStyle w:val="ac"/>
        <w:tblW w:w="9072" w:type="dxa"/>
        <w:jc w:val="center"/>
        <w:tblLook w:val="04A0"/>
      </w:tblPr>
      <w:tblGrid>
        <w:gridCol w:w="2981"/>
        <w:gridCol w:w="6091"/>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tcMar>
              <w:left w:w="85" w:type="dxa"/>
              <w:right w:w="85" w:type="dxa"/>
            </w:tcMar>
            <w:vAlign w:val="center"/>
          </w:tcPr>
          <w:p w:rsidR="00BE74A8" w:rsidRPr="00A5411A" w:rsidRDefault="00BE74A8" w:rsidP="00BE74A8">
            <w:pPr>
              <w:rPr>
                <w:szCs w:val="22"/>
              </w:rPr>
            </w:pPr>
            <w:r>
              <w:rPr>
                <w:szCs w:val="22"/>
              </w:rPr>
              <w:t>2025年11月6日</w:t>
            </w:r>
          </w:p>
        </w:tc>
      </w:tr>
      <w:tr w:rsidR="003E3E44" w:rsidTr="003E3E44">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tcMar>
              <w:left w:w="85" w:type="dxa"/>
              <w:right w:w="85" w:type="dxa"/>
            </w:tcMar>
            <w:vAlign w:val="center"/>
          </w:tcPr>
          <w:p w:rsidR="00074834" w:rsidRPr="00A5411A" w:rsidRDefault="00074834" w:rsidP="00BE74A8">
            <w:pPr>
              <w:rPr>
                <w:szCs w:val="22"/>
              </w:rPr>
            </w:pPr>
            <w:r>
              <w:rPr>
                <w:szCs w:val="22"/>
              </w:rPr>
              <w:t>2025年11月6日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tcMar>
              <w:left w:w="85" w:type="dxa"/>
              <w:right w:w="85" w:type="dxa"/>
            </w:tcMar>
            <w:vAlign w:val="center"/>
          </w:tcPr>
          <w:p w:rsidR="00BE74A8" w:rsidRPr="00A5411A" w:rsidRDefault="00BE74A8" w:rsidP="00BE74A8">
            <w:pPr>
              <w:rPr>
                <w:szCs w:val="22"/>
              </w:rPr>
            </w:pPr>
            <w:r>
              <w:rPr>
                <w:szCs w:val="22"/>
              </w:rPr>
              <w:t>2025年11月7日</w:t>
            </w:r>
            <w:bookmarkStart w:id="2" w:name="_GoBack"/>
            <w:bookmarkEnd w:id="2"/>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tcMar>
              <w:left w:w="85" w:type="dxa"/>
              <w:right w:w="85" w:type="dxa"/>
            </w:tcMar>
            <w:vAlign w:val="center"/>
          </w:tcPr>
          <w:p w:rsidR="00BE74A8" w:rsidRPr="00A5411A" w:rsidRDefault="00BE74A8" w:rsidP="00BE74A8">
            <w:pPr>
              <w:rPr>
                <w:szCs w:val="22"/>
              </w:rPr>
            </w:pPr>
            <w:r w:rsidRPr="00A5411A">
              <w:rPr>
                <w:szCs w:val="22"/>
              </w:rPr>
              <w:t>权益登记日在本基金注册登记机构登记在册的本基金全体基金份额持有人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选择红利再投资的投资者其现金红利转换为基金份额的基金份额净值（NAV）确定日为2025年11月6日，该部分基金份额将于2025年11月7日直接计入其基金账户，投资者可自2025年11月10日起查询，并可以在基金规定的开放运作期内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tcMar>
              <w:left w:w="85" w:type="dxa"/>
              <w:right w:w="85" w:type="dxa"/>
            </w:tcMar>
            <w:vAlign w:val="center"/>
          </w:tcPr>
          <w:p w:rsidR="00BE74A8" w:rsidRPr="00A5411A" w:rsidRDefault="00BE74A8" w:rsidP="00BE74A8">
            <w:pPr>
              <w:rPr>
                <w:szCs w:val="22"/>
              </w:rPr>
            </w:pPr>
            <w:r w:rsidRPr="00A5411A">
              <w:rPr>
                <w:szCs w:val="22"/>
              </w:rPr>
              <w:t>根据财政部、国家税务总局的财税字[2002]128 号《关于开放式证券投资基金有关税收问题的通知》，基金向投资者分配的基金收益，暂免征收所得税。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t>费用相关事项的说明</w:t>
            </w:r>
          </w:p>
        </w:tc>
        <w:tc>
          <w:tcPr>
            <w:tcW w:w="6091" w:type="dxa"/>
            <w:tcMar>
              <w:left w:w="85" w:type="dxa"/>
              <w:right w:w="85" w:type="dxa"/>
            </w:tcMar>
            <w:vAlign w:val="center"/>
          </w:tcPr>
          <w:p w:rsidR="00BE74A8" w:rsidRDefault="00BE74A8" w:rsidP="00BE74A8">
            <w:r w:rsidRPr="00A5411A">
              <w:rPr>
                <w:szCs w:val="22"/>
              </w:rPr>
              <w:t>1）本基金本次收益分配免收收益分配手续费；</w:t>
            </w:r>
            <w:r w:rsidRPr="00A5411A">
              <w:rPr>
                <w:szCs w:val="22"/>
              </w:rPr>
              <w:br/>
            </w:r>
            <w:r w:rsidRPr="00A5411A">
              <w:rPr>
                <w:szCs w:val="22"/>
              </w:rPr>
              <w:lastRenderedPageBreak/>
              <w:t>2）收益分配采用红利再投方式免收再投资的申购费用。</w:t>
            </w:r>
          </w:p>
        </w:tc>
      </w:tr>
    </w:tbl>
    <w:p w:rsidR="005765DC" w:rsidRPr="00A5411A" w:rsidRDefault="005765DC" w:rsidP="0094623B">
      <w:pPr>
        <w:rPr>
          <w:szCs w:val="22"/>
        </w:rPr>
      </w:pPr>
      <w:r w:rsidRPr="00A5411A">
        <w:rPr>
          <w:szCs w:val="22"/>
        </w:rPr>
        <w:lastRenderedPageBreak/>
        <w:t>注：选择现金红利方式的投资者的红利款将于现金红利发放日自基金托管账户划出。</w:t>
      </w:r>
    </w:p>
    <w:p w:rsidR="005765DC" w:rsidRDefault="005765DC" w:rsidP="005765DC">
      <w:pPr>
        <w:pStyle w:val="1"/>
        <w:spacing w:before="156" w:after="156"/>
      </w:pPr>
      <w:bookmarkStart w:id="3" w:name="_Toc457987866"/>
      <w:r w:rsidRPr="005765DC">
        <w:rPr>
          <w:rFonts w:hint="eastAsia"/>
        </w:rPr>
        <w:t>其他需要提示的事项</w:t>
      </w:r>
      <w:bookmarkEnd w:id="3"/>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2、本基金默认分红方式为现金分红。投资者可到销售网点或本公司交易平台查询分红方式。如需变更分红方式，请于权益登记日之前的交易时间内（不含权益登记日）办理变更手续。</w:t>
      </w:r>
      <w:r w:rsidRPr="00A5411A">
        <w:br/>
        <w:t xml:space="preserve">    3、本次分红确认的方式按照投资者在权益登记日之前（不含权益登记日）最后一次选择成功的分红方式为准。</w:t>
      </w:r>
      <w:r w:rsidRPr="00A5411A">
        <w:br/>
        <w:t xml:space="preserve">    4、投资者通过任一销售机构按基金交易代码提交的分红方式变更申请，只对投资者在该销售机构指定交易账户下的基金份额有效，并不改变投资者在该销售机构其他交易账户或其他销售机构基金份额的分红方式。</w:t>
      </w:r>
      <w:r w:rsidRPr="00A5411A">
        <w:br/>
        <w:t xml:space="preserve">    5、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投资者可以通过拨打鹏扬基金管理有限公司客户服务热线400-968-6688（免长途话费），或登陆网站http://www.pyamc.com了解相关情况。投资者也可以前往本基金有关销售机构进行咨询。本基金的销售机构详见本基金更新的招募说明书或相关公告。</w:t>
      </w:r>
    </w:p>
    <w:p w:rsidR="00570428" w:rsidRPr="003E3E44" w:rsidRDefault="00570428" w:rsidP="00570428">
      <w:pPr>
        <w:pStyle w:val="aa"/>
        <w:ind w:firstLine="420"/>
      </w:pPr>
    </w:p>
    <w:p w:rsidR="00570428" w:rsidRPr="003E3E44" w:rsidRDefault="00570428" w:rsidP="00570428">
      <w:pPr>
        <w:pStyle w:val="aa"/>
        <w:ind w:firstLine="420"/>
      </w:pPr>
    </w:p>
    <w:p w:rsidR="00570428" w:rsidRPr="003E3E44" w:rsidRDefault="00570428" w:rsidP="00570428">
      <w:pPr>
        <w:pStyle w:val="aa"/>
        <w:ind w:firstLine="420"/>
        <w:jc w:val="right"/>
        <w:rPr>
          <w:color w:val="000000"/>
        </w:rPr>
      </w:pPr>
      <w:r w:rsidRPr="003E3E44">
        <w:rPr>
          <w:rFonts w:hint="eastAsia"/>
          <w:color w:val="000000"/>
        </w:rPr>
        <w:t>鹏扬基金管理有限公司</w:t>
      </w:r>
    </w:p>
    <w:p w:rsidR="00570428" w:rsidRPr="003E3E44" w:rsidRDefault="00570428" w:rsidP="00570428">
      <w:pPr>
        <w:pStyle w:val="aa"/>
        <w:ind w:firstLine="420"/>
        <w:jc w:val="right"/>
        <w:rPr>
          <w:color w:val="000000"/>
        </w:rPr>
      </w:pPr>
      <w:r w:rsidRPr="003E3E44">
        <w:rPr>
          <w:rFonts w:hint="eastAsia"/>
          <w:color w:val="000000"/>
        </w:rPr>
        <w:t>2025年11月5日</w:t>
      </w:r>
    </w:p>
    <w:sectPr w:rsidR="00570428" w:rsidRPr="003E3E44"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18D" w:rsidRDefault="00EC718D" w:rsidP="00341BC3">
      <w:r>
        <w:separator/>
      </w:r>
    </w:p>
  </w:endnote>
  <w:endnote w:type="continuationSeparator" w:id="0">
    <w:p w:rsidR="00EC718D" w:rsidRDefault="00EC718D"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4C11BF">
      <w:fldChar w:fldCharType="begin"/>
    </w:r>
    <w:r>
      <w:instrText xml:space="preserve"> </w:instrText>
    </w:r>
    <w:r>
      <w:rPr>
        <w:rFonts w:hint="eastAsia"/>
      </w:rPr>
      <w:instrText>PAGE   \* MERGEFORMAT</w:instrText>
    </w:r>
    <w:r>
      <w:instrText xml:space="preserve"> </w:instrText>
    </w:r>
    <w:r w:rsidR="004C11BF">
      <w:fldChar w:fldCharType="separate"/>
    </w:r>
    <w:r w:rsidR="009878B4">
      <w:rPr>
        <w:noProof/>
      </w:rPr>
      <w:t>1</w:t>
    </w:r>
    <w:r w:rsidR="004C11BF">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9878B4">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18D" w:rsidRDefault="00EC718D" w:rsidP="00341BC3">
      <w:r>
        <w:separator/>
      </w:r>
    </w:p>
  </w:footnote>
  <w:footnote w:type="continuationSeparator" w:id="0">
    <w:p w:rsidR="00EC718D" w:rsidRDefault="00EC718D"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413" w:rsidRDefault="001F675F">
    <w:pPr>
      <w:pBdr>
        <w:between w:val="single" w:sz="3" w:space="0" w:color="000000"/>
      </w:pBdr>
      <w:jc w:val="right"/>
    </w:pPr>
    <w:r>
      <w:rPr>
        <w:rFonts w:hAnsi="宋体" w:hint="eastAsia"/>
        <w:bCs/>
        <w:color w:val="000000"/>
        <w:sz w:val="18"/>
        <w:szCs w:val="18"/>
      </w:rPr>
      <w:t>鹏扬淳熙一年定期开放债券型发起式证券投资基金分红公告</w:t>
    </w:r>
  </w:p>
  <w:p w:rsidR="00910413" w:rsidRDefault="00910413">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3B3A"/>
    <w:rsid w:val="00030DD2"/>
    <w:rsid w:val="000507D6"/>
    <w:rsid w:val="00074834"/>
    <w:rsid w:val="000762C7"/>
    <w:rsid w:val="0009734C"/>
    <w:rsid w:val="000C554B"/>
    <w:rsid w:val="000F608E"/>
    <w:rsid w:val="0011526A"/>
    <w:rsid w:val="001569AC"/>
    <w:rsid w:val="001603BA"/>
    <w:rsid w:val="00181F7A"/>
    <w:rsid w:val="001C42A3"/>
    <w:rsid w:val="001F485F"/>
    <w:rsid w:val="001F675F"/>
    <w:rsid w:val="0021203E"/>
    <w:rsid w:val="002255C3"/>
    <w:rsid w:val="002828AA"/>
    <w:rsid w:val="00287EE4"/>
    <w:rsid w:val="002D0E43"/>
    <w:rsid w:val="002D51F1"/>
    <w:rsid w:val="002F27BA"/>
    <w:rsid w:val="00310EC7"/>
    <w:rsid w:val="0031453C"/>
    <w:rsid w:val="00334299"/>
    <w:rsid w:val="00341BC3"/>
    <w:rsid w:val="0034567C"/>
    <w:rsid w:val="00350F99"/>
    <w:rsid w:val="00367E60"/>
    <w:rsid w:val="00381F52"/>
    <w:rsid w:val="003A0C5A"/>
    <w:rsid w:val="003E3E44"/>
    <w:rsid w:val="004552B5"/>
    <w:rsid w:val="0048370C"/>
    <w:rsid w:val="0049035C"/>
    <w:rsid w:val="004B2A90"/>
    <w:rsid w:val="004C11BF"/>
    <w:rsid w:val="00563E58"/>
    <w:rsid w:val="00570428"/>
    <w:rsid w:val="005765DC"/>
    <w:rsid w:val="005F1128"/>
    <w:rsid w:val="00664AFE"/>
    <w:rsid w:val="00667466"/>
    <w:rsid w:val="00673542"/>
    <w:rsid w:val="006C3AEF"/>
    <w:rsid w:val="006C5B9B"/>
    <w:rsid w:val="006F05DA"/>
    <w:rsid w:val="00763DF0"/>
    <w:rsid w:val="007840F2"/>
    <w:rsid w:val="007B5D69"/>
    <w:rsid w:val="007D6538"/>
    <w:rsid w:val="008102CF"/>
    <w:rsid w:val="00857A4D"/>
    <w:rsid w:val="00861446"/>
    <w:rsid w:val="00863865"/>
    <w:rsid w:val="00883031"/>
    <w:rsid w:val="00890ABA"/>
    <w:rsid w:val="00891E33"/>
    <w:rsid w:val="008B32A1"/>
    <w:rsid w:val="00910413"/>
    <w:rsid w:val="00937335"/>
    <w:rsid w:val="0094623B"/>
    <w:rsid w:val="009878B4"/>
    <w:rsid w:val="009C6E3D"/>
    <w:rsid w:val="00A007A8"/>
    <w:rsid w:val="00A10C3D"/>
    <w:rsid w:val="00A5411A"/>
    <w:rsid w:val="00A57A81"/>
    <w:rsid w:val="00A724AF"/>
    <w:rsid w:val="00A74D94"/>
    <w:rsid w:val="00A94EB3"/>
    <w:rsid w:val="00AA74E8"/>
    <w:rsid w:val="00AE1561"/>
    <w:rsid w:val="00AE2EFF"/>
    <w:rsid w:val="00AF4FB3"/>
    <w:rsid w:val="00B70982"/>
    <w:rsid w:val="00BC2A99"/>
    <w:rsid w:val="00BD1AEC"/>
    <w:rsid w:val="00BE1DE8"/>
    <w:rsid w:val="00BE4459"/>
    <w:rsid w:val="00BE74A8"/>
    <w:rsid w:val="00C00443"/>
    <w:rsid w:val="00C30AD8"/>
    <w:rsid w:val="00CB4958"/>
    <w:rsid w:val="00D13C98"/>
    <w:rsid w:val="00D14955"/>
    <w:rsid w:val="00D24F9C"/>
    <w:rsid w:val="00D51F6A"/>
    <w:rsid w:val="00D674E1"/>
    <w:rsid w:val="00DA22AA"/>
    <w:rsid w:val="00DA2749"/>
    <w:rsid w:val="00DB5C10"/>
    <w:rsid w:val="00E12B75"/>
    <w:rsid w:val="00E52539"/>
    <w:rsid w:val="00E62C65"/>
    <w:rsid w:val="00E67046"/>
    <w:rsid w:val="00E8675D"/>
    <w:rsid w:val="00EC718D"/>
    <w:rsid w:val="00EE19BC"/>
    <w:rsid w:val="00EF3D02"/>
    <w:rsid w:val="00F23629"/>
    <w:rsid w:val="00F2546A"/>
    <w:rsid w:val="00F77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3EF94FE0-88C3-4097-8870-80850F017047}">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4</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cp:lastPrinted>2025-11-04T09:04:00Z</cp:lastPrinted>
  <dcterms:created xsi:type="dcterms:W3CDTF">2025-11-04T16:01:00Z</dcterms:created>
  <dcterms:modified xsi:type="dcterms:W3CDTF">2025-11-04T16:01:00Z</dcterms:modified>
</cp:coreProperties>
</file>