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申万菱信中证A500红利低波动指数型证券投资基金基金合同生效公告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2025年11月05日</w:t>
      </w:r>
      <w:bookmarkStart w:id="0" w:name="_GoBack"/>
      <w:bookmarkEnd w:id="0"/>
    </w:p>
    <w:p w:rsidR="00DF0636" w:rsidRDefault="00DF0636"/>
    <w:p w:rsidR="00DF0636" w:rsidRDefault="00F12DB3">
      <w:pPr>
        <w:pStyle w:val="2"/>
      </w:pPr>
      <w:r>
        <w:rPr>
          <w:rFonts w:ascii="宋体" w:hAnsi="宋体" w:cs="宋体"/>
        </w:rPr>
        <w:t>1 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1"/>
        <w:gridCol w:w="2786"/>
        <w:gridCol w:w="2929"/>
      </w:tblGrid>
      <w:tr w:rsidR="00F12DB3" w:rsidTr="00F12DB3">
        <w:tc>
          <w:tcPr>
            <w:tcW w:w="1923" w:type="pct"/>
            <w:vAlign w:val="center"/>
          </w:tcPr>
          <w:p w:rsidR="00DF0636" w:rsidRDefault="00F12DB3">
            <w:pPr>
              <w:spacing w:line="240" w:lineRule="auto"/>
              <w:jc w:val="left"/>
            </w:pPr>
            <w:r>
              <w:rPr>
                <w:rFonts w:ascii="宋体" w:hAnsi="宋体" w:cs="宋体"/>
              </w:rPr>
              <w:t>基金名称</w:t>
            </w:r>
          </w:p>
        </w:tc>
        <w:tc>
          <w:tcPr>
            <w:tcW w:w="3077" w:type="pct"/>
            <w:gridSpan w:val="2"/>
            <w:vAlign w:val="center"/>
          </w:tcPr>
          <w:p w:rsidR="00DF0636" w:rsidRDefault="00F12DB3">
            <w:pPr>
              <w:spacing w:line="240" w:lineRule="auto"/>
              <w:jc w:val="left"/>
            </w:pPr>
            <w:r>
              <w:rPr>
                <w:rFonts w:ascii="宋体" w:hAnsi="宋体" w:cs="宋体"/>
              </w:rPr>
              <w:t>申万菱信中证A500红利低波动指数型证券投资基金</w:t>
            </w:r>
          </w:p>
        </w:tc>
      </w:tr>
      <w:tr w:rsidR="00F12DB3" w:rsidTr="00F12DB3">
        <w:tc>
          <w:tcPr>
            <w:tcW w:w="0" w:type="dxa"/>
            <w:vAlign w:val="center"/>
          </w:tcPr>
          <w:p w:rsidR="00DF0636" w:rsidRDefault="00F12DB3">
            <w:pPr>
              <w:spacing w:line="240" w:lineRule="auto"/>
              <w:jc w:val="left"/>
            </w:pPr>
            <w:r>
              <w:rPr>
                <w:rFonts w:ascii="宋体" w:hAnsi="宋体" w:cs="宋体"/>
              </w:rPr>
              <w:t>基金简称</w:t>
            </w:r>
          </w:p>
        </w:tc>
        <w:tc>
          <w:tcPr>
            <w:tcW w:w="0" w:type="dxa"/>
            <w:gridSpan w:val="2"/>
            <w:vAlign w:val="center"/>
          </w:tcPr>
          <w:p w:rsidR="00DF0636" w:rsidRDefault="00F12DB3">
            <w:pPr>
              <w:spacing w:line="240" w:lineRule="auto"/>
              <w:jc w:val="left"/>
            </w:pPr>
            <w:r>
              <w:rPr>
                <w:rFonts w:ascii="宋体" w:hAnsi="宋体" w:cs="宋体"/>
              </w:rPr>
              <w:t>申万菱信中证A500红利低波动指数</w:t>
            </w:r>
          </w:p>
        </w:tc>
      </w:tr>
      <w:tr w:rsidR="00F12DB3" w:rsidTr="00F12DB3">
        <w:tc>
          <w:tcPr>
            <w:tcW w:w="0" w:type="dxa"/>
            <w:vAlign w:val="center"/>
          </w:tcPr>
          <w:p w:rsidR="00DF0636" w:rsidRDefault="00F12DB3">
            <w:pPr>
              <w:spacing w:line="240" w:lineRule="auto"/>
              <w:jc w:val="left"/>
            </w:pPr>
            <w:r>
              <w:rPr>
                <w:rFonts w:ascii="宋体" w:hAnsi="宋体" w:cs="宋体"/>
              </w:rPr>
              <w:t>基金主代码</w:t>
            </w:r>
          </w:p>
        </w:tc>
        <w:tc>
          <w:tcPr>
            <w:tcW w:w="0" w:type="dxa"/>
            <w:gridSpan w:val="2"/>
            <w:vAlign w:val="center"/>
          </w:tcPr>
          <w:p w:rsidR="00DF0636" w:rsidRDefault="00F12DB3">
            <w:pPr>
              <w:spacing w:line="240" w:lineRule="auto"/>
              <w:jc w:val="left"/>
            </w:pPr>
            <w:r>
              <w:rPr>
                <w:rFonts w:ascii="宋体" w:hAnsi="宋体" w:cs="宋体"/>
              </w:rPr>
              <w:t>025457</w:t>
            </w:r>
          </w:p>
        </w:tc>
      </w:tr>
      <w:tr w:rsidR="00F12DB3" w:rsidTr="00F12DB3">
        <w:tc>
          <w:tcPr>
            <w:tcW w:w="0" w:type="dxa"/>
            <w:vAlign w:val="center"/>
          </w:tcPr>
          <w:p w:rsidR="00DF0636" w:rsidRDefault="00F12DB3">
            <w:pPr>
              <w:spacing w:line="240" w:lineRule="auto"/>
              <w:jc w:val="left"/>
            </w:pPr>
            <w:r>
              <w:rPr>
                <w:rFonts w:ascii="宋体" w:hAnsi="宋体" w:cs="宋体"/>
              </w:rPr>
              <w:t>基金运作方式</w:t>
            </w:r>
          </w:p>
        </w:tc>
        <w:tc>
          <w:tcPr>
            <w:tcW w:w="0" w:type="dxa"/>
            <w:gridSpan w:val="2"/>
            <w:vAlign w:val="center"/>
          </w:tcPr>
          <w:p w:rsidR="00DF0636" w:rsidRDefault="00F12DB3">
            <w:pPr>
              <w:spacing w:line="240" w:lineRule="auto"/>
              <w:jc w:val="left"/>
            </w:pPr>
            <w:r>
              <w:rPr>
                <w:rFonts w:ascii="宋体" w:hAnsi="宋体" w:cs="宋体"/>
              </w:rPr>
              <w:t>契约型开放式</w:t>
            </w:r>
          </w:p>
        </w:tc>
      </w:tr>
      <w:tr w:rsidR="00F12DB3" w:rsidTr="00F12DB3">
        <w:tc>
          <w:tcPr>
            <w:tcW w:w="0" w:type="dxa"/>
            <w:vAlign w:val="center"/>
          </w:tcPr>
          <w:p w:rsidR="00DF0636" w:rsidRDefault="00F12DB3">
            <w:pPr>
              <w:spacing w:line="240" w:lineRule="auto"/>
              <w:jc w:val="left"/>
            </w:pPr>
            <w:r>
              <w:rPr>
                <w:rFonts w:ascii="宋体" w:hAnsi="宋体" w:cs="宋体"/>
              </w:rPr>
              <w:t>基金合同生效日</w:t>
            </w:r>
          </w:p>
        </w:tc>
        <w:tc>
          <w:tcPr>
            <w:tcW w:w="0" w:type="dxa"/>
            <w:gridSpan w:val="2"/>
            <w:vAlign w:val="center"/>
          </w:tcPr>
          <w:p w:rsidR="00DF0636" w:rsidRDefault="00F12DB3">
            <w:pPr>
              <w:spacing w:line="240" w:lineRule="auto"/>
              <w:jc w:val="left"/>
            </w:pPr>
            <w:r>
              <w:rPr>
                <w:rFonts w:ascii="宋体" w:hAnsi="宋体" w:cs="宋体"/>
              </w:rPr>
              <w:t>2025年11月04日</w:t>
            </w:r>
          </w:p>
        </w:tc>
      </w:tr>
      <w:tr w:rsidR="00F12DB3" w:rsidTr="00F12DB3">
        <w:tc>
          <w:tcPr>
            <w:tcW w:w="0" w:type="dxa"/>
            <w:vAlign w:val="center"/>
          </w:tcPr>
          <w:p w:rsidR="00DF0636" w:rsidRDefault="00F12DB3">
            <w:pPr>
              <w:spacing w:line="240" w:lineRule="auto"/>
              <w:jc w:val="left"/>
            </w:pPr>
            <w:r>
              <w:rPr>
                <w:rFonts w:ascii="宋体" w:hAnsi="宋体" w:cs="宋体"/>
              </w:rPr>
              <w:t>基金管理人名称</w:t>
            </w:r>
          </w:p>
        </w:tc>
        <w:tc>
          <w:tcPr>
            <w:tcW w:w="0" w:type="dxa"/>
            <w:gridSpan w:val="2"/>
            <w:vAlign w:val="center"/>
          </w:tcPr>
          <w:p w:rsidR="00DF0636" w:rsidRDefault="00F12DB3">
            <w:pPr>
              <w:spacing w:line="240" w:lineRule="auto"/>
              <w:jc w:val="left"/>
            </w:pPr>
            <w:r>
              <w:rPr>
                <w:rFonts w:ascii="宋体" w:hAnsi="宋体" w:cs="宋体"/>
              </w:rPr>
              <w:t>申万菱信基金管理有限公司</w:t>
            </w:r>
          </w:p>
        </w:tc>
      </w:tr>
      <w:tr w:rsidR="00F12DB3" w:rsidTr="00F12DB3">
        <w:tc>
          <w:tcPr>
            <w:tcW w:w="0" w:type="dxa"/>
            <w:vAlign w:val="center"/>
          </w:tcPr>
          <w:p w:rsidR="00DF0636" w:rsidRDefault="00F12DB3">
            <w:pPr>
              <w:spacing w:line="240" w:lineRule="auto"/>
              <w:jc w:val="left"/>
            </w:pPr>
            <w:r>
              <w:rPr>
                <w:rFonts w:ascii="宋体" w:hAnsi="宋体" w:cs="宋体"/>
              </w:rPr>
              <w:t>基金托管人名称</w:t>
            </w:r>
          </w:p>
        </w:tc>
        <w:tc>
          <w:tcPr>
            <w:tcW w:w="0" w:type="dxa"/>
            <w:gridSpan w:val="2"/>
            <w:vAlign w:val="center"/>
          </w:tcPr>
          <w:p w:rsidR="00DF0636" w:rsidRDefault="00F12DB3">
            <w:pPr>
              <w:spacing w:line="240" w:lineRule="auto"/>
              <w:jc w:val="left"/>
            </w:pPr>
            <w:r>
              <w:rPr>
                <w:rFonts w:ascii="宋体" w:hAnsi="宋体" w:cs="宋体"/>
              </w:rPr>
              <w:t>中国工商银行股份有限公司</w:t>
            </w:r>
          </w:p>
        </w:tc>
      </w:tr>
      <w:tr w:rsidR="00F12DB3" w:rsidTr="00F12DB3">
        <w:tc>
          <w:tcPr>
            <w:tcW w:w="0" w:type="dxa"/>
            <w:vAlign w:val="center"/>
          </w:tcPr>
          <w:p w:rsidR="00DF0636" w:rsidRDefault="00F12DB3">
            <w:pPr>
              <w:spacing w:line="240" w:lineRule="auto"/>
              <w:jc w:val="left"/>
            </w:pPr>
            <w:r>
              <w:rPr>
                <w:rFonts w:ascii="宋体" w:hAnsi="宋体" w:cs="宋体"/>
              </w:rPr>
              <w:t>公告依据</w:t>
            </w:r>
          </w:p>
        </w:tc>
        <w:tc>
          <w:tcPr>
            <w:tcW w:w="0" w:type="dxa"/>
            <w:gridSpan w:val="2"/>
            <w:vAlign w:val="center"/>
          </w:tcPr>
          <w:p w:rsidR="00DF0636" w:rsidRDefault="00F12DB3">
            <w:pPr>
              <w:spacing w:line="240" w:lineRule="auto"/>
              <w:jc w:val="left"/>
            </w:pPr>
            <w:r>
              <w:rPr>
                <w:rFonts w:ascii="宋体" w:hAnsi="宋体" w:cs="宋体"/>
              </w:rPr>
              <w:t>《中华人民共和国证券投资基金法》及其配套法规、《申万菱信中证A500红利低波动指数型证券投资基金基金合同》《申万菱信中证A500红利低波动指数型证券投资基金招募说明书》</w:t>
            </w:r>
          </w:p>
        </w:tc>
      </w:tr>
      <w:tr w:rsidR="00DF0636">
        <w:tc>
          <w:tcPr>
            <w:tcW w:w="1923" w:type="pct"/>
            <w:vAlign w:val="center"/>
          </w:tcPr>
          <w:p w:rsidR="00DF0636" w:rsidRDefault="00F12DB3">
            <w:pPr>
              <w:spacing w:line="240" w:lineRule="auto"/>
              <w:jc w:val="left"/>
            </w:pPr>
            <w:r>
              <w:rPr>
                <w:rFonts w:ascii="宋体" w:hAnsi="宋体" w:cs="宋体"/>
              </w:rPr>
              <w:t>下属分级基金的基金简称</w:t>
            </w:r>
          </w:p>
        </w:tc>
        <w:tc>
          <w:tcPr>
            <w:tcW w:w="1500" w:type="pct"/>
            <w:vAlign w:val="center"/>
          </w:tcPr>
          <w:p w:rsidR="00DF0636" w:rsidRDefault="00F12DB3">
            <w:pPr>
              <w:spacing w:line="240" w:lineRule="auto"/>
              <w:jc w:val="left"/>
            </w:pPr>
            <w:r>
              <w:rPr>
                <w:rFonts w:ascii="宋体" w:hAnsi="宋体" w:cs="宋体"/>
              </w:rPr>
              <w:t>申万菱信中证A500红利低波动指数A</w:t>
            </w:r>
          </w:p>
        </w:tc>
        <w:tc>
          <w:tcPr>
            <w:tcW w:w="1500" w:type="pct"/>
            <w:vAlign w:val="center"/>
          </w:tcPr>
          <w:p w:rsidR="00DF0636" w:rsidRDefault="00F12DB3">
            <w:pPr>
              <w:spacing w:line="240" w:lineRule="auto"/>
              <w:jc w:val="left"/>
            </w:pPr>
            <w:r>
              <w:rPr>
                <w:rFonts w:ascii="宋体" w:hAnsi="宋体" w:cs="宋体"/>
              </w:rPr>
              <w:t>申万菱信中证A500红利低波动指数C</w:t>
            </w:r>
          </w:p>
        </w:tc>
      </w:tr>
      <w:tr w:rsidR="00DF0636">
        <w:tc>
          <w:tcPr>
            <w:tcW w:w="0" w:type="dxa"/>
            <w:vAlign w:val="center"/>
          </w:tcPr>
          <w:p w:rsidR="00DF0636" w:rsidRDefault="00F12DB3">
            <w:pPr>
              <w:spacing w:line="240" w:lineRule="auto"/>
              <w:jc w:val="left"/>
            </w:pPr>
            <w:r>
              <w:rPr>
                <w:rFonts w:ascii="宋体" w:hAnsi="宋体" w:cs="宋体"/>
              </w:rPr>
              <w:t>下属分级基金的交易代码</w:t>
            </w:r>
          </w:p>
        </w:tc>
        <w:tc>
          <w:tcPr>
            <w:tcW w:w="1500" w:type="pct"/>
            <w:vAlign w:val="center"/>
          </w:tcPr>
          <w:p w:rsidR="00DF0636" w:rsidRDefault="00F12DB3">
            <w:pPr>
              <w:spacing w:line="240" w:lineRule="auto"/>
              <w:jc w:val="left"/>
            </w:pPr>
            <w:r>
              <w:rPr>
                <w:rFonts w:ascii="宋体" w:hAnsi="宋体" w:cs="宋体"/>
              </w:rPr>
              <w:t>025457</w:t>
            </w:r>
          </w:p>
        </w:tc>
        <w:tc>
          <w:tcPr>
            <w:tcW w:w="1500" w:type="pct"/>
            <w:vAlign w:val="center"/>
          </w:tcPr>
          <w:p w:rsidR="00DF0636" w:rsidRDefault="00F12DB3">
            <w:pPr>
              <w:spacing w:line="240" w:lineRule="auto"/>
              <w:jc w:val="left"/>
            </w:pPr>
            <w:r>
              <w:rPr>
                <w:rFonts w:ascii="宋体" w:hAnsi="宋体" w:cs="宋体"/>
              </w:rPr>
              <w:t>025458</w:t>
            </w:r>
          </w:p>
        </w:tc>
      </w:tr>
    </w:tbl>
    <w:p w:rsidR="00DF0636" w:rsidRDefault="00DF0636"/>
    <w:p w:rsidR="00DF0636" w:rsidRDefault="00F12DB3">
      <w:pPr>
        <w:pStyle w:val="2"/>
      </w:pPr>
      <w:r>
        <w:rPr>
          <w:rFonts w:ascii="宋体" w:hAnsi="宋体" w:cs="宋体"/>
        </w:rPr>
        <w:t>2 基金募集情况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8"/>
        <w:gridCol w:w="1857"/>
        <w:gridCol w:w="1857"/>
        <w:gridCol w:w="1857"/>
        <w:gridCol w:w="1857"/>
      </w:tblGrid>
      <w:tr w:rsidR="00F12DB3" w:rsidTr="00F12DB3">
        <w:tc>
          <w:tcPr>
            <w:tcW w:w="2000" w:type="pct"/>
            <w:gridSpan w:val="2"/>
            <w:vAlign w:val="center"/>
          </w:tcPr>
          <w:p w:rsidR="00DF0636" w:rsidRDefault="00F12DB3">
            <w:pPr>
              <w:spacing w:line="240" w:lineRule="auto"/>
              <w:jc w:val="left"/>
            </w:pPr>
            <w:r>
              <w:rPr>
                <w:rFonts w:ascii="宋体" w:hAnsi="宋体" w:cs="宋体"/>
              </w:rPr>
              <w:t>基金募集申请获中国证监会核准的文号</w:t>
            </w:r>
          </w:p>
        </w:tc>
        <w:tc>
          <w:tcPr>
            <w:tcW w:w="0" w:type="dxa"/>
            <w:gridSpan w:val="3"/>
            <w:vAlign w:val="center"/>
          </w:tcPr>
          <w:p w:rsidR="00DF0636" w:rsidRDefault="00F12DB3">
            <w:pPr>
              <w:spacing w:line="240" w:lineRule="auto"/>
              <w:jc w:val="left"/>
            </w:pPr>
            <w:r>
              <w:rPr>
                <w:rFonts w:ascii="宋体" w:hAnsi="宋体" w:cs="宋体"/>
              </w:rPr>
              <w:t>证监许可〔2025〕1838号</w:t>
            </w:r>
          </w:p>
        </w:tc>
      </w:tr>
      <w:tr w:rsidR="00F12DB3" w:rsidTr="00F12DB3">
        <w:tc>
          <w:tcPr>
            <w:tcW w:w="0" w:type="dxa"/>
            <w:gridSpan w:val="2"/>
            <w:vAlign w:val="center"/>
          </w:tcPr>
          <w:p w:rsidR="00DF0636" w:rsidRDefault="00F12DB3">
            <w:pPr>
              <w:spacing w:line="240" w:lineRule="auto"/>
              <w:jc w:val="left"/>
            </w:pPr>
            <w:r>
              <w:rPr>
                <w:rFonts w:ascii="宋体" w:hAnsi="宋体" w:cs="宋体"/>
              </w:rPr>
              <w:t>基金募集期间</w:t>
            </w:r>
          </w:p>
        </w:tc>
        <w:tc>
          <w:tcPr>
            <w:tcW w:w="0" w:type="dxa"/>
            <w:gridSpan w:val="3"/>
            <w:vAlign w:val="center"/>
          </w:tcPr>
          <w:p w:rsidR="00DF0636" w:rsidRDefault="00F12DB3">
            <w:pPr>
              <w:spacing w:line="240" w:lineRule="auto"/>
            </w:pPr>
            <w:r>
              <w:rPr>
                <w:rFonts w:ascii="宋体" w:hAnsi="宋体" w:cs="宋体"/>
              </w:rPr>
              <w:t>自2025年10月13日至2025年10月31日止</w:t>
            </w:r>
          </w:p>
        </w:tc>
      </w:tr>
      <w:tr w:rsidR="00F12DB3" w:rsidTr="00F12DB3">
        <w:tc>
          <w:tcPr>
            <w:tcW w:w="0" w:type="dxa"/>
            <w:gridSpan w:val="2"/>
            <w:vAlign w:val="center"/>
          </w:tcPr>
          <w:p w:rsidR="00DF0636" w:rsidRDefault="00F12DB3">
            <w:pPr>
              <w:spacing w:line="240" w:lineRule="auto"/>
              <w:jc w:val="left"/>
            </w:pPr>
            <w:r>
              <w:rPr>
                <w:rFonts w:ascii="宋体" w:hAnsi="宋体" w:cs="宋体"/>
              </w:rPr>
              <w:t>验资机构名称</w:t>
            </w:r>
          </w:p>
        </w:tc>
        <w:tc>
          <w:tcPr>
            <w:tcW w:w="0" w:type="dxa"/>
            <w:gridSpan w:val="3"/>
            <w:vAlign w:val="center"/>
          </w:tcPr>
          <w:p w:rsidR="00DF0636" w:rsidRDefault="00F12DB3">
            <w:pPr>
              <w:spacing w:line="240" w:lineRule="auto"/>
            </w:pPr>
            <w:r>
              <w:rPr>
                <w:rFonts w:ascii="宋体" w:hAnsi="宋体" w:cs="宋体"/>
              </w:rPr>
              <w:t>毕马威华振会计师事务所（特殊普通合伙）</w:t>
            </w:r>
          </w:p>
        </w:tc>
      </w:tr>
      <w:tr w:rsidR="00F12DB3" w:rsidTr="00F12DB3">
        <w:tc>
          <w:tcPr>
            <w:tcW w:w="0" w:type="dxa"/>
            <w:gridSpan w:val="2"/>
            <w:vAlign w:val="center"/>
          </w:tcPr>
          <w:p w:rsidR="00DF0636" w:rsidRDefault="00F12DB3">
            <w:pPr>
              <w:spacing w:line="240" w:lineRule="auto"/>
              <w:jc w:val="left"/>
            </w:pPr>
            <w:r>
              <w:rPr>
                <w:rFonts w:ascii="宋体" w:hAnsi="宋体" w:cs="宋体"/>
              </w:rPr>
              <w:t>募集资金划入基金托管专户的日期</w:t>
            </w:r>
          </w:p>
        </w:tc>
        <w:tc>
          <w:tcPr>
            <w:tcW w:w="0" w:type="dxa"/>
            <w:gridSpan w:val="3"/>
            <w:vAlign w:val="center"/>
          </w:tcPr>
          <w:p w:rsidR="00DF0636" w:rsidRDefault="00F12DB3">
            <w:pPr>
              <w:spacing w:line="240" w:lineRule="auto"/>
            </w:pPr>
            <w:r>
              <w:rPr>
                <w:rFonts w:ascii="宋体" w:hAnsi="宋体" w:cs="宋体"/>
              </w:rPr>
              <w:t>2025年11月04日</w:t>
            </w:r>
          </w:p>
        </w:tc>
      </w:tr>
      <w:tr w:rsidR="00F12DB3" w:rsidTr="00F12DB3">
        <w:tc>
          <w:tcPr>
            <w:tcW w:w="0" w:type="dxa"/>
            <w:gridSpan w:val="2"/>
            <w:vAlign w:val="center"/>
          </w:tcPr>
          <w:p w:rsidR="00DF0636" w:rsidRDefault="00F12DB3">
            <w:pPr>
              <w:spacing w:line="240" w:lineRule="auto"/>
              <w:jc w:val="left"/>
            </w:pPr>
            <w:r>
              <w:rPr>
                <w:rFonts w:ascii="宋体" w:hAnsi="宋体" w:cs="宋体"/>
              </w:rPr>
              <w:t>募集有效认购总户数（单位：户）</w:t>
            </w:r>
          </w:p>
        </w:tc>
        <w:tc>
          <w:tcPr>
            <w:tcW w:w="0" w:type="dxa"/>
            <w:gridSpan w:val="3"/>
            <w:vAlign w:val="center"/>
          </w:tcPr>
          <w:p w:rsidR="00DF0636" w:rsidRDefault="00F12DB3">
            <w:pPr>
              <w:spacing w:line="240" w:lineRule="auto"/>
              <w:jc w:val="left"/>
            </w:pPr>
            <w:r>
              <w:rPr>
                <w:rFonts w:ascii="宋体" w:hAnsi="宋体" w:cs="宋体"/>
              </w:rPr>
              <w:t>3,702</w:t>
            </w:r>
          </w:p>
        </w:tc>
      </w:tr>
      <w:tr w:rsidR="00F12DB3" w:rsidTr="00F12DB3">
        <w:tc>
          <w:tcPr>
            <w:tcW w:w="2000" w:type="pct"/>
            <w:gridSpan w:val="2"/>
            <w:vAlign w:val="center"/>
          </w:tcPr>
          <w:p w:rsidR="00DF0636" w:rsidRDefault="00F12DB3">
            <w:pPr>
              <w:spacing w:line="240" w:lineRule="auto"/>
              <w:jc w:val="left"/>
            </w:pPr>
            <w:r>
              <w:rPr>
                <w:rFonts w:ascii="宋体" w:hAnsi="宋体" w:cs="宋体"/>
              </w:rPr>
              <w:t xml:space="preserve">份额级别 </w:t>
            </w:r>
          </w:p>
        </w:tc>
        <w:tc>
          <w:tcPr>
            <w:tcW w:w="1000" w:type="pct"/>
            <w:vAlign w:val="center"/>
          </w:tcPr>
          <w:p w:rsidR="00DF0636" w:rsidRDefault="00F12DB3">
            <w:pPr>
              <w:spacing w:line="240" w:lineRule="auto"/>
              <w:jc w:val="center"/>
            </w:pPr>
            <w:r>
              <w:rPr>
                <w:rFonts w:ascii="宋体" w:hAnsi="宋体" w:cs="宋体"/>
              </w:rPr>
              <w:t>申万菱信中证A500红利低波动指数A</w:t>
            </w:r>
          </w:p>
        </w:tc>
        <w:tc>
          <w:tcPr>
            <w:tcW w:w="1000" w:type="pct"/>
            <w:vAlign w:val="center"/>
          </w:tcPr>
          <w:p w:rsidR="00DF0636" w:rsidRDefault="00F12DB3">
            <w:pPr>
              <w:spacing w:line="240" w:lineRule="auto"/>
              <w:jc w:val="center"/>
            </w:pPr>
            <w:r>
              <w:rPr>
                <w:rFonts w:ascii="宋体" w:hAnsi="宋体" w:cs="宋体"/>
              </w:rPr>
              <w:t>申万菱信中证A500红利低波动指数C</w:t>
            </w:r>
          </w:p>
        </w:tc>
        <w:tc>
          <w:tcPr>
            <w:tcW w:w="1000" w:type="pct"/>
            <w:vAlign w:val="center"/>
          </w:tcPr>
          <w:p w:rsidR="00DF0636" w:rsidRDefault="00F12DB3">
            <w:pPr>
              <w:spacing w:line="240" w:lineRule="auto"/>
              <w:jc w:val="center"/>
            </w:pPr>
            <w:r>
              <w:rPr>
                <w:rFonts w:ascii="宋体" w:hAnsi="宋体" w:cs="宋体"/>
              </w:rPr>
              <w:t>合计</w:t>
            </w:r>
          </w:p>
        </w:tc>
      </w:tr>
      <w:tr w:rsidR="00F12DB3" w:rsidTr="00F12DB3">
        <w:tc>
          <w:tcPr>
            <w:tcW w:w="0" w:type="dxa"/>
            <w:gridSpan w:val="2"/>
            <w:vAlign w:val="center"/>
          </w:tcPr>
          <w:p w:rsidR="00DF0636" w:rsidRDefault="00F12DB3">
            <w:pPr>
              <w:spacing w:line="240" w:lineRule="auto"/>
              <w:jc w:val="left"/>
            </w:pPr>
            <w:r>
              <w:rPr>
                <w:rFonts w:ascii="宋体" w:hAnsi="宋体" w:cs="宋体"/>
              </w:rPr>
              <w:t>募集期间净认购金额（单位：人民币元）</w:t>
            </w:r>
          </w:p>
        </w:tc>
        <w:tc>
          <w:tcPr>
            <w:tcW w:w="1000" w:type="pct"/>
            <w:vAlign w:val="center"/>
          </w:tcPr>
          <w:p w:rsidR="00DF0636" w:rsidRDefault="00F12DB3">
            <w:pPr>
              <w:spacing w:line="240" w:lineRule="auto"/>
              <w:jc w:val="right"/>
            </w:pPr>
            <w:r>
              <w:rPr>
                <w:rFonts w:ascii="宋体" w:hAnsi="宋体" w:cs="宋体"/>
              </w:rPr>
              <w:t>705,572,073.58</w:t>
            </w:r>
          </w:p>
        </w:tc>
        <w:tc>
          <w:tcPr>
            <w:tcW w:w="1000" w:type="pct"/>
            <w:vAlign w:val="center"/>
          </w:tcPr>
          <w:p w:rsidR="00DF0636" w:rsidRDefault="00F12DB3">
            <w:pPr>
              <w:spacing w:line="240" w:lineRule="auto"/>
              <w:jc w:val="right"/>
            </w:pPr>
            <w:r>
              <w:rPr>
                <w:rFonts w:ascii="宋体" w:hAnsi="宋体" w:cs="宋体"/>
              </w:rPr>
              <w:t>108,523,641.32</w:t>
            </w:r>
          </w:p>
        </w:tc>
        <w:tc>
          <w:tcPr>
            <w:tcW w:w="1000" w:type="pct"/>
            <w:vAlign w:val="center"/>
          </w:tcPr>
          <w:p w:rsidR="00DF0636" w:rsidRDefault="00F12DB3">
            <w:pPr>
              <w:spacing w:line="240" w:lineRule="auto"/>
              <w:jc w:val="right"/>
            </w:pPr>
            <w:r>
              <w:rPr>
                <w:rFonts w:ascii="宋体" w:hAnsi="宋体" w:cs="宋体"/>
              </w:rPr>
              <w:t>814,095,714.90</w:t>
            </w:r>
          </w:p>
        </w:tc>
      </w:tr>
      <w:tr w:rsidR="00F12DB3" w:rsidTr="00F12DB3">
        <w:tc>
          <w:tcPr>
            <w:tcW w:w="0" w:type="dxa"/>
            <w:gridSpan w:val="2"/>
            <w:vAlign w:val="center"/>
          </w:tcPr>
          <w:p w:rsidR="00DF0636" w:rsidRDefault="00F12DB3">
            <w:pPr>
              <w:spacing w:line="240" w:lineRule="auto"/>
              <w:jc w:val="left"/>
            </w:pPr>
            <w:r>
              <w:rPr>
                <w:rFonts w:ascii="宋体" w:hAnsi="宋体" w:cs="宋体"/>
              </w:rPr>
              <w:t>认购资金在募集期间产生的利息（单位：人民币元）</w:t>
            </w:r>
          </w:p>
        </w:tc>
        <w:tc>
          <w:tcPr>
            <w:tcW w:w="1000" w:type="pct"/>
            <w:vAlign w:val="center"/>
          </w:tcPr>
          <w:p w:rsidR="00DF0636" w:rsidRDefault="00F12DB3">
            <w:pPr>
              <w:spacing w:line="240" w:lineRule="auto"/>
              <w:jc w:val="right"/>
            </w:pPr>
            <w:r>
              <w:rPr>
                <w:rFonts w:ascii="宋体" w:hAnsi="宋体" w:cs="宋体"/>
              </w:rPr>
              <w:t>382,088.70</w:t>
            </w:r>
          </w:p>
        </w:tc>
        <w:tc>
          <w:tcPr>
            <w:tcW w:w="1000" w:type="pct"/>
            <w:vAlign w:val="center"/>
          </w:tcPr>
          <w:p w:rsidR="00DF0636" w:rsidRDefault="00F12DB3">
            <w:pPr>
              <w:spacing w:line="240" w:lineRule="auto"/>
              <w:jc w:val="right"/>
            </w:pPr>
            <w:r>
              <w:rPr>
                <w:rFonts w:ascii="宋体" w:hAnsi="宋体" w:cs="宋体"/>
              </w:rPr>
              <w:t>24,483.92</w:t>
            </w:r>
          </w:p>
        </w:tc>
        <w:tc>
          <w:tcPr>
            <w:tcW w:w="1000" w:type="pct"/>
            <w:vAlign w:val="center"/>
          </w:tcPr>
          <w:p w:rsidR="00DF0636" w:rsidRDefault="00F12DB3">
            <w:pPr>
              <w:spacing w:line="240" w:lineRule="auto"/>
              <w:jc w:val="right"/>
            </w:pPr>
            <w:r>
              <w:rPr>
                <w:rFonts w:ascii="宋体" w:hAnsi="宋体" w:cs="宋体"/>
              </w:rPr>
              <w:t>406,572.62</w:t>
            </w:r>
          </w:p>
        </w:tc>
      </w:tr>
      <w:tr w:rsidR="00DF0636">
        <w:tc>
          <w:tcPr>
            <w:tcW w:w="1000" w:type="pct"/>
            <w:vMerge w:val="restart"/>
            <w:vAlign w:val="center"/>
          </w:tcPr>
          <w:p w:rsidR="00DF0636" w:rsidRDefault="00F12DB3">
            <w:pPr>
              <w:spacing w:line="240" w:lineRule="auto"/>
              <w:jc w:val="left"/>
            </w:pPr>
            <w:r>
              <w:rPr>
                <w:rFonts w:ascii="宋体" w:hAnsi="宋体" w:cs="宋体"/>
              </w:rPr>
              <w:t>募集份额（单位：份 ）</w:t>
            </w:r>
          </w:p>
        </w:tc>
        <w:tc>
          <w:tcPr>
            <w:tcW w:w="1000" w:type="pct"/>
            <w:vAlign w:val="center"/>
          </w:tcPr>
          <w:p w:rsidR="00DF0636" w:rsidRDefault="00F12DB3">
            <w:pPr>
              <w:spacing w:line="240" w:lineRule="auto"/>
            </w:pPr>
            <w:r>
              <w:rPr>
                <w:rFonts w:ascii="宋体" w:hAnsi="宋体" w:cs="宋体"/>
              </w:rPr>
              <w:t>有效认购份额</w:t>
            </w:r>
          </w:p>
        </w:tc>
        <w:tc>
          <w:tcPr>
            <w:tcW w:w="1000" w:type="pct"/>
            <w:vAlign w:val="center"/>
          </w:tcPr>
          <w:p w:rsidR="00DF0636" w:rsidRDefault="00F12DB3">
            <w:pPr>
              <w:spacing w:line="240" w:lineRule="auto"/>
              <w:jc w:val="right"/>
            </w:pPr>
            <w:r>
              <w:rPr>
                <w:rFonts w:ascii="宋体" w:hAnsi="宋体" w:cs="宋体"/>
              </w:rPr>
              <w:t>705,572,073.58</w:t>
            </w:r>
          </w:p>
        </w:tc>
        <w:tc>
          <w:tcPr>
            <w:tcW w:w="1000" w:type="pct"/>
            <w:vAlign w:val="center"/>
          </w:tcPr>
          <w:p w:rsidR="00DF0636" w:rsidRDefault="00F12DB3">
            <w:pPr>
              <w:spacing w:line="240" w:lineRule="auto"/>
              <w:jc w:val="right"/>
            </w:pPr>
            <w:r>
              <w:rPr>
                <w:rFonts w:ascii="宋体" w:hAnsi="宋体" w:cs="宋体"/>
              </w:rPr>
              <w:t>108,523,641.32</w:t>
            </w:r>
          </w:p>
        </w:tc>
        <w:tc>
          <w:tcPr>
            <w:tcW w:w="1000" w:type="pct"/>
            <w:vAlign w:val="center"/>
          </w:tcPr>
          <w:p w:rsidR="00DF0636" w:rsidRDefault="00F12DB3">
            <w:pPr>
              <w:spacing w:line="240" w:lineRule="auto"/>
              <w:jc w:val="right"/>
            </w:pPr>
            <w:r>
              <w:rPr>
                <w:rFonts w:ascii="宋体" w:hAnsi="宋体" w:cs="宋体"/>
              </w:rPr>
              <w:t>814,095,714.90</w:t>
            </w:r>
          </w:p>
        </w:tc>
      </w:tr>
      <w:tr w:rsidR="00DF0636">
        <w:tc>
          <w:tcPr>
            <w:tcW w:w="0" w:type="auto"/>
            <w:vMerge/>
          </w:tcPr>
          <w:p w:rsidR="00DF0636" w:rsidRDefault="00DF0636"/>
        </w:tc>
        <w:tc>
          <w:tcPr>
            <w:tcW w:w="0" w:type="dxa"/>
            <w:vAlign w:val="center"/>
          </w:tcPr>
          <w:p w:rsidR="00DF0636" w:rsidRDefault="00F12DB3">
            <w:pPr>
              <w:spacing w:line="240" w:lineRule="auto"/>
            </w:pPr>
            <w:r>
              <w:rPr>
                <w:rFonts w:ascii="宋体" w:hAnsi="宋体" w:cs="宋体"/>
              </w:rPr>
              <w:t>利息结转的份额</w:t>
            </w:r>
          </w:p>
        </w:tc>
        <w:tc>
          <w:tcPr>
            <w:tcW w:w="1000" w:type="pct"/>
            <w:vAlign w:val="center"/>
          </w:tcPr>
          <w:p w:rsidR="00DF0636" w:rsidRDefault="00F12DB3">
            <w:pPr>
              <w:spacing w:line="240" w:lineRule="auto"/>
              <w:jc w:val="right"/>
            </w:pPr>
            <w:r>
              <w:rPr>
                <w:rFonts w:ascii="宋体" w:hAnsi="宋体" w:cs="宋体"/>
              </w:rPr>
              <w:t>382,088.70</w:t>
            </w:r>
          </w:p>
        </w:tc>
        <w:tc>
          <w:tcPr>
            <w:tcW w:w="1000" w:type="pct"/>
            <w:vAlign w:val="center"/>
          </w:tcPr>
          <w:p w:rsidR="00DF0636" w:rsidRDefault="00F12DB3">
            <w:pPr>
              <w:spacing w:line="240" w:lineRule="auto"/>
              <w:jc w:val="right"/>
            </w:pPr>
            <w:r>
              <w:rPr>
                <w:rFonts w:ascii="宋体" w:hAnsi="宋体" w:cs="宋体"/>
              </w:rPr>
              <w:t>24,483.92</w:t>
            </w:r>
          </w:p>
        </w:tc>
        <w:tc>
          <w:tcPr>
            <w:tcW w:w="1000" w:type="pct"/>
            <w:vAlign w:val="center"/>
          </w:tcPr>
          <w:p w:rsidR="00DF0636" w:rsidRDefault="00F12DB3">
            <w:pPr>
              <w:spacing w:line="240" w:lineRule="auto"/>
              <w:jc w:val="right"/>
            </w:pPr>
            <w:r>
              <w:rPr>
                <w:rFonts w:ascii="宋体" w:hAnsi="宋体" w:cs="宋体"/>
              </w:rPr>
              <w:t>406,572.62</w:t>
            </w:r>
          </w:p>
        </w:tc>
      </w:tr>
      <w:tr w:rsidR="00DF0636">
        <w:tc>
          <w:tcPr>
            <w:tcW w:w="0" w:type="auto"/>
            <w:vMerge/>
          </w:tcPr>
          <w:p w:rsidR="00DF0636" w:rsidRDefault="00DF0636"/>
        </w:tc>
        <w:tc>
          <w:tcPr>
            <w:tcW w:w="0" w:type="dxa"/>
            <w:vAlign w:val="center"/>
          </w:tcPr>
          <w:p w:rsidR="00DF0636" w:rsidRDefault="00F12DB3">
            <w:pPr>
              <w:spacing w:line="240" w:lineRule="auto"/>
            </w:pPr>
            <w:r>
              <w:rPr>
                <w:rFonts w:ascii="宋体" w:hAnsi="宋体" w:cs="宋体"/>
              </w:rPr>
              <w:t>合计</w:t>
            </w:r>
          </w:p>
        </w:tc>
        <w:tc>
          <w:tcPr>
            <w:tcW w:w="1000" w:type="pct"/>
            <w:vAlign w:val="center"/>
          </w:tcPr>
          <w:p w:rsidR="00DF0636" w:rsidRDefault="00F12DB3">
            <w:pPr>
              <w:spacing w:line="240" w:lineRule="auto"/>
              <w:jc w:val="right"/>
            </w:pPr>
            <w:r>
              <w:rPr>
                <w:rFonts w:ascii="宋体" w:hAnsi="宋体" w:cs="宋体"/>
              </w:rPr>
              <w:t>705,954,162.28</w:t>
            </w:r>
          </w:p>
        </w:tc>
        <w:tc>
          <w:tcPr>
            <w:tcW w:w="1000" w:type="pct"/>
            <w:vAlign w:val="center"/>
          </w:tcPr>
          <w:p w:rsidR="00DF0636" w:rsidRDefault="00F12DB3">
            <w:pPr>
              <w:spacing w:line="240" w:lineRule="auto"/>
              <w:jc w:val="right"/>
            </w:pPr>
            <w:r>
              <w:rPr>
                <w:rFonts w:ascii="宋体" w:hAnsi="宋体" w:cs="宋体"/>
              </w:rPr>
              <w:t>108,548,125.24</w:t>
            </w:r>
          </w:p>
        </w:tc>
        <w:tc>
          <w:tcPr>
            <w:tcW w:w="1000" w:type="pct"/>
            <w:vAlign w:val="center"/>
          </w:tcPr>
          <w:p w:rsidR="00DF0636" w:rsidRDefault="00F12DB3">
            <w:pPr>
              <w:spacing w:line="240" w:lineRule="auto"/>
              <w:jc w:val="right"/>
            </w:pPr>
            <w:r>
              <w:rPr>
                <w:rFonts w:ascii="宋体" w:hAnsi="宋体" w:cs="宋体"/>
              </w:rPr>
              <w:t>814,502,287.52</w:t>
            </w:r>
          </w:p>
        </w:tc>
      </w:tr>
      <w:tr w:rsidR="00DF0636">
        <w:tc>
          <w:tcPr>
            <w:tcW w:w="0" w:type="dxa"/>
            <w:vMerge w:val="restart"/>
            <w:vAlign w:val="center"/>
          </w:tcPr>
          <w:p w:rsidR="00DF0636" w:rsidRDefault="00F12DB3">
            <w:pPr>
              <w:spacing w:line="240" w:lineRule="auto"/>
              <w:jc w:val="left"/>
            </w:pPr>
            <w:r>
              <w:rPr>
                <w:rFonts w:ascii="宋体" w:hAnsi="宋体" w:cs="宋体"/>
              </w:rPr>
              <w:t>其中：募集期间基金管理人运用固有资金认购本基金情况</w:t>
            </w:r>
          </w:p>
        </w:tc>
        <w:tc>
          <w:tcPr>
            <w:tcW w:w="0" w:type="dxa"/>
            <w:vAlign w:val="center"/>
          </w:tcPr>
          <w:p w:rsidR="00DF0636" w:rsidRDefault="00F12DB3">
            <w:pPr>
              <w:spacing w:line="240" w:lineRule="auto"/>
            </w:pPr>
            <w:r>
              <w:rPr>
                <w:rFonts w:ascii="宋体" w:hAnsi="宋体" w:cs="宋体"/>
              </w:rPr>
              <w:t>认购的基金份额 （单位：份 ）</w:t>
            </w:r>
          </w:p>
        </w:tc>
        <w:tc>
          <w:tcPr>
            <w:tcW w:w="1000" w:type="pct"/>
            <w:vAlign w:val="center"/>
          </w:tcPr>
          <w:p w:rsidR="00DF0636" w:rsidRDefault="00F12DB3">
            <w:pPr>
              <w:spacing w:line="240" w:lineRule="auto"/>
              <w:jc w:val="right"/>
            </w:pPr>
            <w:r>
              <w:rPr>
                <w:rFonts w:ascii="宋体" w:hAnsi="宋体" w:cs="宋体"/>
              </w:rPr>
              <w:t>-</w:t>
            </w:r>
          </w:p>
        </w:tc>
        <w:tc>
          <w:tcPr>
            <w:tcW w:w="1000" w:type="pct"/>
            <w:vAlign w:val="center"/>
          </w:tcPr>
          <w:p w:rsidR="00DF0636" w:rsidRDefault="00F12DB3">
            <w:pPr>
              <w:spacing w:line="240" w:lineRule="auto"/>
              <w:jc w:val="right"/>
            </w:pPr>
            <w:r>
              <w:rPr>
                <w:rFonts w:ascii="宋体" w:hAnsi="宋体" w:cs="宋体"/>
              </w:rPr>
              <w:t>-</w:t>
            </w:r>
          </w:p>
        </w:tc>
        <w:tc>
          <w:tcPr>
            <w:tcW w:w="1000" w:type="pct"/>
            <w:vAlign w:val="center"/>
          </w:tcPr>
          <w:p w:rsidR="00DF0636" w:rsidRDefault="00F12DB3">
            <w:pPr>
              <w:spacing w:line="240" w:lineRule="auto"/>
              <w:jc w:val="right"/>
            </w:pPr>
            <w:r>
              <w:rPr>
                <w:rFonts w:ascii="宋体" w:hAnsi="宋体" w:cs="宋体"/>
              </w:rPr>
              <w:t>-</w:t>
            </w:r>
          </w:p>
        </w:tc>
      </w:tr>
      <w:tr w:rsidR="00DF0636">
        <w:tc>
          <w:tcPr>
            <w:tcW w:w="0" w:type="auto"/>
            <w:vMerge/>
          </w:tcPr>
          <w:p w:rsidR="00DF0636" w:rsidRDefault="00DF0636"/>
        </w:tc>
        <w:tc>
          <w:tcPr>
            <w:tcW w:w="0" w:type="dxa"/>
            <w:vAlign w:val="center"/>
          </w:tcPr>
          <w:p w:rsidR="00DF0636" w:rsidRDefault="00F12DB3">
            <w:pPr>
              <w:spacing w:line="240" w:lineRule="auto"/>
            </w:pPr>
            <w:r>
              <w:rPr>
                <w:rFonts w:ascii="宋体" w:hAnsi="宋体" w:cs="宋体"/>
              </w:rPr>
              <w:t>占基金总份额比例</w:t>
            </w:r>
          </w:p>
        </w:tc>
        <w:tc>
          <w:tcPr>
            <w:tcW w:w="1000" w:type="pct"/>
            <w:vAlign w:val="center"/>
          </w:tcPr>
          <w:p w:rsidR="00DF0636" w:rsidRDefault="00F12DB3">
            <w:pPr>
              <w:spacing w:line="240" w:lineRule="auto"/>
              <w:jc w:val="right"/>
            </w:pPr>
            <w:r>
              <w:rPr>
                <w:rFonts w:ascii="宋体" w:hAnsi="宋体" w:cs="宋体"/>
              </w:rPr>
              <w:t>-</w:t>
            </w:r>
          </w:p>
        </w:tc>
        <w:tc>
          <w:tcPr>
            <w:tcW w:w="1000" w:type="pct"/>
            <w:vAlign w:val="center"/>
          </w:tcPr>
          <w:p w:rsidR="00DF0636" w:rsidRDefault="00F12DB3">
            <w:pPr>
              <w:spacing w:line="240" w:lineRule="auto"/>
              <w:jc w:val="right"/>
            </w:pPr>
            <w:r>
              <w:rPr>
                <w:rFonts w:ascii="宋体" w:hAnsi="宋体" w:cs="宋体"/>
              </w:rPr>
              <w:t>-</w:t>
            </w:r>
          </w:p>
        </w:tc>
        <w:tc>
          <w:tcPr>
            <w:tcW w:w="1000" w:type="pct"/>
            <w:vAlign w:val="center"/>
          </w:tcPr>
          <w:p w:rsidR="00DF0636" w:rsidRDefault="00F12DB3">
            <w:pPr>
              <w:spacing w:line="240" w:lineRule="auto"/>
              <w:jc w:val="right"/>
            </w:pPr>
            <w:r>
              <w:rPr>
                <w:rFonts w:ascii="宋体" w:hAnsi="宋体" w:cs="宋体"/>
              </w:rPr>
              <w:t>-</w:t>
            </w:r>
          </w:p>
        </w:tc>
      </w:tr>
      <w:tr w:rsidR="00DF0636">
        <w:tc>
          <w:tcPr>
            <w:tcW w:w="0" w:type="auto"/>
            <w:vMerge/>
          </w:tcPr>
          <w:p w:rsidR="00DF0636" w:rsidRDefault="00DF0636"/>
        </w:tc>
        <w:tc>
          <w:tcPr>
            <w:tcW w:w="0" w:type="dxa"/>
            <w:vAlign w:val="center"/>
          </w:tcPr>
          <w:p w:rsidR="00DF0636" w:rsidRDefault="00F12DB3">
            <w:pPr>
              <w:spacing w:line="240" w:lineRule="auto"/>
            </w:pPr>
            <w:r>
              <w:rPr>
                <w:rFonts w:ascii="宋体" w:hAnsi="宋体" w:cs="宋体"/>
              </w:rPr>
              <w:t xml:space="preserve">其他需要说明的事项 </w:t>
            </w:r>
          </w:p>
        </w:tc>
        <w:tc>
          <w:tcPr>
            <w:tcW w:w="1000" w:type="pct"/>
            <w:vAlign w:val="center"/>
          </w:tcPr>
          <w:p w:rsidR="00DF0636" w:rsidRDefault="00F12DB3">
            <w:pPr>
              <w:spacing w:line="240" w:lineRule="auto"/>
            </w:pPr>
            <w:r>
              <w:rPr>
                <w:rFonts w:ascii="宋体" w:hAnsi="宋体" w:cs="宋体"/>
              </w:rPr>
              <w:t>-</w:t>
            </w:r>
          </w:p>
        </w:tc>
        <w:tc>
          <w:tcPr>
            <w:tcW w:w="1000" w:type="pct"/>
            <w:vAlign w:val="center"/>
          </w:tcPr>
          <w:p w:rsidR="00DF0636" w:rsidRDefault="00F12DB3">
            <w:pPr>
              <w:spacing w:line="240" w:lineRule="auto"/>
            </w:pPr>
            <w:r>
              <w:rPr>
                <w:rFonts w:ascii="宋体" w:hAnsi="宋体" w:cs="宋体"/>
              </w:rPr>
              <w:t>-</w:t>
            </w:r>
          </w:p>
        </w:tc>
        <w:tc>
          <w:tcPr>
            <w:tcW w:w="1000" w:type="pct"/>
            <w:vAlign w:val="center"/>
          </w:tcPr>
          <w:p w:rsidR="00DF0636" w:rsidRDefault="00F12DB3">
            <w:pPr>
              <w:spacing w:line="240" w:lineRule="auto"/>
            </w:pPr>
            <w:r>
              <w:rPr>
                <w:rFonts w:ascii="宋体" w:hAnsi="宋体" w:cs="宋体"/>
              </w:rPr>
              <w:t>-</w:t>
            </w:r>
          </w:p>
        </w:tc>
      </w:tr>
      <w:tr w:rsidR="00DF0636">
        <w:tc>
          <w:tcPr>
            <w:tcW w:w="0" w:type="dxa"/>
            <w:vMerge w:val="restart"/>
            <w:vAlign w:val="center"/>
          </w:tcPr>
          <w:p w:rsidR="00DF0636" w:rsidRDefault="00F12DB3">
            <w:pPr>
              <w:spacing w:line="240" w:lineRule="auto"/>
              <w:jc w:val="left"/>
            </w:pPr>
            <w:r>
              <w:rPr>
                <w:rFonts w:ascii="宋体" w:hAnsi="宋体" w:cs="宋体"/>
              </w:rPr>
              <w:t>其中：募集期间基金管理人的从业人员认购本基金情况</w:t>
            </w:r>
          </w:p>
        </w:tc>
        <w:tc>
          <w:tcPr>
            <w:tcW w:w="0" w:type="dxa"/>
            <w:vAlign w:val="center"/>
          </w:tcPr>
          <w:p w:rsidR="00DF0636" w:rsidRDefault="00F12DB3">
            <w:pPr>
              <w:spacing w:line="240" w:lineRule="auto"/>
            </w:pPr>
            <w:r>
              <w:rPr>
                <w:rFonts w:ascii="宋体" w:hAnsi="宋体" w:cs="宋体"/>
              </w:rPr>
              <w:t>认购的基金份额（单位：份 ）</w:t>
            </w:r>
          </w:p>
        </w:tc>
        <w:tc>
          <w:tcPr>
            <w:tcW w:w="1000" w:type="pct"/>
            <w:vAlign w:val="center"/>
          </w:tcPr>
          <w:p w:rsidR="00DF0636" w:rsidRDefault="00F12DB3">
            <w:pPr>
              <w:spacing w:line="240" w:lineRule="auto"/>
              <w:jc w:val="right"/>
            </w:pPr>
            <w:r>
              <w:rPr>
                <w:rFonts w:ascii="宋体" w:hAnsi="宋体" w:cs="宋体"/>
              </w:rPr>
              <w:t>-</w:t>
            </w:r>
          </w:p>
        </w:tc>
        <w:tc>
          <w:tcPr>
            <w:tcW w:w="1000" w:type="pct"/>
            <w:vAlign w:val="center"/>
          </w:tcPr>
          <w:p w:rsidR="00DF0636" w:rsidRDefault="00F12DB3">
            <w:pPr>
              <w:spacing w:line="240" w:lineRule="auto"/>
              <w:jc w:val="right"/>
            </w:pPr>
            <w:r>
              <w:rPr>
                <w:rFonts w:ascii="宋体" w:hAnsi="宋体" w:cs="宋体"/>
              </w:rPr>
              <w:t>-</w:t>
            </w:r>
          </w:p>
        </w:tc>
        <w:tc>
          <w:tcPr>
            <w:tcW w:w="1000" w:type="pct"/>
            <w:vAlign w:val="center"/>
          </w:tcPr>
          <w:p w:rsidR="00DF0636" w:rsidRDefault="00F12DB3">
            <w:pPr>
              <w:spacing w:line="240" w:lineRule="auto"/>
              <w:jc w:val="right"/>
            </w:pPr>
            <w:r>
              <w:rPr>
                <w:rFonts w:ascii="宋体" w:hAnsi="宋体" w:cs="宋体"/>
              </w:rPr>
              <w:t>-</w:t>
            </w:r>
          </w:p>
        </w:tc>
      </w:tr>
      <w:tr w:rsidR="00DF0636">
        <w:tc>
          <w:tcPr>
            <w:tcW w:w="0" w:type="auto"/>
            <w:vMerge/>
          </w:tcPr>
          <w:p w:rsidR="00DF0636" w:rsidRDefault="00DF0636"/>
        </w:tc>
        <w:tc>
          <w:tcPr>
            <w:tcW w:w="0" w:type="dxa"/>
            <w:vAlign w:val="center"/>
          </w:tcPr>
          <w:p w:rsidR="00DF0636" w:rsidRDefault="00F12DB3">
            <w:pPr>
              <w:spacing w:line="240" w:lineRule="auto"/>
            </w:pPr>
            <w:r>
              <w:rPr>
                <w:rFonts w:ascii="宋体" w:hAnsi="宋体" w:cs="宋体"/>
              </w:rPr>
              <w:t>占基金总份额比例</w:t>
            </w:r>
          </w:p>
        </w:tc>
        <w:tc>
          <w:tcPr>
            <w:tcW w:w="1000" w:type="pct"/>
            <w:vAlign w:val="center"/>
          </w:tcPr>
          <w:p w:rsidR="00DF0636" w:rsidRDefault="00F12DB3">
            <w:pPr>
              <w:spacing w:line="240" w:lineRule="auto"/>
              <w:jc w:val="right"/>
            </w:pPr>
            <w:r>
              <w:rPr>
                <w:rFonts w:ascii="宋体" w:hAnsi="宋体" w:cs="宋体"/>
              </w:rPr>
              <w:t>-</w:t>
            </w:r>
          </w:p>
        </w:tc>
        <w:tc>
          <w:tcPr>
            <w:tcW w:w="1000" w:type="pct"/>
            <w:vAlign w:val="center"/>
          </w:tcPr>
          <w:p w:rsidR="00DF0636" w:rsidRDefault="00F12DB3">
            <w:pPr>
              <w:spacing w:line="240" w:lineRule="auto"/>
              <w:jc w:val="right"/>
            </w:pPr>
            <w:r>
              <w:rPr>
                <w:rFonts w:ascii="宋体" w:hAnsi="宋体" w:cs="宋体"/>
              </w:rPr>
              <w:t>-</w:t>
            </w:r>
          </w:p>
        </w:tc>
        <w:tc>
          <w:tcPr>
            <w:tcW w:w="1000" w:type="pct"/>
            <w:vAlign w:val="center"/>
          </w:tcPr>
          <w:p w:rsidR="00DF0636" w:rsidRDefault="00F12DB3">
            <w:pPr>
              <w:spacing w:line="240" w:lineRule="auto"/>
              <w:jc w:val="right"/>
            </w:pPr>
            <w:r>
              <w:rPr>
                <w:rFonts w:ascii="宋体" w:hAnsi="宋体" w:cs="宋体"/>
              </w:rPr>
              <w:t>-</w:t>
            </w:r>
          </w:p>
        </w:tc>
      </w:tr>
      <w:tr w:rsidR="00F12DB3" w:rsidTr="00F12DB3">
        <w:tc>
          <w:tcPr>
            <w:tcW w:w="0" w:type="dxa"/>
            <w:gridSpan w:val="2"/>
            <w:vAlign w:val="center"/>
          </w:tcPr>
          <w:p w:rsidR="00DF0636" w:rsidRDefault="00F12DB3">
            <w:pPr>
              <w:spacing w:line="240" w:lineRule="auto"/>
              <w:jc w:val="left"/>
            </w:pPr>
            <w:r>
              <w:rPr>
                <w:rFonts w:ascii="宋体" w:hAnsi="宋体" w:cs="宋体"/>
              </w:rPr>
              <w:t>募集期限届满基金是否符合法律法规规定的办理基金备案手续的条件</w:t>
            </w:r>
          </w:p>
        </w:tc>
        <w:tc>
          <w:tcPr>
            <w:tcW w:w="0" w:type="dxa"/>
            <w:gridSpan w:val="3"/>
            <w:vAlign w:val="center"/>
          </w:tcPr>
          <w:p w:rsidR="00DF0636" w:rsidRDefault="00F12DB3">
            <w:pPr>
              <w:spacing w:line="240" w:lineRule="auto"/>
              <w:jc w:val="right"/>
            </w:pPr>
            <w:r>
              <w:rPr>
                <w:rFonts w:ascii="宋体" w:hAnsi="宋体" w:cs="宋体"/>
              </w:rPr>
              <w:t>是</w:t>
            </w:r>
          </w:p>
        </w:tc>
      </w:tr>
      <w:tr w:rsidR="00F12DB3" w:rsidTr="00F12DB3">
        <w:tc>
          <w:tcPr>
            <w:tcW w:w="0" w:type="dxa"/>
            <w:gridSpan w:val="2"/>
            <w:vAlign w:val="center"/>
          </w:tcPr>
          <w:p w:rsidR="00DF0636" w:rsidRDefault="00F12DB3">
            <w:pPr>
              <w:spacing w:line="240" w:lineRule="auto"/>
              <w:jc w:val="left"/>
            </w:pPr>
            <w:r>
              <w:rPr>
                <w:rFonts w:ascii="宋体" w:hAnsi="宋体" w:cs="宋体"/>
              </w:rPr>
              <w:t>向中国证监会办理基金备案手续获得书面确认的日期</w:t>
            </w:r>
          </w:p>
        </w:tc>
        <w:tc>
          <w:tcPr>
            <w:tcW w:w="0" w:type="dxa"/>
            <w:gridSpan w:val="3"/>
            <w:vAlign w:val="center"/>
          </w:tcPr>
          <w:p w:rsidR="00DF0636" w:rsidRDefault="00F12DB3">
            <w:pPr>
              <w:spacing w:line="240" w:lineRule="auto"/>
              <w:jc w:val="right"/>
            </w:pPr>
            <w:r>
              <w:rPr>
                <w:rFonts w:ascii="宋体" w:hAnsi="宋体" w:cs="宋体"/>
              </w:rPr>
              <w:t>2025年11月04日</w:t>
            </w:r>
          </w:p>
        </w:tc>
      </w:tr>
    </w:tbl>
    <w:p w:rsidR="00DF0636" w:rsidRDefault="00F12DB3">
      <w:r>
        <w:rPr>
          <w:rFonts w:ascii="宋体" w:hAnsi="宋体" w:cs="宋体"/>
        </w:rPr>
        <w:t xml:space="preserve">    注：按《申万菱信中证A500红利低波动指数型证券投资基金招募说明书》等法律文件的规定，本基金的有效认购款项在基金募集期间产生的利息将折算为相应类别的基金份额，归基金份额持有人所有。利息转份额的具体数额以登记机构的记录为准。</w:t>
      </w:r>
      <w:r>
        <w:rPr>
          <w:rFonts w:ascii="宋体" w:hAnsi="宋体" w:cs="宋体"/>
        </w:rPr>
        <w:cr/>
        <w:t xml:space="preserve">    本基金募集符合有关条件，本基金管理人已向中国证监会申请办理基金备案手续，并于2025年11月4日获确认，基金合同自该日起正式生效。基金合同生效之日起，本基金管理人正式开始管理本基金。</w:t>
      </w:r>
      <w:r>
        <w:rPr>
          <w:rFonts w:ascii="宋体" w:hAnsi="宋体" w:cs="宋体"/>
        </w:rPr>
        <w:cr/>
        <w:t xml:space="preserve">    按照有关法律规定，本基金合同生效前的律师费、会计师费、信息披露费由基金管理人承担。</w:t>
      </w:r>
      <w:r>
        <w:rPr>
          <w:rFonts w:ascii="宋体" w:hAnsi="宋体" w:cs="宋体"/>
        </w:rPr>
        <w:cr/>
        <w:t xml:space="preserve">    基金管理公司高级管理人员、基金投资和研究部门负责人持有本基金基金份额总量的区间为0份；本基金基金经理持有本基金基金份额总量的区间为0份。</w:t>
      </w:r>
    </w:p>
    <w:p w:rsidR="00DF0636" w:rsidRDefault="00DF0636"/>
    <w:p w:rsidR="00DF0636" w:rsidRDefault="00F12DB3">
      <w:pPr>
        <w:pStyle w:val="2"/>
      </w:pPr>
      <w:r>
        <w:rPr>
          <w:rFonts w:ascii="宋体" w:hAnsi="宋体" w:cs="宋体"/>
        </w:rPr>
        <w:t>3 其他需要提示的事项</w:t>
      </w:r>
    </w:p>
    <w:p w:rsidR="00DF0636" w:rsidRDefault="00F12DB3">
      <w:pPr>
        <w:jc w:val="left"/>
      </w:pPr>
      <w:r>
        <w:rPr>
          <w:rFonts w:ascii="宋体" w:hAnsi="宋体" w:cs="宋体"/>
        </w:rPr>
        <w:t xml:space="preserve">    基金管理人可根据实际情况依法决定本基金开始办理申购的具体日期，具体业务办理时间在申购开始公告中规定。</w:t>
      </w:r>
      <w:r>
        <w:rPr>
          <w:rFonts w:ascii="宋体" w:hAnsi="宋体" w:cs="宋体"/>
        </w:rPr>
        <w:cr/>
        <w:t xml:space="preserve">    基金管理人自基金合同生效之日起不超过3个月开始办理赎回，具体业务办理时间在赎回开始公告中规定。</w:t>
      </w:r>
      <w:r>
        <w:rPr>
          <w:rFonts w:ascii="宋体" w:hAnsi="宋体" w:cs="宋体"/>
        </w:rPr>
        <w:cr/>
        <w:t xml:space="preserve">    在确定申购开始与赎回开始时间后，基金管理人应在申购、赎回开放日前依照《公开募集证券投资基金信息披露管理办法》的有关规定在规定媒介上公告申购与赎回的开始时间。</w:t>
      </w:r>
      <w:r>
        <w:rPr>
          <w:rFonts w:ascii="宋体" w:hAnsi="宋体" w:cs="宋体"/>
        </w:rPr>
        <w:cr/>
        <w:t xml:space="preserve">    </w:t>
      </w:r>
      <w:r>
        <w:rPr>
          <w:rFonts w:ascii="宋体" w:hAnsi="宋体" w:cs="宋体"/>
        </w:rPr>
        <w:cr/>
        <w:t xml:space="preserve">    风险提示：本公司承诺以诚实信用、勤勉尽责的原则管理和运用基金财产，但不保证基金一定盈利，也不保证最低收益。投资者投资于本公司管理的基金时应认真阅读基金合同、招募说明书等文件。</w:t>
      </w:r>
      <w:r>
        <w:rPr>
          <w:rFonts w:ascii="宋体" w:hAnsi="宋体" w:cs="宋体"/>
        </w:rPr>
        <w:cr/>
        <w:t xml:space="preserve">    特此公告。</w:t>
      </w:r>
    </w:p>
    <w:p w:rsidR="00DF0636" w:rsidRDefault="00DF0636"/>
    <w:p w:rsidR="00DF0636" w:rsidRDefault="00F12DB3">
      <w:pPr>
        <w:jc w:val="right"/>
      </w:pPr>
      <w:r>
        <w:rPr>
          <w:rFonts w:ascii="宋体" w:hAnsi="宋体" w:cs="宋体"/>
        </w:rPr>
        <w:t>申万菱信基金管理有限公司</w:t>
      </w:r>
    </w:p>
    <w:p w:rsidR="00DF0636" w:rsidRDefault="00F12DB3">
      <w:pPr>
        <w:jc w:val="right"/>
      </w:pPr>
      <w:r>
        <w:rPr>
          <w:rFonts w:ascii="宋体" w:hAnsi="宋体" w:cs="宋体"/>
        </w:rPr>
        <w:t>2025年11月05日</w:t>
      </w:r>
    </w:p>
    <w:sectPr w:rsidR="00DF0636" w:rsidSect="00EF35E2">
      <w:headerReference w:type="default" r:id="rId6"/>
      <w:footerReference w:type="even" r:id="rId7"/>
      <w:footerReference w:type="default" r:id="rId8"/>
      <w:footerReference w:type="first" r:id="rId9"/>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EF35E2" w:rsidRPr="00EF35E2">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EF35E2" w:rsidRPr="00EF35E2">
      <w:rPr>
        <w:rFonts w:ascii="宋体" w:hAnsi="宋体" w:cs="Times New Roman" w:hint="eastAsia"/>
        <w:sz w:val="20"/>
        <w:szCs w:val="20"/>
        <w:lang/>
      </w:rPr>
      <w:fldChar w:fldCharType="separate"/>
    </w:r>
    <w:r w:rsidR="00DB737C">
      <w:rPr>
        <w:rFonts w:ascii="宋体" w:hAnsi="宋体" w:cs="宋体"/>
        <w:noProof/>
        <w:sz w:val="20"/>
        <w:szCs w:val="20"/>
        <w:lang/>
      </w:rPr>
      <w:t>1</w:t>
    </w:r>
    <w:r w:rsidR="00EF35E2"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DB737C">
        <w:rPr>
          <w:rFonts w:ascii="宋体" w:hAnsi="宋体" w:cs="宋体"/>
          <w:noProof/>
          <w:sz w:val="20"/>
          <w:szCs w:val="20"/>
          <w:lang/>
        </w:rPr>
        <w:t>2</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申万菱信中证A500红利低波动指数型证券投资基金基金合同生效公告</w:t>
    </w:r>
    <w:r>
      <w:rPr>
        <w:rFonts w:ascii="宋体" w:hAnsi="宋体"/>
      </w:rP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B737C"/>
    <w:rsid w:val="00DC5E2B"/>
    <w:rsid w:val="00DE3FE0"/>
    <w:rsid w:val="00DF0636"/>
    <w:rsid w:val="00DF1D38"/>
    <w:rsid w:val="00E220FA"/>
    <w:rsid w:val="00E24BF6"/>
    <w:rsid w:val="00E34F85"/>
    <w:rsid w:val="00E371F8"/>
    <w:rsid w:val="00E913D3"/>
    <w:rsid w:val="00EF35E2"/>
    <w:rsid w:val="00F12DB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4</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2025-11-04T16:02:00Z</dcterms:created>
  <dcterms:modified xsi:type="dcterms:W3CDTF">2025-11-04T16:02:00Z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