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1FC3" w:rsidRPr="004B4F88" w:rsidRDefault="00455564" w:rsidP="00FD378F">
      <w:pPr>
        <w:snapToGrid w:val="0"/>
        <w:spacing w:line="360" w:lineRule="auto"/>
        <w:jc w:val="center"/>
        <w:rPr>
          <w:b/>
          <w:bCs/>
          <w:kern w:val="0"/>
          <w:sz w:val="24"/>
        </w:rPr>
      </w:pPr>
      <w:bookmarkStart w:id="0" w:name="_GoBack"/>
      <w:bookmarkEnd w:id="0"/>
      <w:r w:rsidRPr="004B4F88">
        <w:rPr>
          <w:b/>
          <w:bCs/>
          <w:kern w:val="0"/>
          <w:sz w:val="24"/>
        </w:rPr>
        <w:t>华夏基金管理有限公司</w:t>
      </w:r>
      <w:r w:rsidR="006E5FE2" w:rsidRPr="004B4F88">
        <w:rPr>
          <w:b/>
          <w:bCs/>
          <w:kern w:val="0"/>
          <w:sz w:val="24"/>
        </w:rPr>
        <w:t>关于</w:t>
      </w:r>
      <w:r w:rsidR="00695E7E" w:rsidRPr="004B4F88">
        <w:rPr>
          <w:b/>
          <w:bCs/>
          <w:kern w:val="0"/>
          <w:sz w:val="24"/>
        </w:rPr>
        <w:t>终止</w:t>
      </w:r>
      <w:r w:rsidR="00E251A1" w:rsidRPr="004B4F88">
        <w:rPr>
          <w:b/>
          <w:bCs/>
          <w:kern w:val="0"/>
          <w:sz w:val="24"/>
        </w:rPr>
        <w:t>锦州银行股份有限公司</w:t>
      </w:r>
      <w:r w:rsidR="00720C6A" w:rsidRPr="004B4F88">
        <w:rPr>
          <w:b/>
          <w:bCs/>
          <w:kern w:val="0"/>
          <w:sz w:val="24"/>
        </w:rPr>
        <w:t>办理本公司旗下基金销售业务的</w:t>
      </w:r>
      <w:r w:rsidR="00695E7E" w:rsidRPr="004B4F88">
        <w:rPr>
          <w:b/>
          <w:bCs/>
          <w:kern w:val="0"/>
          <w:sz w:val="24"/>
        </w:rPr>
        <w:t>公告</w:t>
      </w:r>
    </w:p>
    <w:p w:rsidR="004B1FC3" w:rsidRPr="004B4F88" w:rsidRDefault="004B1FC3" w:rsidP="00FD378F">
      <w:pPr>
        <w:snapToGrid w:val="0"/>
        <w:spacing w:line="360" w:lineRule="auto"/>
        <w:jc w:val="center"/>
        <w:rPr>
          <w:sz w:val="24"/>
        </w:rPr>
      </w:pPr>
    </w:p>
    <w:p w:rsidR="00DD5F70" w:rsidRPr="00F40E92" w:rsidRDefault="00E251A1" w:rsidP="0097405D">
      <w:pPr>
        <w:spacing w:line="360" w:lineRule="auto"/>
        <w:ind w:firstLineChars="200" w:firstLine="480"/>
        <w:rPr>
          <w:sz w:val="24"/>
        </w:rPr>
      </w:pPr>
      <w:r w:rsidRPr="004B4F88">
        <w:rPr>
          <w:color w:val="1E1E1E"/>
          <w:sz w:val="24"/>
        </w:rPr>
        <w:t>经与锦州银行股份有限公司（</w:t>
      </w:r>
      <w:r w:rsidRPr="004B4F88">
        <w:rPr>
          <w:sz w:val="24"/>
        </w:rPr>
        <w:t>以下简称</w:t>
      </w:r>
      <w:r w:rsidRPr="004B4F88">
        <w:rPr>
          <w:sz w:val="24"/>
        </w:rPr>
        <w:t>“</w:t>
      </w:r>
      <w:r w:rsidRPr="004B4F88">
        <w:rPr>
          <w:sz w:val="24"/>
        </w:rPr>
        <w:t>锦州银行</w:t>
      </w:r>
      <w:r w:rsidRPr="004B4F88">
        <w:rPr>
          <w:sz w:val="24"/>
        </w:rPr>
        <w:t>”</w:t>
      </w:r>
      <w:r w:rsidRPr="004B4F88">
        <w:rPr>
          <w:color w:val="1E1E1E"/>
          <w:sz w:val="24"/>
        </w:rPr>
        <w:t>）协商一致，</w:t>
      </w:r>
      <w:r w:rsidR="00875B4E" w:rsidRPr="004B4F88">
        <w:rPr>
          <w:bCs/>
          <w:kern w:val="0"/>
          <w:sz w:val="24"/>
        </w:rPr>
        <w:t>华夏基金管理有限公司（以下简称</w:t>
      </w:r>
      <w:r w:rsidR="00875B4E" w:rsidRPr="004B4F88">
        <w:rPr>
          <w:bCs/>
          <w:kern w:val="0"/>
          <w:sz w:val="24"/>
        </w:rPr>
        <w:t>“</w:t>
      </w:r>
      <w:r w:rsidR="00875B4E" w:rsidRPr="004B4F88">
        <w:rPr>
          <w:bCs/>
          <w:kern w:val="0"/>
          <w:sz w:val="24"/>
        </w:rPr>
        <w:t>本公司</w:t>
      </w:r>
      <w:r w:rsidR="00875B4E" w:rsidRPr="004B4F88">
        <w:rPr>
          <w:bCs/>
          <w:kern w:val="0"/>
          <w:sz w:val="24"/>
        </w:rPr>
        <w:t>”</w:t>
      </w:r>
      <w:r w:rsidR="00875B4E" w:rsidRPr="004B4F88">
        <w:rPr>
          <w:bCs/>
          <w:kern w:val="0"/>
          <w:sz w:val="24"/>
        </w:rPr>
        <w:t>）</w:t>
      </w:r>
      <w:r w:rsidR="00A41F4B">
        <w:rPr>
          <w:rFonts w:hint="eastAsia"/>
          <w:bCs/>
          <w:kern w:val="0"/>
          <w:sz w:val="24"/>
        </w:rPr>
        <w:t>将</w:t>
      </w:r>
      <w:r w:rsidR="00875B4E" w:rsidRPr="004B4F88">
        <w:rPr>
          <w:bCs/>
          <w:kern w:val="0"/>
          <w:sz w:val="24"/>
        </w:rPr>
        <w:t>自</w:t>
      </w:r>
      <w:r w:rsidR="00875B4E" w:rsidRPr="004B4F88">
        <w:rPr>
          <w:bCs/>
          <w:kern w:val="0"/>
          <w:sz w:val="24"/>
        </w:rPr>
        <w:t>202</w:t>
      </w:r>
      <w:r w:rsidRPr="004B4F88">
        <w:rPr>
          <w:bCs/>
          <w:kern w:val="0"/>
          <w:sz w:val="24"/>
        </w:rPr>
        <w:t>5</w:t>
      </w:r>
      <w:r w:rsidR="00875B4E" w:rsidRPr="004B4F88">
        <w:rPr>
          <w:bCs/>
          <w:kern w:val="0"/>
          <w:sz w:val="24"/>
        </w:rPr>
        <w:t>年</w:t>
      </w:r>
      <w:r w:rsidRPr="004B4F88">
        <w:rPr>
          <w:bCs/>
          <w:kern w:val="0"/>
          <w:sz w:val="24"/>
        </w:rPr>
        <w:t>11</w:t>
      </w:r>
      <w:r w:rsidR="00875B4E" w:rsidRPr="004B4F88">
        <w:rPr>
          <w:bCs/>
          <w:kern w:val="0"/>
          <w:sz w:val="24"/>
        </w:rPr>
        <w:t>月</w:t>
      </w:r>
      <w:r w:rsidRPr="004B4F88">
        <w:rPr>
          <w:bCs/>
          <w:kern w:val="0"/>
          <w:sz w:val="24"/>
        </w:rPr>
        <w:t>1</w:t>
      </w:r>
      <w:r w:rsidRPr="00F40E92">
        <w:rPr>
          <w:sz w:val="24"/>
        </w:rPr>
        <w:t>7</w:t>
      </w:r>
      <w:r w:rsidR="00875B4E" w:rsidRPr="00F40E92">
        <w:rPr>
          <w:sz w:val="24"/>
        </w:rPr>
        <w:t>日起终止</w:t>
      </w:r>
      <w:r w:rsidR="0097405D" w:rsidRPr="00F40E92">
        <w:rPr>
          <w:sz w:val="24"/>
        </w:rPr>
        <w:t>与锦州银行基金销售业务的全部合作，包括</w:t>
      </w:r>
      <w:r w:rsidR="00DD5F70" w:rsidRPr="00F40E92">
        <w:rPr>
          <w:sz w:val="24"/>
        </w:rPr>
        <w:t>旗下基金的认购、</w:t>
      </w:r>
      <w:r w:rsidR="00875B4E" w:rsidRPr="00F40E92">
        <w:rPr>
          <w:sz w:val="24"/>
        </w:rPr>
        <w:t>申购、赎回、转换、定期定额申购</w:t>
      </w:r>
      <w:r w:rsidR="00DD5F70" w:rsidRPr="00F40E92">
        <w:rPr>
          <w:sz w:val="24"/>
        </w:rPr>
        <w:t>等业务。</w:t>
      </w:r>
    </w:p>
    <w:p w:rsidR="00A07B72" w:rsidRPr="00F40E92" w:rsidRDefault="00A07B72" w:rsidP="00B77C1D">
      <w:pPr>
        <w:spacing w:line="360" w:lineRule="auto"/>
        <w:ind w:firstLineChars="200" w:firstLine="482"/>
        <w:rPr>
          <w:b/>
          <w:sz w:val="24"/>
        </w:rPr>
      </w:pPr>
      <w:r w:rsidRPr="004B4F88">
        <w:rPr>
          <w:b/>
          <w:sz w:val="24"/>
        </w:rPr>
        <w:t>为维护投资</w:t>
      </w:r>
      <w:r w:rsidRPr="00F40E92">
        <w:rPr>
          <w:b/>
          <w:sz w:val="24"/>
        </w:rPr>
        <w:t>者</w:t>
      </w:r>
      <w:r w:rsidRPr="004B4F88">
        <w:rPr>
          <w:b/>
          <w:sz w:val="24"/>
        </w:rPr>
        <w:t>利益，通过锦州银行持有本公司旗下基金的投资</w:t>
      </w:r>
      <w:r w:rsidRPr="00F40E92">
        <w:rPr>
          <w:b/>
          <w:sz w:val="24"/>
        </w:rPr>
        <w:t>者，请关注锦州银行官网（</w:t>
      </w:r>
      <w:r w:rsidRPr="00F40E92">
        <w:rPr>
          <w:b/>
          <w:sz w:val="24"/>
        </w:rPr>
        <w:t>www.jinzhoubank.com</w:t>
      </w:r>
      <w:r w:rsidRPr="00F40E92">
        <w:rPr>
          <w:b/>
          <w:sz w:val="24"/>
        </w:rPr>
        <w:t>）已发布的相关公告。对于本公司承接的存量基金份额，</w:t>
      </w:r>
      <w:r w:rsidRPr="004B4F88">
        <w:rPr>
          <w:b/>
          <w:sz w:val="24"/>
        </w:rPr>
        <w:t>请投资者于规定</w:t>
      </w:r>
      <w:r w:rsidR="0006098B">
        <w:rPr>
          <w:rFonts w:hint="eastAsia"/>
          <w:b/>
          <w:sz w:val="24"/>
        </w:rPr>
        <w:t>截止时间前</w:t>
      </w:r>
      <w:r w:rsidRPr="004B4F88">
        <w:rPr>
          <w:b/>
          <w:sz w:val="24"/>
        </w:rPr>
        <w:t>自行办理</w:t>
      </w:r>
      <w:r w:rsidR="0097405D" w:rsidRPr="00F40E92">
        <w:rPr>
          <w:b/>
          <w:sz w:val="24"/>
        </w:rPr>
        <w:t>本公司承接的</w:t>
      </w:r>
      <w:r w:rsidRPr="00F40E92">
        <w:rPr>
          <w:b/>
          <w:sz w:val="24"/>
        </w:rPr>
        <w:t>存量</w:t>
      </w:r>
      <w:r w:rsidRPr="004B4F88">
        <w:rPr>
          <w:b/>
          <w:sz w:val="24"/>
        </w:rPr>
        <w:t>基金份额</w:t>
      </w:r>
      <w:r w:rsidR="0097405D" w:rsidRPr="004B4F88">
        <w:rPr>
          <w:b/>
          <w:sz w:val="24"/>
        </w:rPr>
        <w:t>的</w:t>
      </w:r>
      <w:r w:rsidRPr="004B4F88">
        <w:rPr>
          <w:b/>
          <w:sz w:val="24"/>
        </w:rPr>
        <w:t>转托管或赎回业务，具体</w:t>
      </w:r>
      <w:r w:rsidR="0006098B" w:rsidRPr="00F40E92">
        <w:rPr>
          <w:b/>
          <w:sz w:val="24"/>
        </w:rPr>
        <w:t>承接的</w:t>
      </w:r>
      <w:r w:rsidRPr="004B4F88">
        <w:rPr>
          <w:b/>
          <w:sz w:val="24"/>
        </w:rPr>
        <w:t>基金</w:t>
      </w:r>
      <w:r w:rsidR="0097405D" w:rsidRPr="004B4F88">
        <w:rPr>
          <w:b/>
          <w:sz w:val="24"/>
        </w:rPr>
        <w:t>及</w:t>
      </w:r>
      <w:r w:rsidRPr="004B4F88">
        <w:rPr>
          <w:b/>
          <w:sz w:val="24"/>
        </w:rPr>
        <w:t>自行办理业务的截止时间</w:t>
      </w:r>
      <w:r w:rsidRPr="00F40E92">
        <w:rPr>
          <w:b/>
          <w:sz w:val="24"/>
        </w:rPr>
        <w:t>详见本公告附件</w:t>
      </w:r>
      <w:r w:rsidRPr="004B4F88">
        <w:rPr>
          <w:b/>
          <w:sz w:val="24"/>
        </w:rPr>
        <w:t>。</w:t>
      </w:r>
      <w:r w:rsidR="00DD5F70" w:rsidRPr="004B4F88">
        <w:rPr>
          <w:b/>
          <w:sz w:val="24"/>
        </w:rPr>
        <w:t>如投资者未在</w:t>
      </w:r>
      <w:r w:rsidR="004A1DF3" w:rsidRPr="004B4F88">
        <w:rPr>
          <w:b/>
          <w:sz w:val="24"/>
        </w:rPr>
        <w:t>规定</w:t>
      </w:r>
      <w:r w:rsidR="00A41F4B">
        <w:rPr>
          <w:rFonts w:hint="eastAsia"/>
          <w:b/>
          <w:sz w:val="24"/>
        </w:rPr>
        <w:t>截止</w:t>
      </w:r>
      <w:r w:rsidR="004A1DF3" w:rsidRPr="004B4F88">
        <w:rPr>
          <w:b/>
          <w:sz w:val="24"/>
        </w:rPr>
        <w:t>时间</w:t>
      </w:r>
      <w:r w:rsidR="00946B5C" w:rsidRPr="004B4F88">
        <w:rPr>
          <w:b/>
          <w:sz w:val="24"/>
        </w:rPr>
        <w:t>前</w:t>
      </w:r>
      <w:r w:rsidR="00D0348B" w:rsidRPr="004B4F88">
        <w:rPr>
          <w:b/>
          <w:sz w:val="24"/>
        </w:rPr>
        <w:t>办理基金份额的转托管</w:t>
      </w:r>
      <w:r w:rsidRPr="004B4F88">
        <w:rPr>
          <w:b/>
          <w:sz w:val="24"/>
        </w:rPr>
        <w:t>或赎回</w:t>
      </w:r>
      <w:r w:rsidR="00D0348B" w:rsidRPr="004B4F88">
        <w:rPr>
          <w:b/>
          <w:sz w:val="24"/>
        </w:rPr>
        <w:t>业务，</w:t>
      </w:r>
      <w:r w:rsidRPr="004B4F88">
        <w:rPr>
          <w:b/>
          <w:sz w:val="24"/>
        </w:rPr>
        <w:t>通过锦州银行持有的存量基金份额将转托管至本公司直销渠道。后续投资者根据本公司有关</w:t>
      </w:r>
      <w:r w:rsidR="004A1DF3" w:rsidRPr="004B4F88">
        <w:rPr>
          <w:b/>
          <w:sz w:val="24"/>
        </w:rPr>
        <w:t>业务规则</w:t>
      </w:r>
      <w:r w:rsidRPr="004B4F88">
        <w:rPr>
          <w:b/>
          <w:sz w:val="24"/>
        </w:rPr>
        <w:t>履行相关手续后</w:t>
      </w:r>
      <w:r w:rsidR="004A1DF3" w:rsidRPr="004B4F88">
        <w:rPr>
          <w:b/>
          <w:sz w:val="24"/>
        </w:rPr>
        <w:t>，</w:t>
      </w:r>
      <w:r w:rsidRPr="004B4F88">
        <w:rPr>
          <w:b/>
          <w:sz w:val="24"/>
        </w:rPr>
        <w:t>可通过</w:t>
      </w:r>
      <w:r w:rsidR="004A1DF3" w:rsidRPr="004B4F88">
        <w:rPr>
          <w:b/>
          <w:sz w:val="24"/>
        </w:rPr>
        <w:t>本公司</w:t>
      </w:r>
      <w:r w:rsidRPr="004B4F88">
        <w:rPr>
          <w:b/>
          <w:sz w:val="24"/>
        </w:rPr>
        <w:t>直销渠道办理基金份额的查询、赎回等业务。</w:t>
      </w:r>
    </w:p>
    <w:p w:rsidR="00A07B72" w:rsidRPr="004B4F88" w:rsidRDefault="00A07B72" w:rsidP="00A07B72">
      <w:pPr>
        <w:spacing w:line="360" w:lineRule="auto"/>
        <w:ind w:left="-15" w:firstLine="470"/>
      </w:pPr>
      <w:r w:rsidRPr="004B4F88">
        <w:rPr>
          <w:b/>
          <w:sz w:val="24"/>
        </w:rPr>
        <w:t>除了</w:t>
      </w:r>
      <w:r w:rsidRPr="004B4F88">
        <w:rPr>
          <w:b/>
          <w:color w:val="1E1E1E"/>
          <w:sz w:val="24"/>
        </w:rPr>
        <w:t>本公司承接的存量基金</w:t>
      </w:r>
      <w:r w:rsidR="004A0750" w:rsidRPr="004B4F88">
        <w:rPr>
          <w:b/>
          <w:color w:val="1E1E1E"/>
          <w:sz w:val="24"/>
        </w:rPr>
        <w:t>份额</w:t>
      </w:r>
      <w:r w:rsidRPr="004B4F88">
        <w:rPr>
          <w:b/>
          <w:sz w:val="24"/>
        </w:rPr>
        <w:t>外，锦州银行已销售的本公司其他基金将由锦州银行转托管至中国工商银行股份有限公司，具体的基金列表及业务安排以锦州银行官网公告为准。</w:t>
      </w:r>
    </w:p>
    <w:p w:rsidR="00A55D99" w:rsidRPr="004B4F88" w:rsidRDefault="00EE49C0" w:rsidP="00FD378F">
      <w:pPr>
        <w:spacing w:line="360" w:lineRule="auto"/>
        <w:ind w:firstLineChars="200" w:firstLine="480"/>
        <w:rPr>
          <w:color w:val="000000"/>
          <w:sz w:val="24"/>
        </w:rPr>
      </w:pPr>
      <w:r w:rsidRPr="004B4F88">
        <w:rPr>
          <w:color w:val="000000"/>
          <w:sz w:val="24"/>
        </w:rPr>
        <w:t>投资者可登录本公司网站（</w:t>
      </w:r>
      <w:r w:rsidRPr="004B4F88">
        <w:rPr>
          <w:color w:val="000000"/>
          <w:sz w:val="24"/>
        </w:rPr>
        <w:t>www.ChinaAMC.com</w:t>
      </w:r>
      <w:r w:rsidRPr="004B4F88">
        <w:rPr>
          <w:color w:val="000000"/>
          <w:sz w:val="24"/>
        </w:rPr>
        <w:t>）或拨打本公司客户服务电话（</w:t>
      </w:r>
      <w:r w:rsidRPr="004B4F88">
        <w:rPr>
          <w:color w:val="000000"/>
          <w:sz w:val="24"/>
        </w:rPr>
        <w:t>400-818-6666</w:t>
      </w:r>
      <w:r w:rsidRPr="004B4F88">
        <w:rPr>
          <w:color w:val="000000"/>
          <w:sz w:val="24"/>
        </w:rPr>
        <w:t>）了解有关信息。</w:t>
      </w:r>
    </w:p>
    <w:p w:rsidR="004A0750" w:rsidRPr="004B4F88" w:rsidRDefault="004A0750" w:rsidP="00FD378F">
      <w:pPr>
        <w:spacing w:line="360" w:lineRule="auto"/>
        <w:ind w:firstLineChars="200" w:firstLine="482"/>
        <w:rPr>
          <w:b/>
          <w:sz w:val="24"/>
        </w:rPr>
      </w:pPr>
      <w:r w:rsidRPr="004B4F88">
        <w:rPr>
          <w:b/>
          <w:sz w:val="24"/>
        </w:rPr>
        <w:t>风险提示：基金管理人承诺以诚实信用、勤勉尽责的原则管理和运用基金资产，但不保证基金一定盈利，也不保证最低收益。基金管理人提醒投资者基金投资的</w:t>
      </w:r>
      <w:r w:rsidRPr="004B4F88">
        <w:rPr>
          <w:b/>
          <w:sz w:val="24"/>
        </w:rPr>
        <w:t>“</w:t>
      </w:r>
      <w:r w:rsidRPr="004B4F88">
        <w:rPr>
          <w:b/>
          <w:sz w:val="24"/>
        </w:rPr>
        <w:t>买者自负</w:t>
      </w:r>
      <w:r w:rsidRPr="004B4F88">
        <w:rPr>
          <w:b/>
          <w:sz w:val="24"/>
        </w:rPr>
        <w:t>”</w:t>
      </w:r>
      <w:r w:rsidRPr="004B4F88">
        <w:rPr>
          <w:b/>
          <w:sz w:val="24"/>
        </w:rPr>
        <w:t>原则，在投资者作出投资决策后，基金运营状况与基金净值变化引致的投资风险，由投资者自行负责。</w:t>
      </w:r>
    </w:p>
    <w:p w:rsidR="00F92035" w:rsidRPr="004B4F88" w:rsidRDefault="00F92035" w:rsidP="00FD378F">
      <w:pPr>
        <w:spacing w:line="360" w:lineRule="auto"/>
        <w:ind w:firstLineChars="200" w:firstLine="480"/>
        <w:rPr>
          <w:sz w:val="24"/>
        </w:rPr>
      </w:pPr>
      <w:r w:rsidRPr="004B4F88">
        <w:rPr>
          <w:sz w:val="24"/>
        </w:rPr>
        <w:t>特此公告</w:t>
      </w:r>
    </w:p>
    <w:p w:rsidR="00EE49C0" w:rsidRPr="004B4F88" w:rsidRDefault="00EE49C0" w:rsidP="00FD378F">
      <w:pPr>
        <w:spacing w:line="360" w:lineRule="auto"/>
        <w:ind w:firstLineChars="200" w:firstLine="480"/>
        <w:rPr>
          <w:sz w:val="24"/>
        </w:rPr>
      </w:pPr>
    </w:p>
    <w:p w:rsidR="00EE49C0" w:rsidRPr="004B4F88" w:rsidRDefault="00EE49C0" w:rsidP="00FD378F">
      <w:pPr>
        <w:spacing w:line="360" w:lineRule="auto"/>
        <w:ind w:firstLineChars="200" w:firstLine="480"/>
        <w:rPr>
          <w:sz w:val="24"/>
        </w:rPr>
      </w:pPr>
    </w:p>
    <w:p w:rsidR="004B1FC3" w:rsidRPr="004B4F88" w:rsidRDefault="004B1FC3" w:rsidP="00FD378F">
      <w:pPr>
        <w:snapToGrid w:val="0"/>
        <w:spacing w:line="360" w:lineRule="auto"/>
        <w:jc w:val="right"/>
        <w:rPr>
          <w:kern w:val="0"/>
          <w:sz w:val="24"/>
          <w:szCs w:val="21"/>
        </w:rPr>
      </w:pPr>
      <w:r w:rsidRPr="004B4F88">
        <w:rPr>
          <w:kern w:val="0"/>
          <w:sz w:val="24"/>
          <w:szCs w:val="21"/>
        </w:rPr>
        <w:t>华夏基金管理有限公司</w:t>
      </w:r>
    </w:p>
    <w:p w:rsidR="002D07F4" w:rsidRPr="004B4F88" w:rsidRDefault="00996E41" w:rsidP="00FD378F">
      <w:pPr>
        <w:snapToGrid w:val="0"/>
        <w:spacing w:line="360" w:lineRule="auto"/>
        <w:jc w:val="right"/>
        <w:rPr>
          <w:kern w:val="0"/>
          <w:sz w:val="24"/>
          <w:szCs w:val="21"/>
        </w:rPr>
      </w:pPr>
      <w:r w:rsidRPr="004B4F88">
        <w:rPr>
          <w:kern w:val="0"/>
          <w:sz w:val="24"/>
          <w:szCs w:val="21"/>
        </w:rPr>
        <w:t>二</w:t>
      </w:r>
      <w:r w:rsidR="00133E2F">
        <w:rPr>
          <w:rFonts w:hint="eastAsia"/>
          <w:sz w:val="24"/>
        </w:rPr>
        <w:t>〇</w:t>
      </w:r>
      <w:r w:rsidR="00113F90" w:rsidRPr="004B4F88">
        <w:rPr>
          <w:kern w:val="0"/>
          <w:sz w:val="24"/>
          <w:szCs w:val="21"/>
        </w:rPr>
        <w:t>二</w:t>
      </w:r>
      <w:r w:rsidR="00A07B72" w:rsidRPr="004B4F88">
        <w:rPr>
          <w:kern w:val="0"/>
          <w:sz w:val="24"/>
          <w:szCs w:val="21"/>
        </w:rPr>
        <w:t>五</w:t>
      </w:r>
      <w:r w:rsidR="003744EF" w:rsidRPr="004B4F88">
        <w:rPr>
          <w:kern w:val="0"/>
          <w:sz w:val="24"/>
          <w:szCs w:val="21"/>
        </w:rPr>
        <w:t>年</w:t>
      </w:r>
      <w:r w:rsidR="00A07B72" w:rsidRPr="004B4F88">
        <w:rPr>
          <w:kern w:val="0"/>
          <w:sz w:val="24"/>
          <w:szCs w:val="21"/>
        </w:rPr>
        <w:t>十</w:t>
      </w:r>
      <w:r w:rsidR="0062410B" w:rsidRPr="004B4F88">
        <w:rPr>
          <w:kern w:val="0"/>
          <w:sz w:val="24"/>
          <w:szCs w:val="21"/>
        </w:rPr>
        <w:t>一</w:t>
      </w:r>
      <w:r w:rsidR="003744EF" w:rsidRPr="004B4F88">
        <w:rPr>
          <w:kern w:val="0"/>
          <w:sz w:val="24"/>
          <w:szCs w:val="21"/>
        </w:rPr>
        <w:t>月</w:t>
      </w:r>
      <w:r w:rsidR="00A07B72" w:rsidRPr="004B4F88">
        <w:rPr>
          <w:kern w:val="0"/>
          <w:sz w:val="24"/>
          <w:szCs w:val="21"/>
        </w:rPr>
        <w:t>四</w:t>
      </w:r>
      <w:r w:rsidR="003744EF" w:rsidRPr="004B4F88">
        <w:rPr>
          <w:kern w:val="0"/>
          <w:sz w:val="24"/>
          <w:szCs w:val="21"/>
        </w:rPr>
        <w:t>日</w:t>
      </w:r>
    </w:p>
    <w:p w:rsidR="007412A4" w:rsidRPr="004B4F88" w:rsidRDefault="002D07F4" w:rsidP="002D07F4">
      <w:pPr>
        <w:snapToGrid w:val="0"/>
        <w:spacing w:line="360" w:lineRule="auto"/>
        <w:jc w:val="left"/>
        <w:rPr>
          <w:kern w:val="0"/>
          <w:sz w:val="24"/>
          <w:szCs w:val="21"/>
        </w:rPr>
      </w:pPr>
      <w:r w:rsidRPr="004B4F88">
        <w:rPr>
          <w:kern w:val="0"/>
          <w:sz w:val="24"/>
          <w:szCs w:val="21"/>
        </w:rPr>
        <w:br w:type="page"/>
      </w:r>
      <w:r w:rsidRPr="004B4F88">
        <w:rPr>
          <w:kern w:val="0"/>
          <w:sz w:val="24"/>
          <w:szCs w:val="21"/>
        </w:rPr>
        <w:lastRenderedPageBreak/>
        <w:t>附件：本公司承接产品清单</w:t>
      </w:r>
      <w:r w:rsidR="00B9574B" w:rsidRPr="004B4F88">
        <w:rPr>
          <w:kern w:val="0"/>
          <w:sz w:val="24"/>
          <w:szCs w:val="21"/>
        </w:rPr>
        <w:t>和自行办理业务的截止时间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40"/>
        <w:gridCol w:w="2513"/>
        <w:gridCol w:w="3169"/>
      </w:tblGrid>
      <w:tr w:rsidR="007412A4" w:rsidRPr="004B4F88" w:rsidTr="00512E57">
        <w:trPr>
          <w:jc w:val="center"/>
        </w:trPr>
        <w:tc>
          <w:tcPr>
            <w:tcW w:w="2840" w:type="dxa"/>
            <w:shd w:val="clear" w:color="auto" w:fill="auto"/>
          </w:tcPr>
          <w:p w:rsidR="007412A4" w:rsidRPr="004B4F88" w:rsidRDefault="007412A4">
            <w:pPr>
              <w:snapToGrid w:val="0"/>
              <w:spacing w:line="360" w:lineRule="auto"/>
              <w:jc w:val="center"/>
              <w:rPr>
                <w:b/>
                <w:bCs/>
                <w:kern w:val="0"/>
                <w:sz w:val="24"/>
                <w:szCs w:val="21"/>
              </w:rPr>
            </w:pPr>
            <w:r w:rsidRPr="004B4F88">
              <w:rPr>
                <w:b/>
                <w:bCs/>
                <w:kern w:val="0"/>
                <w:sz w:val="24"/>
                <w:szCs w:val="21"/>
              </w:rPr>
              <w:t>基金简称</w:t>
            </w:r>
          </w:p>
        </w:tc>
        <w:tc>
          <w:tcPr>
            <w:tcW w:w="2513" w:type="dxa"/>
            <w:shd w:val="clear" w:color="auto" w:fill="auto"/>
          </w:tcPr>
          <w:p w:rsidR="007412A4" w:rsidRPr="004B4F88" w:rsidRDefault="007412A4">
            <w:pPr>
              <w:snapToGrid w:val="0"/>
              <w:spacing w:line="360" w:lineRule="auto"/>
              <w:jc w:val="center"/>
              <w:rPr>
                <w:b/>
                <w:bCs/>
                <w:kern w:val="0"/>
                <w:sz w:val="24"/>
                <w:szCs w:val="21"/>
              </w:rPr>
            </w:pPr>
            <w:r w:rsidRPr="004B4F88">
              <w:rPr>
                <w:b/>
                <w:bCs/>
                <w:kern w:val="0"/>
                <w:sz w:val="24"/>
                <w:szCs w:val="21"/>
              </w:rPr>
              <w:t>基金代码</w:t>
            </w:r>
          </w:p>
        </w:tc>
        <w:tc>
          <w:tcPr>
            <w:tcW w:w="3169" w:type="dxa"/>
            <w:shd w:val="clear" w:color="auto" w:fill="auto"/>
          </w:tcPr>
          <w:p w:rsidR="007412A4" w:rsidRPr="004B4F88" w:rsidRDefault="00432C0F">
            <w:pPr>
              <w:snapToGrid w:val="0"/>
              <w:spacing w:line="360" w:lineRule="auto"/>
              <w:jc w:val="center"/>
              <w:rPr>
                <w:b/>
                <w:bCs/>
                <w:kern w:val="0"/>
                <w:sz w:val="24"/>
                <w:szCs w:val="21"/>
              </w:rPr>
            </w:pPr>
            <w:r w:rsidRPr="00512E57">
              <w:rPr>
                <w:rFonts w:hint="eastAsia"/>
                <w:b/>
                <w:bCs/>
                <w:kern w:val="0"/>
                <w:sz w:val="24"/>
                <w:szCs w:val="21"/>
              </w:rPr>
              <w:t>自行办理业务的</w:t>
            </w:r>
            <w:r w:rsidR="007412A4" w:rsidRPr="004B4F88">
              <w:rPr>
                <w:b/>
                <w:bCs/>
                <w:kern w:val="0"/>
                <w:sz w:val="24"/>
                <w:szCs w:val="21"/>
              </w:rPr>
              <w:t>截止时间</w:t>
            </w:r>
          </w:p>
        </w:tc>
      </w:tr>
      <w:tr w:rsidR="007412A4" w:rsidRPr="004B4F88" w:rsidTr="00512E57">
        <w:trPr>
          <w:jc w:val="center"/>
        </w:trPr>
        <w:tc>
          <w:tcPr>
            <w:tcW w:w="2840" w:type="dxa"/>
            <w:shd w:val="clear" w:color="auto" w:fill="auto"/>
          </w:tcPr>
          <w:p w:rsidR="007412A4" w:rsidRPr="004B4F88" w:rsidRDefault="007412A4">
            <w:pPr>
              <w:snapToGrid w:val="0"/>
              <w:spacing w:line="360" w:lineRule="auto"/>
              <w:jc w:val="left"/>
              <w:rPr>
                <w:b/>
                <w:bCs/>
                <w:kern w:val="0"/>
                <w:sz w:val="24"/>
                <w:szCs w:val="21"/>
              </w:rPr>
            </w:pPr>
            <w:r w:rsidRPr="004B4F88">
              <w:t>华夏大中华信用债券</w:t>
            </w:r>
            <w:r w:rsidRPr="004B4F88">
              <w:t>A</w:t>
            </w:r>
            <w:r w:rsidRPr="004B4F88">
              <w:t>（</w:t>
            </w:r>
            <w:r w:rsidRPr="004B4F88">
              <w:t>QDII</w:t>
            </w:r>
            <w:r w:rsidRPr="004B4F88">
              <w:t>）</w:t>
            </w:r>
            <w:r w:rsidR="00F83197">
              <w:rPr>
                <w:rFonts w:hint="eastAsia"/>
              </w:rPr>
              <w:t>（人民币）</w:t>
            </w:r>
          </w:p>
        </w:tc>
        <w:tc>
          <w:tcPr>
            <w:tcW w:w="2513" w:type="dxa"/>
            <w:shd w:val="clear" w:color="auto" w:fill="auto"/>
          </w:tcPr>
          <w:p w:rsidR="007412A4" w:rsidRPr="004B4F88" w:rsidRDefault="007412A4">
            <w:pPr>
              <w:snapToGrid w:val="0"/>
              <w:spacing w:line="360" w:lineRule="auto"/>
              <w:jc w:val="left"/>
              <w:rPr>
                <w:b/>
                <w:bCs/>
                <w:kern w:val="0"/>
                <w:sz w:val="24"/>
                <w:szCs w:val="21"/>
              </w:rPr>
            </w:pPr>
            <w:r w:rsidRPr="004B4F88">
              <w:t>002877</w:t>
            </w:r>
          </w:p>
        </w:tc>
        <w:tc>
          <w:tcPr>
            <w:tcW w:w="3169" w:type="dxa"/>
            <w:shd w:val="clear" w:color="auto" w:fill="auto"/>
            <w:vAlign w:val="center"/>
          </w:tcPr>
          <w:p w:rsidR="007412A4" w:rsidRPr="00247EAE" w:rsidRDefault="00247EAE">
            <w:pPr>
              <w:snapToGrid w:val="0"/>
              <w:spacing w:line="360" w:lineRule="auto"/>
              <w:jc w:val="left"/>
              <w:rPr>
                <w:b/>
                <w:bCs/>
                <w:kern w:val="0"/>
                <w:sz w:val="24"/>
                <w:szCs w:val="21"/>
              </w:rPr>
            </w:pPr>
            <w:r w:rsidRPr="00512E57">
              <w:rPr>
                <w:b/>
              </w:rPr>
              <w:t>2025</w:t>
            </w:r>
            <w:r w:rsidRPr="00512E57">
              <w:rPr>
                <w:rFonts w:hint="eastAsia"/>
                <w:b/>
              </w:rPr>
              <w:t>年</w:t>
            </w:r>
            <w:r w:rsidR="007412A4" w:rsidRPr="00512E57">
              <w:rPr>
                <w:b/>
              </w:rPr>
              <w:t>11</w:t>
            </w:r>
            <w:r w:rsidR="007412A4" w:rsidRPr="00512E57">
              <w:rPr>
                <w:rFonts w:hint="eastAsia"/>
                <w:b/>
              </w:rPr>
              <w:t>月</w:t>
            </w:r>
            <w:r w:rsidR="007412A4" w:rsidRPr="00512E57">
              <w:rPr>
                <w:b/>
              </w:rPr>
              <w:t>4</w:t>
            </w:r>
            <w:r w:rsidR="007412A4" w:rsidRPr="00512E57">
              <w:rPr>
                <w:rFonts w:hint="eastAsia"/>
                <w:b/>
              </w:rPr>
              <w:t>日</w:t>
            </w:r>
            <w:r w:rsidR="007412A4" w:rsidRPr="00512E57">
              <w:rPr>
                <w:b/>
              </w:rPr>
              <w:t>14</w:t>
            </w:r>
            <w:r w:rsidR="007412A4" w:rsidRPr="00512E57">
              <w:rPr>
                <w:rFonts w:hint="eastAsia"/>
                <w:b/>
              </w:rPr>
              <w:t>点</w:t>
            </w:r>
          </w:p>
        </w:tc>
      </w:tr>
      <w:tr w:rsidR="00432C0F" w:rsidRPr="004B4F88" w:rsidTr="00512E57">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华夏双债债券</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000047</w:t>
            </w:r>
          </w:p>
        </w:tc>
        <w:tc>
          <w:tcPr>
            <w:tcW w:w="3169" w:type="dxa"/>
            <w:vMerge w:val="restart"/>
            <w:shd w:val="clear" w:color="auto" w:fill="auto"/>
            <w:vAlign w:val="center"/>
          </w:tcPr>
          <w:p w:rsidR="00432C0F" w:rsidRPr="00512E57" w:rsidRDefault="00247EAE" w:rsidP="00334AE6">
            <w:pPr>
              <w:snapToGrid w:val="0"/>
              <w:spacing w:line="360" w:lineRule="auto"/>
              <w:jc w:val="left"/>
              <w:rPr>
                <w:b/>
                <w:kern w:val="0"/>
                <w:sz w:val="24"/>
                <w:szCs w:val="21"/>
              </w:rPr>
            </w:pPr>
            <w:r w:rsidRPr="00512E57">
              <w:rPr>
                <w:b/>
              </w:rPr>
              <w:t>2025</w:t>
            </w:r>
            <w:r w:rsidRPr="00512E57">
              <w:rPr>
                <w:rFonts w:hint="eastAsia"/>
                <w:b/>
              </w:rPr>
              <w:t>年</w:t>
            </w:r>
            <w:r w:rsidR="00432C0F" w:rsidRPr="00512E57">
              <w:rPr>
                <w:b/>
              </w:rPr>
              <w:t>11</w:t>
            </w:r>
            <w:r w:rsidR="00432C0F" w:rsidRPr="00512E57">
              <w:rPr>
                <w:rFonts w:hint="eastAsia"/>
                <w:b/>
              </w:rPr>
              <w:t>月</w:t>
            </w:r>
            <w:r w:rsidR="00432C0F" w:rsidRPr="00512E57">
              <w:rPr>
                <w:b/>
              </w:rPr>
              <w:t>6</w:t>
            </w:r>
            <w:r w:rsidR="00432C0F" w:rsidRPr="00512E57">
              <w:rPr>
                <w:rFonts w:hint="eastAsia"/>
                <w:b/>
              </w:rPr>
              <w:t>日</w:t>
            </w:r>
            <w:r w:rsidR="00432C0F" w:rsidRPr="00512E57">
              <w:rPr>
                <w:b/>
              </w:rPr>
              <w:t>14</w:t>
            </w:r>
            <w:r w:rsidR="00432C0F" w:rsidRPr="00512E57">
              <w:rPr>
                <w:rFonts w:hint="eastAsia"/>
                <w:b/>
              </w:rPr>
              <w:t>点</w:t>
            </w: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华夏医疗健康混合</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000945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华夏医疗健康混合</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000946</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华夏沪深</w:t>
            </w:r>
            <w:r w:rsidRPr="004B4F88">
              <w:t>300</w:t>
            </w:r>
            <w:r w:rsidRPr="004B4F88">
              <w:t>指数增强</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001015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华夏沪深</w:t>
            </w:r>
            <w:r w:rsidRPr="004B4F88">
              <w:t>300</w:t>
            </w:r>
            <w:r w:rsidRPr="004B4F88">
              <w:t>指数增强</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001016</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华夏可转债增强债券</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001045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华夏收益宝货币</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001929</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华夏节能环保股票</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004640</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华夏创业板</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006248</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华夏创业板</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006249</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华夏科技成长股票</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006868</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华夏创业板成长</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007474</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华夏饲料豆粕期货</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007937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华夏中证全指证券公司</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007992</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华夏中证全指证券公司</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007993</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w:t>
            </w:r>
            <w:r w:rsidRPr="004B4F88">
              <w:t>500</w:t>
            </w:r>
            <w:r w:rsidRPr="004B4F88">
              <w:t>指数增强</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007994</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w:t>
            </w:r>
            <w:r w:rsidRPr="004B4F88">
              <w:t>500</w:t>
            </w:r>
            <w:r w:rsidRPr="004B4F88">
              <w:t>指数增强</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007995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华夏中证银行</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008299</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华夏见龙精选混合</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008308</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华夏人工智能</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008585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华夏人工智能</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008586</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华夏黄金</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008701</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华夏黄金</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008702</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华夏安泰对冲策略</w:t>
            </w:r>
            <w:r w:rsidRPr="004B4F88">
              <w:t>3</w:t>
            </w:r>
            <w:r w:rsidRPr="004B4F88">
              <w:t>个月定开混合</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008856</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华夏国证半导体芯片</w:t>
            </w:r>
            <w:r w:rsidRPr="004B4F88">
              <w:t>ETF</w:t>
            </w:r>
            <w:r w:rsidRPr="004B4F88">
              <w:t>联</w:t>
            </w:r>
            <w:r w:rsidRPr="004B4F88">
              <w:lastRenderedPageBreak/>
              <w:t>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lastRenderedPageBreak/>
              <w:t>008887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lastRenderedPageBreak/>
              <w:t>华夏国证半导体芯片</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008888</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华夏核心资产混合</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010333</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华夏磐益一年定开混合</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010695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华夏消费龙头混合</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011282</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华夏惠利货币</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011547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华夏科创</w:t>
            </w:r>
            <w:r w:rsidRPr="004B4F88">
              <w:t>50ETF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011612</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华夏科创</w:t>
            </w:r>
            <w:r w:rsidRPr="004B4F88">
              <w:t>50ETF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011613</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华夏互联网龙头混合</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012447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华夏中证光伏产业指数发起式</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012885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华夏中证光伏产业指数发起式</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012886</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华夏可转债增强债券</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012887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华夏中证新能源汽车</w:t>
            </w:r>
            <w:r w:rsidRPr="004B4F88">
              <w:t>ETF</w:t>
            </w:r>
            <w:r w:rsidRPr="004B4F88">
              <w:t>发起式联接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013013</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华夏中证新能源汽车</w:t>
            </w:r>
            <w:r w:rsidRPr="004B4F88">
              <w:t>ETF</w:t>
            </w:r>
            <w:r w:rsidRPr="004B4F88">
              <w:t>发起式联接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013014</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华夏新能源车龙头混合发起式</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013395</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华夏恒生科技</w:t>
            </w:r>
            <w:r w:rsidRPr="004B4F88">
              <w:t>ETF</w:t>
            </w:r>
            <w:r w:rsidRPr="004B4F88">
              <w:t>发起式联接（</w:t>
            </w:r>
            <w:r w:rsidRPr="004B4F88">
              <w:t>QDII</w:t>
            </w:r>
            <w:r w:rsidRPr="004B4F88">
              <w:t>）</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013402</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华夏恒生科技</w:t>
            </w:r>
            <w:r w:rsidRPr="004B4F88">
              <w:t>ETF</w:t>
            </w:r>
            <w:r w:rsidRPr="004B4F88">
              <w:t>发起式联接（</w:t>
            </w:r>
            <w:r w:rsidRPr="004B4F88">
              <w:t>QDII</w:t>
            </w:r>
            <w:r w:rsidRPr="004B4F88">
              <w:t>）</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013403</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w:t>
            </w:r>
            <w:r w:rsidRPr="004B4F88">
              <w:t>30</w:t>
            </w:r>
            <w:r w:rsidRPr="004B4F88">
              <w:t>天滚动短债债券发起式</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014517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华夏中证农业主题</w:t>
            </w:r>
            <w:r w:rsidRPr="004B4F88">
              <w:t>ETF</w:t>
            </w:r>
            <w:r w:rsidRPr="004B4F88">
              <w:t>发起式联接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016077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华夏远见成长一年持有混合</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016250</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华夏新材料龙头混合发起式</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017697</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华夏消费电子</w:t>
            </w:r>
            <w:r w:rsidRPr="004B4F88">
              <w:t>ETF</w:t>
            </w:r>
            <w:r w:rsidRPr="004B4F88">
              <w:t>联接</w:t>
            </w:r>
            <w:r w:rsidRPr="004B4F88">
              <w:t>C</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018301</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华夏科创</w:t>
            </w:r>
            <w:r w:rsidRPr="004B4F88">
              <w:t>100ETF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020291</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华夏半导体材料设备</w:t>
            </w:r>
            <w:r w:rsidRPr="004B4F88">
              <w:t>ETF</w:t>
            </w:r>
            <w:r w:rsidRPr="004B4F88">
              <w:t>联接</w:t>
            </w:r>
            <w:r w:rsidRPr="004B4F88">
              <w:t>A</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020356</w:t>
            </w:r>
          </w:p>
        </w:tc>
        <w:tc>
          <w:tcPr>
            <w:tcW w:w="3169" w:type="dxa"/>
            <w:vMerge/>
            <w:shd w:val="clear" w:color="auto" w:fill="auto"/>
          </w:tcPr>
          <w:p w:rsidR="00432C0F" w:rsidRPr="004B4F88" w:rsidRDefault="00432C0F" w:rsidP="00334AE6">
            <w:pPr>
              <w:snapToGrid w:val="0"/>
              <w:spacing w:line="360" w:lineRule="auto"/>
              <w:jc w:val="left"/>
              <w:rPr>
                <w:kern w:val="0"/>
                <w:sz w:val="24"/>
                <w:szCs w:val="21"/>
              </w:rPr>
            </w:pPr>
          </w:p>
        </w:tc>
      </w:tr>
      <w:tr w:rsidR="00432C0F" w:rsidRPr="004B4F88" w:rsidTr="00334AE6">
        <w:trPr>
          <w:jc w:val="center"/>
        </w:trPr>
        <w:tc>
          <w:tcPr>
            <w:tcW w:w="2840" w:type="dxa"/>
            <w:shd w:val="clear" w:color="auto" w:fill="auto"/>
          </w:tcPr>
          <w:p w:rsidR="00432C0F" w:rsidRPr="004B4F88" w:rsidRDefault="00432C0F">
            <w:pPr>
              <w:snapToGrid w:val="0"/>
              <w:spacing w:line="360" w:lineRule="auto"/>
              <w:jc w:val="left"/>
              <w:rPr>
                <w:kern w:val="0"/>
                <w:sz w:val="24"/>
                <w:szCs w:val="21"/>
              </w:rPr>
            </w:pPr>
            <w:r w:rsidRPr="004B4F88">
              <w:t>华夏货币</w:t>
            </w:r>
            <w:r w:rsidRPr="004B4F88">
              <w:t>B</w:t>
            </w:r>
          </w:p>
        </w:tc>
        <w:tc>
          <w:tcPr>
            <w:tcW w:w="2513" w:type="dxa"/>
            <w:shd w:val="clear" w:color="auto" w:fill="auto"/>
          </w:tcPr>
          <w:p w:rsidR="00432C0F" w:rsidRPr="004B4F88" w:rsidRDefault="00432C0F">
            <w:pPr>
              <w:snapToGrid w:val="0"/>
              <w:spacing w:line="360" w:lineRule="auto"/>
              <w:jc w:val="left"/>
              <w:rPr>
                <w:kern w:val="0"/>
                <w:sz w:val="24"/>
                <w:szCs w:val="21"/>
              </w:rPr>
            </w:pPr>
            <w:r w:rsidRPr="004B4F88">
              <w:t>288201</w:t>
            </w:r>
          </w:p>
        </w:tc>
        <w:tc>
          <w:tcPr>
            <w:tcW w:w="3169" w:type="dxa"/>
            <w:vMerge/>
            <w:shd w:val="clear" w:color="auto" w:fill="auto"/>
          </w:tcPr>
          <w:p w:rsidR="00432C0F" w:rsidRPr="004B4F88" w:rsidRDefault="00432C0F">
            <w:pPr>
              <w:snapToGrid w:val="0"/>
              <w:spacing w:line="360" w:lineRule="auto"/>
              <w:jc w:val="left"/>
              <w:rPr>
                <w:kern w:val="0"/>
                <w:sz w:val="24"/>
                <w:szCs w:val="21"/>
              </w:rPr>
            </w:pPr>
          </w:p>
        </w:tc>
      </w:tr>
    </w:tbl>
    <w:p w:rsidR="004B1FC3" w:rsidRPr="004B4F88" w:rsidRDefault="004B1FC3" w:rsidP="002D07F4">
      <w:pPr>
        <w:snapToGrid w:val="0"/>
        <w:spacing w:line="360" w:lineRule="auto"/>
        <w:jc w:val="left"/>
        <w:rPr>
          <w:kern w:val="0"/>
          <w:sz w:val="24"/>
          <w:szCs w:val="21"/>
        </w:rPr>
      </w:pPr>
    </w:p>
    <w:p w:rsidR="002D07F4" w:rsidRPr="004B4F88" w:rsidRDefault="002D07F4" w:rsidP="002D07F4">
      <w:pPr>
        <w:snapToGrid w:val="0"/>
        <w:spacing w:line="360" w:lineRule="auto"/>
        <w:jc w:val="left"/>
        <w:rPr>
          <w:sz w:val="24"/>
        </w:rPr>
      </w:pPr>
    </w:p>
    <w:sectPr w:rsidR="002D07F4" w:rsidRPr="004B4F88" w:rsidSect="00FD378F">
      <w:headerReference w:type="even" r:id="rId7"/>
      <w:headerReference w:type="default" r:id="rId8"/>
      <w:pgSz w:w="11906" w:h="16838"/>
      <w:pgMar w:top="1440" w:right="1800" w:bottom="1440" w:left="1800" w:header="851" w:footer="992" w:gutter="0"/>
      <w:cols w:space="425"/>
      <w:docGrid w:type="lines" w:linePitch="317" w:charSpace="609"/>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5AA6" w:rsidRDefault="006F5AA6" w:rsidP="00436E62">
      <w:r>
        <w:separator/>
      </w:r>
    </w:p>
  </w:endnote>
  <w:endnote w:type="continuationSeparator" w:id="0">
    <w:p w:rsidR="006F5AA6" w:rsidRDefault="006F5AA6" w:rsidP="00436E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5AA6" w:rsidRDefault="006F5AA6" w:rsidP="00436E62">
      <w:r>
        <w:separator/>
      </w:r>
    </w:p>
  </w:footnote>
  <w:footnote w:type="continuationSeparator" w:id="0">
    <w:p w:rsidR="006F5AA6" w:rsidRDefault="006F5AA6" w:rsidP="00436E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DF" w:rsidRDefault="007627DF" w:rsidP="00FD378F">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7DF" w:rsidRDefault="007627DF" w:rsidP="00FD378F">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stylePaneFormatFilter w:val="3F01"/>
  <w:doNotTrackMoves/>
  <w:defaultTabStop w:val="420"/>
  <w:drawingGridHorizontalSpacing w:val="213"/>
  <w:drawingGridVerticalSpacing w:val="317"/>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A4F93"/>
    <w:rsid w:val="00005659"/>
    <w:rsid w:val="00032539"/>
    <w:rsid w:val="00034058"/>
    <w:rsid w:val="0003759D"/>
    <w:rsid w:val="00041F3F"/>
    <w:rsid w:val="000420B2"/>
    <w:rsid w:val="00044291"/>
    <w:rsid w:val="00046E02"/>
    <w:rsid w:val="0006098B"/>
    <w:rsid w:val="000726F4"/>
    <w:rsid w:val="00082EE7"/>
    <w:rsid w:val="000850F5"/>
    <w:rsid w:val="00091DAF"/>
    <w:rsid w:val="000945B8"/>
    <w:rsid w:val="00096237"/>
    <w:rsid w:val="000A359E"/>
    <w:rsid w:val="000B47F1"/>
    <w:rsid w:val="000B7847"/>
    <w:rsid w:val="000C56E7"/>
    <w:rsid w:val="000E10F5"/>
    <w:rsid w:val="000E1ECE"/>
    <w:rsid w:val="000E65FA"/>
    <w:rsid w:val="000E6D5F"/>
    <w:rsid w:val="000F0280"/>
    <w:rsid w:val="000F40F5"/>
    <w:rsid w:val="000F7ECC"/>
    <w:rsid w:val="00100A6F"/>
    <w:rsid w:val="001027CD"/>
    <w:rsid w:val="00106A7A"/>
    <w:rsid w:val="00113F90"/>
    <w:rsid w:val="00115AF6"/>
    <w:rsid w:val="00116636"/>
    <w:rsid w:val="00121141"/>
    <w:rsid w:val="00123A0C"/>
    <w:rsid w:val="00133E2F"/>
    <w:rsid w:val="00135ECA"/>
    <w:rsid w:val="001512DF"/>
    <w:rsid w:val="0015572B"/>
    <w:rsid w:val="00157813"/>
    <w:rsid w:val="00160B59"/>
    <w:rsid w:val="0016202B"/>
    <w:rsid w:val="00174B64"/>
    <w:rsid w:val="0018199B"/>
    <w:rsid w:val="00181FBB"/>
    <w:rsid w:val="0019099B"/>
    <w:rsid w:val="00191EC9"/>
    <w:rsid w:val="001A13D6"/>
    <w:rsid w:val="001A738D"/>
    <w:rsid w:val="001B78AC"/>
    <w:rsid w:val="001C6802"/>
    <w:rsid w:val="001D0EDE"/>
    <w:rsid w:val="001D4A9D"/>
    <w:rsid w:val="001D7ECA"/>
    <w:rsid w:val="001E6AD6"/>
    <w:rsid w:val="001F498B"/>
    <w:rsid w:val="001F4CD8"/>
    <w:rsid w:val="001F4DB0"/>
    <w:rsid w:val="0020249F"/>
    <w:rsid w:val="002065C5"/>
    <w:rsid w:val="00206E37"/>
    <w:rsid w:val="002077F2"/>
    <w:rsid w:val="0021489E"/>
    <w:rsid w:val="00230FB6"/>
    <w:rsid w:val="00232056"/>
    <w:rsid w:val="002354B6"/>
    <w:rsid w:val="002375C3"/>
    <w:rsid w:val="00240483"/>
    <w:rsid w:val="00247EAE"/>
    <w:rsid w:val="00254877"/>
    <w:rsid w:val="00266F98"/>
    <w:rsid w:val="002719E3"/>
    <w:rsid w:val="00274292"/>
    <w:rsid w:val="00277112"/>
    <w:rsid w:val="002823ED"/>
    <w:rsid w:val="00293E3C"/>
    <w:rsid w:val="002A1D48"/>
    <w:rsid w:val="002A3E48"/>
    <w:rsid w:val="002A6C29"/>
    <w:rsid w:val="002A703B"/>
    <w:rsid w:val="002B3420"/>
    <w:rsid w:val="002B5DE3"/>
    <w:rsid w:val="002B7675"/>
    <w:rsid w:val="002C1D63"/>
    <w:rsid w:val="002D07F4"/>
    <w:rsid w:val="002D649E"/>
    <w:rsid w:val="002D762F"/>
    <w:rsid w:val="002E2B0A"/>
    <w:rsid w:val="002E4220"/>
    <w:rsid w:val="00301D45"/>
    <w:rsid w:val="00311B32"/>
    <w:rsid w:val="00316E92"/>
    <w:rsid w:val="00321B9D"/>
    <w:rsid w:val="00334828"/>
    <w:rsid w:val="0034685F"/>
    <w:rsid w:val="00347E84"/>
    <w:rsid w:val="003534BA"/>
    <w:rsid w:val="00360B29"/>
    <w:rsid w:val="00365422"/>
    <w:rsid w:val="0036620D"/>
    <w:rsid w:val="003744EF"/>
    <w:rsid w:val="00376B5C"/>
    <w:rsid w:val="0038757F"/>
    <w:rsid w:val="00393990"/>
    <w:rsid w:val="003A4F93"/>
    <w:rsid w:val="003C1068"/>
    <w:rsid w:val="003D5305"/>
    <w:rsid w:val="003D784B"/>
    <w:rsid w:val="00404034"/>
    <w:rsid w:val="004173DC"/>
    <w:rsid w:val="00427988"/>
    <w:rsid w:val="00432C0F"/>
    <w:rsid w:val="00436599"/>
    <w:rsid w:val="00436E62"/>
    <w:rsid w:val="004374DE"/>
    <w:rsid w:val="00440AE1"/>
    <w:rsid w:val="004437D3"/>
    <w:rsid w:val="00444FC1"/>
    <w:rsid w:val="00455564"/>
    <w:rsid w:val="00460131"/>
    <w:rsid w:val="004643EA"/>
    <w:rsid w:val="00480002"/>
    <w:rsid w:val="00480023"/>
    <w:rsid w:val="00480A8F"/>
    <w:rsid w:val="00481B4D"/>
    <w:rsid w:val="00484273"/>
    <w:rsid w:val="00493FA9"/>
    <w:rsid w:val="004A0750"/>
    <w:rsid w:val="004A1DF3"/>
    <w:rsid w:val="004B0379"/>
    <w:rsid w:val="004B1FC3"/>
    <w:rsid w:val="004B4F88"/>
    <w:rsid w:val="004C1612"/>
    <w:rsid w:val="004E2706"/>
    <w:rsid w:val="004E506E"/>
    <w:rsid w:val="004F1912"/>
    <w:rsid w:val="004F483F"/>
    <w:rsid w:val="0050073D"/>
    <w:rsid w:val="005033E3"/>
    <w:rsid w:val="00512E57"/>
    <w:rsid w:val="00520E66"/>
    <w:rsid w:val="00521671"/>
    <w:rsid w:val="005349DE"/>
    <w:rsid w:val="00534F52"/>
    <w:rsid w:val="005412B5"/>
    <w:rsid w:val="00551E44"/>
    <w:rsid w:val="00557147"/>
    <w:rsid w:val="00566811"/>
    <w:rsid w:val="00573F3C"/>
    <w:rsid w:val="005912D3"/>
    <w:rsid w:val="00592905"/>
    <w:rsid w:val="00594F54"/>
    <w:rsid w:val="005A0DE4"/>
    <w:rsid w:val="005B2630"/>
    <w:rsid w:val="005B2C46"/>
    <w:rsid w:val="005B32B3"/>
    <w:rsid w:val="005B79AB"/>
    <w:rsid w:val="005C029A"/>
    <w:rsid w:val="005C6F3B"/>
    <w:rsid w:val="005E3A93"/>
    <w:rsid w:val="005F0BAB"/>
    <w:rsid w:val="005F1C92"/>
    <w:rsid w:val="00601435"/>
    <w:rsid w:val="006142BA"/>
    <w:rsid w:val="0062410B"/>
    <w:rsid w:val="00630500"/>
    <w:rsid w:val="0064786E"/>
    <w:rsid w:val="00676AFA"/>
    <w:rsid w:val="00677D7E"/>
    <w:rsid w:val="00680AEB"/>
    <w:rsid w:val="006835A0"/>
    <w:rsid w:val="00687281"/>
    <w:rsid w:val="0069179C"/>
    <w:rsid w:val="00695E7E"/>
    <w:rsid w:val="00696AD6"/>
    <w:rsid w:val="006B4684"/>
    <w:rsid w:val="006E1158"/>
    <w:rsid w:val="006E50F9"/>
    <w:rsid w:val="006E5FE2"/>
    <w:rsid w:val="006F4CEC"/>
    <w:rsid w:val="006F5AA6"/>
    <w:rsid w:val="006F6EDC"/>
    <w:rsid w:val="007105BE"/>
    <w:rsid w:val="00712FB7"/>
    <w:rsid w:val="00720C6A"/>
    <w:rsid w:val="00733878"/>
    <w:rsid w:val="007412A4"/>
    <w:rsid w:val="00757BA1"/>
    <w:rsid w:val="007627DF"/>
    <w:rsid w:val="007866AA"/>
    <w:rsid w:val="007A7916"/>
    <w:rsid w:val="007B3E4B"/>
    <w:rsid w:val="007B5D9D"/>
    <w:rsid w:val="007C41D0"/>
    <w:rsid w:val="007D29B8"/>
    <w:rsid w:val="007D4D99"/>
    <w:rsid w:val="007E6596"/>
    <w:rsid w:val="007E76B5"/>
    <w:rsid w:val="007F1F7A"/>
    <w:rsid w:val="007F36C8"/>
    <w:rsid w:val="00814EB5"/>
    <w:rsid w:val="0083670F"/>
    <w:rsid w:val="008422DB"/>
    <w:rsid w:val="00853D16"/>
    <w:rsid w:val="00857D69"/>
    <w:rsid w:val="00875B4E"/>
    <w:rsid w:val="00876E55"/>
    <w:rsid w:val="00880B14"/>
    <w:rsid w:val="00880B2D"/>
    <w:rsid w:val="00897BDC"/>
    <w:rsid w:val="008A17DD"/>
    <w:rsid w:val="008B002B"/>
    <w:rsid w:val="008B793C"/>
    <w:rsid w:val="008C6F9F"/>
    <w:rsid w:val="008D7DAF"/>
    <w:rsid w:val="008F048B"/>
    <w:rsid w:val="0090060D"/>
    <w:rsid w:val="00904EE6"/>
    <w:rsid w:val="00911CAC"/>
    <w:rsid w:val="00917488"/>
    <w:rsid w:val="00933B66"/>
    <w:rsid w:val="00933F14"/>
    <w:rsid w:val="00935A76"/>
    <w:rsid w:val="00946B5C"/>
    <w:rsid w:val="00960AAC"/>
    <w:rsid w:val="009619BF"/>
    <w:rsid w:val="0097265D"/>
    <w:rsid w:val="00973480"/>
    <w:rsid w:val="0097405D"/>
    <w:rsid w:val="009746FE"/>
    <w:rsid w:val="00975BB3"/>
    <w:rsid w:val="00980418"/>
    <w:rsid w:val="0098712D"/>
    <w:rsid w:val="0099492F"/>
    <w:rsid w:val="00996E41"/>
    <w:rsid w:val="009977E9"/>
    <w:rsid w:val="009A6295"/>
    <w:rsid w:val="009B5346"/>
    <w:rsid w:val="009B5B09"/>
    <w:rsid w:val="009B6215"/>
    <w:rsid w:val="009B6D8D"/>
    <w:rsid w:val="009C0925"/>
    <w:rsid w:val="009C6110"/>
    <w:rsid w:val="009D2C17"/>
    <w:rsid w:val="009F0E92"/>
    <w:rsid w:val="00A00F59"/>
    <w:rsid w:val="00A07B72"/>
    <w:rsid w:val="00A241C5"/>
    <w:rsid w:val="00A25431"/>
    <w:rsid w:val="00A2631E"/>
    <w:rsid w:val="00A37D93"/>
    <w:rsid w:val="00A41F4B"/>
    <w:rsid w:val="00A42403"/>
    <w:rsid w:val="00A47B3F"/>
    <w:rsid w:val="00A55A95"/>
    <w:rsid w:val="00A55D99"/>
    <w:rsid w:val="00A63B94"/>
    <w:rsid w:val="00A85494"/>
    <w:rsid w:val="00A9038B"/>
    <w:rsid w:val="00AA112D"/>
    <w:rsid w:val="00AA602A"/>
    <w:rsid w:val="00AB1A79"/>
    <w:rsid w:val="00AB535B"/>
    <w:rsid w:val="00AE0001"/>
    <w:rsid w:val="00AE1545"/>
    <w:rsid w:val="00AE2063"/>
    <w:rsid w:val="00AE45C5"/>
    <w:rsid w:val="00B2519A"/>
    <w:rsid w:val="00B3061F"/>
    <w:rsid w:val="00B354DB"/>
    <w:rsid w:val="00B37BCD"/>
    <w:rsid w:val="00B40456"/>
    <w:rsid w:val="00B45B38"/>
    <w:rsid w:val="00B726AF"/>
    <w:rsid w:val="00B77C1D"/>
    <w:rsid w:val="00B9574B"/>
    <w:rsid w:val="00BB2AEF"/>
    <w:rsid w:val="00BE66A2"/>
    <w:rsid w:val="00BF37E2"/>
    <w:rsid w:val="00BF7A8B"/>
    <w:rsid w:val="00C04D0F"/>
    <w:rsid w:val="00C0707F"/>
    <w:rsid w:val="00C16A80"/>
    <w:rsid w:val="00C24E0A"/>
    <w:rsid w:val="00C2599D"/>
    <w:rsid w:val="00C31B0A"/>
    <w:rsid w:val="00C3429B"/>
    <w:rsid w:val="00C50863"/>
    <w:rsid w:val="00C834B4"/>
    <w:rsid w:val="00CA1F2F"/>
    <w:rsid w:val="00CA733A"/>
    <w:rsid w:val="00CB7702"/>
    <w:rsid w:val="00CD6205"/>
    <w:rsid w:val="00CD75F1"/>
    <w:rsid w:val="00CD795A"/>
    <w:rsid w:val="00CE21C9"/>
    <w:rsid w:val="00CE2478"/>
    <w:rsid w:val="00CE6AA8"/>
    <w:rsid w:val="00CF5CEB"/>
    <w:rsid w:val="00D0348B"/>
    <w:rsid w:val="00D047D6"/>
    <w:rsid w:val="00D071EE"/>
    <w:rsid w:val="00D07522"/>
    <w:rsid w:val="00D11FCB"/>
    <w:rsid w:val="00D20D68"/>
    <w:rsid w:val="00D31D3F"/>
    <w:rsid w:val="00D36436"/>
    <w:rsid w:val="00D36FA3"/>
    <w:rsid w:val="00D521EB"/>
    <w:rsid w:val="00D5391D"/>
    <w:rsid w:val="00D71384"/>
    <w:rsid w:val="00D915F8"/>
    <w:rsid w:val="00D97982"/>
    <w:rsid w:val="00DA43C7"/>
    <w:rsid w:val="00DB0BC9"/>
    <w:rsid w:val="00DB1F30"/>
    <w:rsid w:val="00DC0845"/>
    <w:rsid w:val="00DC0FF8"/>
    <w:rsid w:val="00DC7C88"/>
    <w:rsid w:val="00DD3332"/>
    <w:rsid w:val="00DD5F70"/>
    <w:rsid w:val="00DE57AA"/>
    <w:rsid w:val="00DF1916"/>
    <w:rsid w:val="00E04337"/>
    <w:rsid w:val="00E06407"/>
    <w:rsid w:val="00E069BD"/>
    <w:rsid w:val="00E12B1B"/>
    <w:rsid w:val="00E16655"/>
    <w:rsid w:val="00E2047D"/>
    <w:rsid w:val="00E2464B"/>
    <w:rsid w:val="00E251A1"/>
    <w:rsid w:val="00E409D9"/>
    <w:rsid w:val="00E61393"/>
    <w:rsid w:val="00E61958"/>
    <w:rsid w:val="00E6554F"/>
    <w:rsid w:val="00E66A63"/>
    <w:rsid w:val="00E67C6A"/>
    <w:rsid w:val="00E87A64"/>
    <w:rsid w:val="00E97479"/>
    <w:rsid w:val="00EB032C"/>
    <w:rsid w:val="00EC5871"/>
    <w:rsid w:val="00EC7DD9"/>
    <w:rsid w:val="00ED1101"/>
    <w:rsid w:val="00ED4091"/>
    <w:rsid w:val="00EE0B53"/>
    <w:rsid w:val="00EE49C0"/>
    <w:rsid w:val="00EF0445"/>
    <w:rsid w:val="00EF138B"/>
    <w:rsid w:val="00EF5A3B"/>
    <w:rsid w:val="00EF7638"/>
    <w:rsid w:val="00F139ED"/>
    <w:rsid w:val="00F22D05"/>
    <w:rsid w:val="00F24B16"/>
    <w:rsid w:val="00F30321"/>
    <w:rsid w:val="00F40E92"/>
    <w:rsid w:val="00F67CCA"/>
    <w:rsid w:val="00F76167"/>
    <w:rsid w:val="00F80A60"/>
    <w:rsid w:val="00F83197"/>
    <w:rsid w:val="00F832C1"/>
    <w:rsid w:val="00F92035"/>
    <w:rsid w:val="00F923A1"/>
    <w:rsid w:val="00F96EEC"/>
    <w:rsid w:val="00FA4001"/>
    <w:rsid w:val="00FB61D5"/>
    <w:rsid w:val="00FC0298"/>
    <w:rsid w:val="00FC2506"/>
    <w:rsid w:val="00FD378F"/>
    <w:rsid w:val="00FD6D23"/>
    <w:rsid w:val="00FD7D82"/>
    <w:rsid w:val="00FE4D7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0F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0E10F5"/>
    <w:rPr>
      <w:sz w:val="21"/>
      <w:szCs w:val="21"/>
    </w:rPr>
  </w:style>
  <w:style w:type="paragraph" w:styleId="a4">
    <w:name w:val="annotation text"/>
    <w:basedOn w:val="a"/>
    <w:semiHidden/>
    <w:rsid w:val="000E10F5"/>
    <w:pPr>
      <w:jc w:val="left"/>
    </w:pPr>
  </w:style>
  <w:style w:type="paragraph" w:styleId="a5">
    <w:name w:val="Balloon Text"/>
    <w:basedOn w:val="a"/>
    <w:semiHidden/>
    <w:rsid w:val="004B1FC3"/>
    <w:rPr>
      <w:sz w:val="18"/>
      <w:szCs w:val="18"/>
    </w:rPr>
  </w:style>
  <w:style w:type="paragraph" w:customStyle="1" w:styleId="Char">
    <w:name w:val="Char"/>
    <w:basedOn w:val="a"/>
    <w:rsid w:val="00960AAC"/>
  </w:style>
  <w:style w:type="paragraph" w:styleId="a6">
    <w:name w:val="header"/>
    <w:basedOn w:val="a"/>
    <w:link w:val="Char0"/>
    <w:rsid w:val="00436E62"/>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6"/>
    <w:rsid w:val="00436E62"/>
    <w:rPr>
      <w:kern w:val="2"/>
      <w:sz w:val="18"/>
      <w:szCs w:val="18"/>
    </w:rPr>
  </w:style>
  <w:style w:type="paragraph" w:styleId="a7">
    <w:name w:val="footer"/>
    <w:basedOn w:val="a"/>
    <w:link w:val="Char1"/>
    <w:rsid w:val="00436E62"/>
    <w:pPr>
      <w:tabs>
        <w:tab w:val="center" w:pos="4153"/>
        <w:tab w:val="right" w:pos="8306"/>
      </w:tabs>
      <w:snapToGrid w:val="0"/>
      <w:jc w:val="left"/>
    </w:pPr>
    <w:rPr>
      <w:sz w:val="18"/>
      <w:szCs w:val="18"/>
    </w:rPr>
  </w:style>
  <w:style w:type="character" w:customStyle="1" w:styleId="Char1">
    <w:name w:val="页脚 Char"/>
    <w:link w:val="a7"/>
    <w:rsid w:val="00436E62"/>
    <w:rPr>
      <w:kern w:val="2"/>
      <w:sz w:val="18"/>
      <w:szCs w:val="18"/>
    </w:rPr>
  </w:style>
  <w:style w:type="character" w:styleId="a8">
    <w:name w:val="Hyperlink"/>
    <w:unhideWhenUsed/>
    <w:rsid w:val="00005659"/>
    <w:rPr>
      <w:color w:val="0000FF"/>
      <w:u w:val="single"/>
    </w:rPr>
  </w:style>
  <w:style w:type="table" w:styleId="a9">
    <w:name w:val="Table Grid"/>
    <w:basedOn w:val="a1"/>
    <w:rsid w:val="007412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Revision"/>
    <w:hidden/>
    <w:uiPriority w:val="99"/>
    <w:semiHidden/>
    <w:rsid w:val="00512E57"/>
    <w:rPr>
      <w:kern w:val="2"/>
      <w:sz w:val="21"/>
      <w:szCs w:val="24"/>
    </w:rPr>
  </w:style>
</w:styles>
</file>

<file path=word/webSettings.xml><?xml version="1.0" encoding="utf-8"?>
<w:webSettings xmlns:r="http://schemas.openxmlformats.org/officeDocument/2006/relationships" xmlns:w="http://schemas.openxmlformats.org/wordprocessingml/2006/main">
  <w:divs>
    <w:div w:id="835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283</Words>
  <Characters>1619</Characters>
  <Application>Microsoft Office Word</Application>
  <DocSecurity>4</DocSecurity>
  <Lines>13</Lines>
  <Paragraphs>3</Paragraphs>
  <ScaleCrop>false</ScaleCrop>
  <Company>CHINAAMC</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cp:lastPrinted>2021-01-19T10:03:00Z</cp:lastPrinted>
  <dcterms:created xsi:type="dcterms:W3CDTF">2025-11-03T16:01:00Z</dcterms:created>
  <dcterms:modified xsi:type="dcterms:W3CDTF">2025-11-03T16:01:00Z</dcterms:modified>
</cp:coreProperties>
</file>