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1BB" w:rsidRDefault="000D0E21">
      <w:pPr>
        <w:spacing w:after="74" w:line="259" w:lineRule="auto"/>
        <w:ind w:left="41" w:firstLine="0"/>
        <w:jc w:val="center"/>
        <w:rPr>
          <w:sz w:val="39"/>
        </w:rPr>
      </w:pPr>
      <w:r>
        <w:rPr>
          <w:sz w:val="39"/>
        </w:rPr>
        <w:t>恒生前海基金管理有限公司关于旗下基金参加</w:t>
      </w:r>
      <w:r w:rsidR="001461BB">
        <w:rPr>
          <w:rFonts w:hint="eastAsia"/>
          <w:sz w:val="39"/>
        </w:rPr>
        <w:t>上海</w:t>
      </w:r>
      <w:r w:rsidR="00942E2C">
        <w:rPr>
          <w:rFonts w:hint="eastAsia"/>
          <w:sz w:val="39"/>
        </w:rPr>
        <w:t>华夏财富投资管理</w:t>
      </w:r>
      <w:r w:rsidR="00667F60">
        <w:rPr>
          <w:rFonts w:hint="eastAsia"/>
          <w:sz w:val="39"/>
        </w:rPr>
        <w:t>有限公司</w:t>
      </w:r>
      <w:r>
        <w:rPr>
          <w:sz w:val="39"/>
        </w:rPr>
        <w:t>基金认购、申购</w:t>
      </w:r>
      <w:r w:rsidR="00F80AF4">
        <w:rPr>
          <w:sz w:val="39"/>
        </w:rPr>
        <w:t>、转换</w:t>
      </w:r>
      <w:r w:rsidR="00C50D38">
        <w:rPr>
          <w:sz w:val="39"/>
        </w:rPr>
        <w:t>补差</w:t>
      </w:r>
      <w:r w:rsidR="00F80AF4">
        <w:rPr>
          <w:sz w:val="39"/>
        </w:rPr>
        <w:t>及</w:t>
      </w:r>
      <w:r>
        <w:rPr>
          <w:sz w:val="39"/>
        </w:rPr>
        <w:t>定期定额投资申购费率优惠活动的</w:t>
      </w:r>
    </w:p>
    <w:p w:rsidR="00D90D21" w:rsidRDefault="000D0E21">
      <w:pPr>
        <w:spacing w:after="74" w:line="259" w:lineRule="auto"/>
        <w:ind w:left="41" w:firstLine="0"/>
        <w:jc w:val="center"/>
        <w:rPr>
          <w:sz w:val="39"/>
        </w:rPr>
      </w:pPr>
      <w:r>
        <w:rPr>
          <w:sz w:val="39"/>
        </w:rPr>
        <w:t>公告</w:t>
      </w:r>
    </w:p>
    <w:p w:rsidR="00D90D21" w:rsidRPr="001461BB" w:rsidRDefault="00D90D21">
      <w:pPr>
        <w:spacing w:after="74" w:line="259" w:lineRule="auto"/>
        <w:ind w:left="41" w:firstLine="0"/>
        <w:rPr>
          <w:sz w:val="39"/>
        </w:rPr>
      </w:pPr>
    </w:p>
    <w:p w:rsidR="00D90D21" w:rsidRDefault="000D0E21">
      <w:pPr>
        <w:spacing w:after="74" w:line="408" w:lineRule="auto"/>
        <w:ind w:left="40" w:firstLineChars="200" w:firstLine="420"/>
        <w:rPr>
          <w:sz w:val="39"/>
        </w:rPr>
      </w:pPr>
      <w:r>
        <w:rPr>
          <w:rFonts w:asciiTheme="minorEastAsia" w:eastAsiaTheme="minorEastAsia" w:hAnsiTheme="minorEastAsia" w:cs="Tahoma"/>
          <w:kern w:val="0"/>
          <w:szCs w:val="21"/>
        </w:rPr>
        <w:t>为更好地满足广大投资者的理财需求，经恒生前海基金管理有限公司（以下简称“本</w:t>
      </w:r>
      <w:r>
        <w:t>公司”）与</w:t>
      </w:r>
      <w:r w:rsidR="001461BB">
        <w:rPr>
          <w:rFonts w:hint="eastAsia"/>
        </w:rPr>
        <w:t>上海</w:t>
      </w:r>
      <w:r w:rsidR="00942E2C">
        <w:rPr>
          <w:rFonts w:hint="eastAsia"/>
        </w:rPr>
        <w:t>华夏财富投资管理</w:t>
      </w:r>
      <w:r w:rsidR="00667F60">
        <w:rPr>
          <w:rFonts w:hint="eastAsia"/>
        </w:rPr>
        <w:t>有限公司</w:t>
      </w:r>
      <w:r>
        <w:t>（以下简称“</w:t>
      </w:r>
      <w:r w:rsidR="00942E2C">
        <w:rPr>
          <w:rFonts w:hint="eastAsia"/>
        </w:rPr>
        <w:t>华夏财富</w:t>
      </w:r>
      <w:r>
        <w:t>”）协商一致，自</w:t>
      </w:r>
      <w:r w:rsidR="00F80AF4">
        <w:t>2025</w:t>
      </w:r>
      <w:r w:rsidR="00F80AF4" w:rsidRPr="00BA64FB">
        <w:t>年</w:t>
      </w:r>
      <w:r w:rsidR="00942E2C">
        <w:rPr>
          <w:rFonts w:hint="eastAsia"/>
        </w:rPr>
        <w:t>11</w:t>
      </w:r>
      <w:r w:rsidR="00F80AF4" w:rsidRPr="00BA64FB">
        <w:t>月</w:t>
      </w:r>
      <w:r w:rsidR="00942E2C">
        <w:rPr>
          <w:rFonts w:hint="eastAsia"/>
        </w:rPr>
        <w:t>4</w:t>
      </w:r>
      <w:r w:rsidRPr="00BA64FB">
        <w:t>日起，本公司旗下基金参加</w:t>
      </w:r>
      <w:r w:rsidR="00942E2C">
        <w:t>华夏财富</w:t>
      </w:r>
      <w:r w:rsidRPr="00BA64FB">
        <w:t>开展的基金认购、申购</w:t>
      </w:r>
      <w:r w:rsidR="00F80AF4" w:rsidRPr="00BA64FB">
        <w:t>、转换</w:t>
      </w:r>
      <w:r w:rsidR="00EE3F26" w:rsidRPr="00BA64FB">
        <w:t>补差</w:t>
      </w:r>
      <w:r w:rsidR="00F80AF4" w:rsidRPr="00BA64FB">
        <w:t>及</w:t>
      </w:r>
      <w:r w:rsidRPr="00BA64FB">
        <w:t>定期定</w:t>
      </w:r>
      <w:r w:rsidRPr="00FE6BED">
        <w:t>额投资申购费率</w:t>
      </w:r>
      <w:r>
        <w:t>优惠活动，具体的活动时间、优惠费率以</w:t>
      </w:r>
      <w:r w:rsidR="00942E2C">
        <w:rPr>
          <w:rFonts w:hint="eastAsia"/>
        </w:rPr>
        <w:t>华夏财富</w:t>
      </w:r>
      <w:r>
        <w:t xml:space="preserve">的规定为准。相关优惠方案公告如下： </w:t>
      </w:r>
    </w:p>
    <w:p w:rsidR="00D90D21" w:rsidRDefault="00D90D21">
      <w:pPr>
        <w:snapToGrid w:val="0"/>
        <w:spacing w:line="360" w:lineRule="auto"/>
        <w:ind w:left="10"/>
        <w:contextualSpacing/>
      </w:pPr>
    </w:p>
    <w:p w:rsidR="00D90D21" w:rsidRDefault="000D0E21">
      <w:pPr>
        <w:numPr>
          <w:ilvl w:val="0"/>
          <w:numId w:val="1"/>
        </w:numPr>
        <w:snapToGrid w:val="0"/>
        <w:spacing w:line="360" w:lineRule="auto"/>
        <w:ind w:hanging="422"/>
        <w:contextualSpacing/>
      </w:pPr>
      <w:r>
        <w:t xml:space="preserve">适用基金 </w:t>
      </w:r>
    </w:p>
    <w:tbl>
      <w:tblPr>
        <w:tblStyle w:val="a8"/>
        <w:tblW w:w="8395" w:type="dxa"/>
        <w:tblLook w:val="04A0"/>
      </w:tblPr>
      <w:tblGrid>
        <w:gridCol w:w="2158"/>
        <w:gridCol w:w="6237"/>
      </w:tblGrid>
      <w:tr w:rsidR="00D90D21" w:rsidTr="00942E2C">
        <w:trPr>
          <w:trHeight w:hRule="exact" w:val="454"/>
        </w:trPr>
        <w:tc>
          <w:tcPr>
            <w:tcW w:w="2158" w:type="dxa"/>
            <w:vAlign w:val="center"/>
          </w:tcPr>
          <w:p w:rsidR="00D90D21" w:rsidRDefault="000D0E21" w:rsidP="00E65C3A">
            <w:pPr>
              <w:snapToGrid w:val="0"/>
              <w:spacing w:line="240" w:lineRule="auto"/>
              <w:ind w:left="0" w:firstLine="0"/>
              <w:contextualSpacing/>
              <w:jc w:val="center"/>
            </w:pPr>
            <w:r>
              <w:t>基金代码</w:t>
            </w:r>
          </w:p>
        </w:tc>
        <w:tc>
          <w:tcPr>
            <w:tcW w:w="6237" w:type="dxa"/>
            <w:vAlign w:val="center"/>
          </w:tcPr>
          <w:p w:rsidR="00D90D21" w:rsidRDefault="000D0E21" w:rsidP="00E65C3A">
            <w:pPr>
              <w:snapToGrid w:val="0"/>
              <w:spacing w:line="240" w:lineRule="auto"/>
              <w:ind w:left="0" w:firstLine="0"/>
              <w:contextualSpacing/>
              <w:jc w:val="center"/>
            </w:pPr>
            <w:r>
              <w:t>基金名称</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004332</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恒生前海沪港深新兴产业精选混合型证券投资基金</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rPr>
                <w:rFonts w:hint="eastAsia"/>
              </w:rPr>
              <w:t>0</w:t>
            </w:r>
            <w:r w:rsidRPr="00942E2C">
              <w:t>06535</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t>恒生前海恒锦裕利混合型证券投资基金</w:t>
            </w:r>
            <w:r w:rsidRPr="00942E2C">
              <w:rPr>
                <w:rFonts w:hint="eastAsia"/>
              </w:rPr>
              <w:t>A</w:t>
            </w:r>
            <w:r w:rsidRPr="00942E2C">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006537</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恒生前海港股通精选混合型证券投资基金</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rPr>
                <w:rFonts w:hint="eastAsia"/>
              </w:rPr>
              <w:t>0</w:t>
            </w:r>
            <w:r w:rsidRPr="00942E2C">
              <w:t>07941</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t>恒生前海恒扬纯债债券型证券投资基金</w:t>
            </w:r>
            <w:r w:rsidRPr="00942E2C">
              <w:rPr>
                <w:rFonts w:hint="eastAsia"/>
              </w:rPr>
              <w:t>A</w:t>
            </w:r>
            <w:r w:rsidRPr="00942E2C">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007277</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恒生前海消费升级混合型证券投资基金</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009301</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恒生前海短债债券型发起式证券投资基金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013202</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恒生前海恒祥纯债债券型证券投资基金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013204</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恒生前海恒源天利债券型证券投资基金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014712</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恒生前海恒裕债券型证券投资基金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014742</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恒生前海恒源嘉利债券型证券投资基金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015331</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恒生前海恒利纯债债券型证券投资基金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013383</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恒生前海高端制造混合型证券投资基金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016193</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恒生前海恒悦纯债债券型证券投资基金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016359</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恒生前海恒源丰利债券型证券投资基金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018496</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恒生前海恒润纯债债券型证券投资基金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lastRenderedPageBreak/>
              <w:t>018566</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恒生前海恒源泓利债券型证券投资基金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019841</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恒生前海中债</w:t>
            </w:r>
            <w:r w:rsidRPr="00942E2C">
              <w:t>0-3</w:t>
            </w:r>
            <w:r w:rsidRPr="00942E2C">
              <w:rPr>
                <w:rFonts w:hint="eastAsia"/>
              </w:rPr>
              <w:t>年政策性金融债指数证券投资基金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020069</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恒生前海恒源臻利债券型证券投资基金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020653</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恒生前海兴泰混合型证券投资基金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021070</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恒生前海恒荣纯债债券型证券投资基金</w:t>
            </w:r>
            <w:r w:rsidRPr="00942E2C">
              <w:t>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022094</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t>恒生前海恒源昭利债券型证券投资基金A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t>022693</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t>恒生前海港股通价值混合型证券投资基金A</w:t>
            </w:r>
            <w:r w:rsidRPr="00942E2C">
              <w:rPr>
                <w:rFonts w:hint="eastAsia"/>
              </w:rPr>
              <w:t>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rPr>
                <w:rFonts w:hint="eastAsia"/>
              </w:rPr>
              <w:t>0</w:t>
            </w:r>
            <w:r w:rsidRPr="00942E2C">
              <w:t>23327</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t>恒生前海福瑞30天持有期债券型证券投资基金A类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rPr>
                <w:rFonts w:hint="eastAsia"/>
              </w:rPr>
              <w:t>024271</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恒生前海瑞丰混合型证券投资基金</w:t>
            </w:r>
            <w:r w:rsidRPr="00942E2C">
              <w:t>A类</w:t>
            </w:r>
          </w:p>
        </w:tc>
      </w:tr>
      <w:tr w:rsidR="00942E2C" w:rsidTr="00942E2C">
        <w:trPr>
          <w:trHeight w:hRule="exact" w:val="454"/>
        </w:trPr>
        <w:tc>
          <w:tcPr>
            <w:tcW w:w="2158" w:type="dxa"/>
            <w:vAlign w:val="center"/>
          </w:tcPr>
          <w:p w:rsidR="00942E2C" w:rsidRPr="00E65C3A" w:rsidRDefault="00942E2C" w:rsidP="00942E2C">
            <w:pPr>
              <w:snapToGrid w:val="0"/>
              <w:spacing w:line="240" w:lineRule="auto"/>
              <w:ind w:left="0" w:firstLine="0"/>
              <w:contextualSpacing/>
              <w:jc w:val="center"/>
            </w:pPr>
            <w:r w:rsidRPr="00942E2C">
              <w:rPr>
                <w:rFonts w:hint="eastAsia"/>
              </w:rPr>
              <w:t>025287</w:t>
            </w:r>
          </w:p>
        </w:tc>
        <w:tc>
          <w:tcPr>
            <w:tcW w:w="6237" w:type="dxa"/>
            <w:vAlign w:val="center"/>
          </w:tcPr>
          <w:p w:rsidR="00942E2C" w:rsidRPr="00E65C3A" w:rsidRDefault="00942E2C" w:rsidP="00942E2C">
            <w:pPr>
              <w:snapToGrid w:val="0"/>
              <w:spacing w:line="240" w:lineRule="auto"/>
              <w:ind w:left="0" w:firstLine="0"/>
              <w:contextualSpacing/>
              <w:jc w:val="center"/>
            </w:pPr>
            <w:r w:rsidRPr="00942E2C">
              <w:rPr>
                <w:rFonts w:hint="eastAsia"/>
              </w:rPr>
              <w:t>恒生前海匠心精选混合型证券投资基金</w:t>
            </w:r>
            <w:r w:rsidRPr="00942E2C">
              <w:t>A类</w:t>
            </w:r>
          </w:p>
        </w:tc>
      </w:tr>
    </w:tbl>
    <w:p w:rsidR="00D90D21" w:rsidRPr="008B3A94" w:rsidRDefault="00D90D21" w:rsidP="00942E2C">
      <w:pPr>
        <w:snapToGrid w:val="0"/>
        <w:spacing w:line="360" w:lineRule="auto"/>
        <w:ind w:left="10"/>
        <w:contextualSpacing/>
      </w:pPr>
    </w:p>
    <w:p w:rsidR="00D90D21" w:rsidRDefault="000D0E21">
      <w:pPr>
        <w:numPr>
          <w:ilvl w:val="0"/>
          <w:numId w:val="1"/>
        </w:numPr>
        <w:spacing w:after="171" w:line="259" w:lineRule="auto"/>
        <w:ind w:hanging="422"/>
      </w:pPr>
      <w:r>
        <w:t xml:space="preserve">优惠活动内容 </w:t>
      </w:r>
    </w:p>
    <w:p w:rsidR="00634F5C" w:rsidRDefault="000D0E21">
      <w:pPr>
        <w:ind w:left="0" w:firstLine="420"/>
      </w:pPr>
      <w:r>
        <w:t>活动期间，投资者通过</w:t>
      </w:r>
      <w:r w:rsidR="00942E2C">
        <w:rPr>
          <w:rFonts w:hint="eastAsia"/>
        </w:rPr>
        <w:t>华夏财富</w:t>
      </w:r>
      <w:r>
        <w:t>认购、申购及定期定额投资申购上述基金</w:t>
      </w:r>
      <w:r w:rsidR="00F80AF4">
        <w:t>、及</w:t>
      </w:r>
      <w:r w:rsidR="00F80AF4">
        <w:rPr>
          <w:rFonts w:ascii="Arial" w:hAnsi="Arial" w:cs="Arial"/>
          <w:szCs w:val="21"/>
          <w:shd w:val="clear" w:color="auto" w:fill="FFFFFF"/>
        </w:rPr>
        <w:t>转出与转入基金的申购费补差</w:t>
      </w:r>
      <w:r>
        <w:t>的（仅限前端收费模式），享有费率折扣优惠</w:t>
      </w:r>
      <w:r w:rsidR="00F80AF4">
        <w:t>，</w:t>
      </w:r>
      <w:r>
        <w:t>具体费率折扣以</w:t>
      </w:r>
      <w:r w:rsidR="00942E2C">
        <w:rPr>
          <w:rFonts w:hint="eastAsia"/>
        </w:rPr>
        <w:t>华夏财富</w:t>
      </w:r>
      <w:r>
        <w:t>的业务规则或公告为准。</w:t>
      </w:r>
    </w:p>
    <w:p w:rsidR="00D90D21" w:rsidRDefault="000D0E21">
      <w:pPr>
        <w:ind w:left="0" w:firstLine="420"/>
      </w:pPr>
      <w:r>
        <w:t>处于封闭期的产品，自开放申购之日起适用于上述申购</w:t>
      </w:r>
      <w:r w:rsidR="008B3A94">
        <w:t>、转换</w:t>
      </w:r>
      <w:r w:rsidR="00EE3F26">
        <w:t>补差</w:t>
      </w:r>
      <w:r>
        <w:t xml:space="preserve">及定期定额投资申购费率优惠。 </w:t>
      </w:r>
    </w:p>
    <w:p w:rsidR="00D90D21" w:rsidRDefault="000D0E21">
      <w:pPr>
        <w:ind w:left="0" w:firstLine="420"/>
      </w:pPr>
      <w:r>
        <w:t>如本公司新增通过</w:t>
      </w:r>
      <w:r w:rsidR="00942E2C">
        <w:rPr>
          <w:rFonts w:hint="eastAsia"/>
        </w:rPr>
        <w:t>华夏财富</w:t>
      </w:r>
      <w:r>
        <w:t>销售的基金产品，该基金产品适用于上述优惠，具体费率优惠时间及内容以</w:t>
      </w:r>
      <w:r w:rsidR="00942E2C">
        <w:rPr>
          <w:rFonts w:hint="eastAsia"/>
        </w:rPr>
        <w:t>华夏财富</w:t>
      </w:r>
      <w:r>
        <w:t xml:space="preserve">的规定为准。 </w:t>
      </w:r>
    </w:p>
    <w:p w:rsidR="00D90D21" w:rsidRDefault="000D0E21">
      <w:pPr>
        <w:snapToGrid w:val="0"/>
        <w:spacing w:line="360" w:lineRule="auto"/>
        <w:ind w:left="10"/>
        <w:contextualSpacing/>
      </w:pPr>
      <w:r>
        <w:t xml:space="preserve"> </w:t>
      </w:r>
    </w:p>
    <w:p w:rsidR="00D90D21" w:rsidRDefault="000D0E21">
      <w:pPr>
        <w:numPr>
          <w:ilvl w:val="0"/>
          <w:numId w:val="1"/>
        </w:numPr>
        <w:spacing w:after="171" w:line="259" w:lineRule="auto"/>
        <w:ind w:hanging="422"/>
      </w:pPr>
      <w:r>
        <w:t xml:space="preserve">重要提示  </w:t>
      </w:r>
    </w:p>
    <w:p w:rsidR="00D90D21" w:rsidRDefault="000D0E21">
      <w:pPr>
        <w:numPr>
          <w:ilvl w:val="0"/>
          <w:numId w:val="2"/>
        </w:numPr>
        <w:spacing w:after="171" w:line="259" w:lineRule="auto"/>
        <w:ind w:firstLine="420"/>
      </w:pPr>
      <w:r>
        <w:t>本优惠活动仅适用于处于正常申购期的基金的一次性申购手续费</w:t>
      </w:r>
      <w:r w:rsidR="007344EA">
        <w:t>、</w:t>
      </w:r>
      <w:r>
        <w:t>定期定额投资申</w:t>
      </w:r>
    </w:p>
    <w:p w:rsidR="00D90D21" w:rsidRDefault="000D0E21" w:rsidP="007620E6">
      <w:pPr>
        <w:ind w:left="0" w:firstLine="0"/>
      </w:pPr>
      <w:r>
        <w:t>购手续费</w:t>
      </w:r>
      <w:r w:rsidR="007344EA">
        <w:t>及</w:t>
      </w:r>
      <w:r w:rsidR="007344EA">
        <w:rPr>
          <w:rFonts w:ascii="Arial" w:hAnsi="Arial" w:cs="Arial"/>
          <w:szCs w:val="21"/>
          <w:shd w:val="clear" w:color="auto" w:fill="FFFFFF"/>
        </w:rPr>
        <w:t>转出与转入基金的申购费补差</w:t>
      </w:r>
      <w:r>
        <w:t xml:space="preserve">（仅限前端收费模式），不包括上述基金的后端收费模式的申购手续费，对于大额认购\申购采用固定费用方式收费的不参与折扣活动。 </w:t>
      </w:r>
    </w:p>
    <w:p w:rsidR="00D90D21" w:rsidRDefault="000D0E21">
      <w:pPr>
        <w:numPr>
          <w:ilvl w:val="0"/>
          <w:numId w:val="2"/>
        </w:numPr>
        <w:ind w:firstLine="420"/>
      </w:pPr>
      <w:r>
        <w:t xml:space="preserve">上述基金原申购费率标准请详见上述基金相关法律文件及本公司发布的最新业务公告。 </w:t>
      </w:r>
    </w:p>
    <w:p w:rsidR="00D90D21" w:rsidRDefault="000D0E21">
      <w:pPr>
        <w:numPr>
          <w:ilvl w:val="0"/>
          <w:numId w:val="2"/>
        </w:numPr>
        <w:ind w:firstLine="420"/>
      </w:pPr>
      <w:r>
        <w:t xml:space="preserve">此次公告的优惠活动内容或业务规则如与之前公告信息不同，请以本次公告信息为准。 </w:t>
      </w:r>
    </w:p>
    <w:p w:rsidR="00D90D21" w:rsidRDefault="000D0E21">
      <w:pPr>
        <w:snapToGrid w:val="0"/>
        <w:spacing w:line="360" w:lineRule="auto"/>
        <w:ind w:left="10"/>
        <w:contextualSpacing/>
      </w:pPr>
      <w:r>
        <w:t xml:space="preserve"> </w:t>
      </w:r>
    </w:p>
    <w:p w:rsidR="00D90D21" w:rsidRDefault="000D0E21">
      <w:pPr>
        <w:spacing w:after="171" w:line="259" w:lineRule="auto"/>
        <w:ind w:left="415"/>
      </w:pPr>
      <w:r>
        <w:t xml:space="preserve">四、投资者可通过以下途径了解或咨询相关情况 </w:t>
      </w:r>
    </w:p>
    <w:p w:rsidR="00D90D21" w:rsidRDefault="000D0E21">
      <w:pPr>
        <w:ind w:left="415"/>
      </w:pPr>
      <w:r>
        <w:lastRenderedPageBreak/>
        <w:t>1、</w:t>
      </w:r>
      <w:r w:rsidR="001461BB">
        <w:rPr>
          <w:rFonts w:hint="eastAsia"/>
        </w:rPr>
        <w:t>上海</w:t>
      </w:r>
      <w:r w:rsidR="00942E2C">
        <w:rPr>
          <w:rFonts w:hint="eastAsia"/>
        </w:rPr>
        <w:t>华夏财富投资管理</w:t>
      </w:r>
      <w:r w:rsidR="00667F60">
        <w:rPr>
          <w:rFonts w:hint="eastAsia"/>
        </w:rPr>
        <w:t>有限公司</w:t>
      </w:r>
      <w:r>
        <w:rPr>
          <w:rFonts w:hint="eastAsia"/>
        </w:rPr>
        <w:t>客户服务电话：</w:t>
      </w:r>
      <w:r w:rsidR="00942E2C" w:rsidRPr="00942E2C">
        <w:t>400-817-5666</w:t>
      </w:r>
    </w:p>
    <w:p w:rsidR="0004089C" w:rsidRPr="00942E2C" w:rsidRDefault="000D0E21">
      <w:pPr>
        <w:adjustRightInd w:val="0"/>
        <w:spacing w:line="408" w:lineRule="auto"/>
        <w:ind w:left="414" w:right="3266" w:firstLineChars="200" w:firstLine="420"/>
      </w:pPr>
      <w:r>
        <w:rPr>
          <w:rFonts w:hint="eastAsia"/>
        </w:rPr>
        <w:t>公司</w:t>
      </w:r>
      <w:r>
        <w:t>网址：</w:t>
      </w:r>
      <w:r w:rsidR="00942E2C" w:rsidRPr="00942E2C">
        <w:rPr>
          <w:rFonts w:hint="eastAsia"/>
        </w:rPr>
        <w:t xml:space="preserve"> </w:t>
      </w:r>
      <w:hyperlink r:id="rId14" w:history="1">
        <w:r w:rsidR="00942E2C" w:rsidRPr="002C2543">
          <w:rPr>
            <w:rStyle w:val="aa"/>
            <w:rFonts w:hint="eastAsia"/>
          </w:rPr>
          <w:t>www.amcfortune.com</w:t>
        </w:r>
      </w:hyperlink>
      <w:r w:rsidR="00942E2C">
        <w:rPr>
          <w:rFonts w:hint="eastAsia"/>
        </w:rPr>
        <w:t xml:space="preserve"> </w:t>
      </w:r>
    </w:p>
    <w:p w:rsidR="00E84EF1" w:rsidRPr="00FE6BED" w:rsidRDefault="00E84EF1" w:rsidP="0004089C">
      <w:pPr>
        <w:adjustRightInd w:val="0"/>
        <w:spacing w:line="408" w:lineRule="auto"/>
        <w:ind w:left="414" w:right="3266" w:firstLineChars="200" w:firstLine="420"/>
        <w:rPr>
          <w:rStyle w:val="aa"/>
          <w:u w:val="none"/>
        </w:rPr>
      </w:pPr>
    </w:p>
    <w:p w:rsidR="00D90D21" w:rsidRDefault="000D0E21">
      <w:pPr>
        <w:ind w:left="0" w:firstLine="0"/>
      </w:pPr>
      <w:r>
        <w:t xml:space="preserve">    2、</w:t>
      </w:r>
      <w:r>
        <w:rPr>
          <w:rFonts w:hint="eastAsia"/>
        </w:rPr>
        <w:t>恒生前海基金管理有限公司客户服务电话：400-</w:t>
      </w:r>
      <w:r>
        <w:t>6206-608</w:t>
      </w:r>
    </w:p>
    <w:p w:rsidR="00D90D21" w:rsidRDefault="000D0E21">
      <w:pPr>
        <w:spacing w:after="171" w:line="259" w:lineRule="auto"/>
        <w:ind w:left="415" w:firstLineChars="200" w:firstLine="420"/>
      </w:pPr>
      <w:r>
        <w:t>公司网址：</w:t>
      </w:r>
      <w:hyperlink r:id="rId15" w:history="1">
        <w:r>
          <w:rPr>
            <w:rStyle w:val="aa"/>
          </w:rPr>
          <w:t>www.hsqhfunds.com</w:t>
        </w:r>
      </w:hyperlink>
      <w:r>
        <w:t xml:space="preserve"> </w:t>
      </w:r>
    </w:p>
    <w:p w:rsidR="00D90D21" w:rsidRDefault="00D90D21">
      <w:pPr>
        <w:spacing w:after="171" w:line="259" w:lineRule="auto"/>
        <w:ind w:left="0" w:firstLine="0"/>
      </w:pPr>
    </w:p>
    <w:p w:rsidR="00D90D21" w:rsidRDefault="000D0E21">
      <w:pPr>
        <w:ind w:left="0" w:firstLine="420"/>
      </w:pPr>
      <w:r>
        <w:t>本次优惠活动解释权归</w:t>
      </w:r>
      <w:r w:rsidR="001461BB">
        <w:rPr>
          <w:rFonts w:hint="eastAsia"/>
        </w:rPr>
        <w:t>上海</w:t>
      </w:r>
      <w:r w:rsidR="00942E2C">
        <w:rPr>
          <w:rFonts w:hint="eastAsia"/>
        </w:rPr>
        <w:t>华夏财富投资管理</w:t>
      </w:r>
      <w:r w:rsidR="00667F60">
        <w:rPr>
          <w:rFonts w:hint="eastAsia"/>
        </w:rPr>
        <w:t>有限公司</w:t>
      </w:r>
      <w:r>
        <w:t>所有，有关本次活动的具体事宜，敬请投资者留意</w:t>
      </w:r>
      <w:r w:rsidR="001461BB">
        <w:rPr>
          <w:rFonts w:hint="eastAsia"/>
        </w:rPr>
        <w:t>上海</w:t>
      </w:r>
      <w:r w:rsidR="00942E2C">
        <w:rPr>
          <w:rFonts w:hint="eastAsia"/>
        </w:rPr>
        <w:t>华夏财富投资管理</w:t>
      </w:r>
      <w:r w:rsidR="00667F60">
        <w:rPr>
          <w:rFonts w:hint="eastAsia"/>
        </w:rPr>
        <w:t>有限公司</w:t>
      </w:r>
      <w:r>
        <w:t xml:space="preserve">的有关公告。 </w:t>
      </w:r>
    </w:p>
    <w:p w:rsidR="00D90D21" w:rsidRDefault="00D90D21">
      <w:pPr>
        <w:ind w:left="0" w:firstLine="420"/>
      </w:pPr>
    </w:p>
    <w:p w:rsidR="00D90D21" w:rsidRDefault="000D0E21">
      <w:pPr>
        <w:spacing w:after="171" w:line="259" w:lineRule="auto"/>
        <w:ind w:left="415"/>
      </w:pPr>
      <w:r>
        <w:t xml:space="preserve">风险提示： </w:t>
      </w:r>
    </w:p>
    <w:p w:rsidR="00D90D21" w:rsidRDefault="000D0E21">
      <w:pPr>
        <w:ind w:left="0" w:firstLine="420"/>
      </w:pPr>
      <w:r>
        <w:t xml:space="preserve">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  </w:t>
      </w:r>
    </w:p>
    <w:p w:rsidR="00D90D21" w:rsidRDefault="000D0E21">
      <w:pPr>
        <w:spacing w:after="171" w:line="259" w:lineRule="auto"/>
        <w:ind w:left="415"/>
      </w:pPr>
      <w:r>
        <w:t xml:space="preserve">特此公告。 </w:t>
      </w:r>
    </w:p>
    <w:p w:rsidR="00D90D21" w:rsidRDefault="00D90D21">
      <w:pPr>
        <w:spacing w:after="171" w:line="259" w:lineRule="auto"/>
        <w:ind w:left="415"/>
      </w:pPr>
    </w:p>
    <w:p w:rsidR="00D90D21" w:rsidRDefault="000D0E21">
      <w:pPr>
        <w:ind w:firstLine="0"/>
        <w:jc w:val="right"/>
      </w:pPr>
      <w:r>
        <w:t>恒生前海基金管理有限公司</w:t>
      </w:r>
    </w:p>
    <w:p w:rsidR="00D90D21" w:rsidRDefault="000D0E21">
      <w:pPr>
        <w:ind w:firstLine="0"/>
        <w:jc w:val="right"/>
      </w:pPr>
      <w:r w:rsidRPr="00BA64FB">
        <w:t>二○</w:t>
      </w:r>
      <w:r w:rsidR="00634F5C" w:rsidRPr="00BA64FB">
        <w:t>二</w:t>
      </w:r>
      <w:r w:rsidR="00634F5C" w:rsidRPr="00BA64FB">
        <w:rPr>
          <w:rFonts w:hint="eastAsia"/>
        </w:rPr>
        <w:t>五</w:t>
      </w:r>
      <w:r w:rsidR="00634F5C" w:rsidRPr="00BA64FB">
        <w:t>年</w:t>
      </w:r>
      <w:r w:rsidR="00942E2C">
        <w:rPr>
          <w:rFonts w:hint="eastAsia"/>
        </w:rPr>
        <w:t>十一</w:t>
      </w:r>
      <w:r w:rsidR="00634F5C" w:rsidRPr="00BA64FB">
        <w:t>月</w:t>
      </w:r>
      <w:r w:rsidR="000B61C1">
        <w:rPr>
          <w:rFonts w:hint="eastAsia"/>
        </w:rPr>
        <w:t>四</w:t>
      </w:r>
      <w:r w:rsidR="00634F5C" w:rsidRPr="00BA64FB">
        <w:t>日</w:t>
      </w:r>
      <w:r>
        <w:t xml:space="preserve"> </w:t>
      </w:r>
    </w:p>
    <w:sectPr w:rsidR="00D90D21" w:rsidSect="00DB4045">
      <w:pgSz w:w="11906" w:h="16838"/>
      <w:pgMar w:top="1568" w:right="1692" w:bottom="1485"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26" w:rsidRDefault="00361026">
      <w:pPr>
        <w:spacing w:line="240" w:lineRule="auto"/>
      </w:pPr>
      <w:r>
        <w:separator/>
      </w:r>
    </w:p>
  </w:endnote>
  <w:endnote w:type="continuationSeparator" w:id="0">
    <w:p w:rsidR="00361026" w:rsidRDefault="003610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26" w:rsidRDefault="00361026">
      <w:r>
        <w:separator/>
      </w:r>
    </w:p>
  </w:footnote>
  <w:footnote w:type="continuationSeparator" w:id="0">
    <w:p w:rsidR="00361026" w:rsidRDefault="00361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54182"/>
    <w:multiLevelType w:val="multilevel"/>
    <w:tmpl w:val="2C254182"/>
    <w:lvl w:ilvl="0">
      <w:start w:val="1"/>
      <w:numFmt w:val="ideographDigital"/>
      <w:lvlText w:val="%1、"/>
      <w:lvlJc w:val="left"/>
      <w:pPr>
        <w:ind w:left="827"/>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
    <w:nsid w:val="55C82A41"/>
    <w:multiLevelType w:val="multilevel"/>
    <w:tmpl w:val="55C82A41"/>
    <w:lvl w:ilvl="0">
      <w:start w:val="1"/>
      <w:numFmt w:val="decimal"/>
      <w:lvlText w:val="%1、"/>
      <w:lvlJc w:val="left"/>
      <w:pPr>
        <w:ind w:left="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
  <w:docVars>
    <w:docVar w:name="commondata" w:val="eyJoZGlkIjoiNTk1M2JlNzZkY2Q4ZmU5M2QxNWJiNWI0OGQzYTQ1MTkifQ=="/>
  </w:docVars>
  <w:rsids>
    <w:rsidRoot w:val="00CC23C1"/>
    <w:rsid w:val="00011507"/>
    <w:rsid w:val="00031AFE"/>
    <w:rsid w:val="0004089C"/>
    <w:rsid w:val="000659C6"/>
    <w:rsid w:val="000B2104"/>
    <w:rsid w:val="000B61C1"/>
    <w:rsid w:val="000D0E21"/>
    <w:rsid w:val="000D1785"/>
    <w:rsid w:val="000D71DF"/>
    <w:rsid w:val="000F405B"/>
    <w:rsid w:val="00113726"/>
    <w:rsid w:val="00123FC5"/>
    <w:rsid w:val="001461BB"/>
    <w:rsid w:val="00146793"/>
    <w:rsid w:val="00183DA9"/>
    <w:rsid w:val="0019441C"/>
    <w:rsid w:val="00197725"/>
    <w:rsid w:val="001A3565"/>
    <w:rsid w:val="001A799A"/>
    <w:rsid w:val="001D0DEE"/>
    <w:rsid w:val="001D13D6"/>
    <w:rsid w:val="001D17D6"/>
    <w:rsid w:val="001E43D8"/>
    <w:rsid w:val="001F28B4"/>
    <w:rsid w:val="00206FDF"/>
    <w:rsid w:val="00216D5E"/>
    <w:rsid w:val="002170E3"/>
    <w:rsid w:val="0025219E"/>
    <w:rsid w:val="00263917"/>
    <w:rsid w:val="00285282"/>
    <w:rsid w:val="002A5E3D"/>
    <w:rsid w:val="002E0ECA"/>
    <w:rsid w:val="002E42A6"/>
    <w:rsid w:val="002E44C9"/>
    <w:rsid w:val="002E68BB"/>
    <w:rsid w:val="002F6F0F"/>
    <w:rsid w:val="00315128"/>
    <w:rsid w:val="003274BF"/>
    <w:rsid w:val="003322D2"/>
    <w:rsid w:val="00335805"/>
    <w:rsid w:val="00351C43"/>
    <w:rsid w:val="00355B55"/>
    <w:rsid w:val="00361026"/>
    <w:rsid w:val="003A4559"/>
    <w:rsid w:val="003A4A8F"/>
    <w:rsid w:val="003A5E30"/>
    <w:rsid w:val="003B1AD3"/>
    <w:rsid w:val="003B3FBF"/>
    <w:rsid w:val="003C60EA"/>
    <w:rsid w:val="003C73F9"/>
    <w:rsid w:val="003F00F3"/>
    <w:rsid w:val="00405E1E"/>
    <w:rsid w:val="00425D8D"/>
    <w:rsid w:val="004275D1"/>
    <w:rsid w:val="00445B50"/>
    <w:rsid w:val="00452B43"/>
    <w:rsid w:val="00474128"/>
    <w:rsid w:val="00481664"/>
    <w:rsid w:val="004A7F69"/>
    <w:rsid w:val="004B5A6E"/>
    <w:rsid w:val="004C3CB7"/>
    <w:rsid w:val="004E6CF5"/>
    <w:rsid w:val="004E7F78"/>
    <w:rsid w:val="00514924"/>
    <w:rsid w:val="005151DB"/>
    <w:rsid w:val="0054652A"/>
    <w:rsid w:val="0056255A"/>
    <w:rsid w:val="00562F4C"/>
    <w:rsid w:val="00584FBC"/>
    <w:rsid w:val="0059213B"/>
    <w:rsid w:val="00602C36"/>
    <w:rsid w:val="00612685"/>
    <w:rsid w:val="00612B2D"/>
    <w:rsid w:val="00634F5C"/>
    <w:rsid w:val="0064524B"/>
    <w:rsid w:val="00651EFF"/>
    <w:rsid w:val="00667C80"/>
    <w:rsid w:val="00667F60"/>
    <w:rsid w:val="00672B36"/>
    <w:rsid w:val="006935EA"/>
    <w:rsid w:val="006B696B"/>
    <w:rsid w:val="006B71B8"/>
    <w:rsid w:val="006F5254"/>
    <w:rsid w:val="007006CB"/>
    <w:rsid w:val="007011C0"/>
    <w:rsid w:val="00721E71"/>
    <w:rsid w:val="007344EA"/>
    <w:rsid w:val="007620E6"/>
    <w:rsid w:val="00765816"/>
    <w:rsid w:val="00781322"/>
    <w:rsid w:val="0078154F"/>
    <w:rsid w:val="0079753E"/>
    <w:rsid w:val="007B46B2"/>
    <w:rsid w:val="007F0B41"/>
    <w:rsid w:val="008000AC"/>
    <w:rsid w:val="00812778"/>
    <w:rsid w:val="00850033"/>
    <w:rsid w:val="008830B4"/>
    <w:rsid w:val="008B3A94"/>
    <w:rsid w:val="008B6754"/>
    <w:rsid w:val="008D2505"/>
    <w:rsid w:val="008D3B88"/>
    <w:rsid w:val="00904E0B"/>
    <w:rsid w:val="00934FB1"/>
    <w:rsid w:val="00942E2C"/>
    <w:rsid w:val="0094751C"/>
    <w:rsid w:val="00963A2A"/>
    <w:rsid w:val="0098709D"/>
    <w:rsid w:val="00993680"/>
    <w:rsid w:val="009A5120"/>
    <w:rsid w:val="009A622C"/>
    <w:rsid w:val="009C7085"/>
    <w:rsid w:val="00A40C77"/>
    <w:rsid w:val="00A41776"/>
    <w:rsid w:val="00A45DE0"/>
    <w:rsid w:val="00A63C10"/>
    <w:rsid w:val="00AB569B"/>
    <w:rsid w:val="00AD097F"/>
    <w:rsid w:val="00AE46F3"/>
    <w:rsid w:val="00AF2022"/>
    <w:rsid w:val="00B15537"/>
    <w:rsid w:val="00B312B1"/>
    <w:rsid w:val="00B61C8A"/>
    <w:rsid w:val="00BA3ADF"/>
    <w:rsid w:val="00BA64FB"/>
    <w:rsid w:val="00BC3D82"/>
    <w:rsid w:val="00C15B08"/>
    <w:rsid w:val="00C50D38"/>
    <w:rsid w:val="00C82866"/>
    <w:rsid w:val="00CB7207"/>
    <w:rsid w:val="00CC23C1"/>
    <w:rsid w:val="00D07DB4"/>
    <w:rsid w:val="00D1227D"/>
    <w:rsid w:val="00D54F53"/>
    <w:rsid w:val="00D5601E"/>
    <w:rsid w:val="00D576DC"/>
    <w:rsid w:val="00D75BA8"/>
    <w:rsid w:val="00D90D21"/>
    <w:rsid w:val="00DB3A7A"/>
    <w:rsid w:val="00DB4045"/>
    <w:rsid w:val="00E04928"/>
    <w:rsid w:val="00E32F6C"/>
    <w:rsid w:val="00E41382"/>
    <w:rsid w:val="00E51147"/>
    <w:rsid w:val="00E604E0"/>
    <w:rsid w:val="00E65C3A"/>
    <w:rsid w:val="00E71B96"/>
    <w:rsid w:val="00E740EE"/>
    <w:rsid w:val="00E81B0D"/>
    <w:rsid w:val="00E82BC0"/>
    <w:rsid w:val="00E84EF1"/>
    <w:rsid w:val="00E93043"/>
    <w:rsid w:val="00EA223D"/>
    <w:rsid w:val="00EA7059"/>
    <w:rsid w:val="00ED1A40"/>
    <w:rsid w:val="00EE2800"/>
    <w:rsid w:val="00EE3F26"/>
    <w:rsid w:val="00EF1F50"/>
    <w:rsid w:val="00F40DF9"/>
    <w:rsid w:val="00F50B4E"/>
    <w:rsid w:val="00F6258A"/>
    <w:rsid w:val="00F80AF4"/>
    <w:rsid w:val="00F841A5"/>
    <w:rsid w:val="00F9136F"/>
    <w:rsid w:val="00FC7C42"/>
    <w:rsid w:val="00FD6CD4"/>
    <w:rsid w:val="00FE6BED"/>
    <w:rsid w:val="00FF5A0A"/>
    <w:rsid w:val="42684ABD"/>
    <w:rsid w:val="4BFB2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045"/>
    <w:pPr>
      <w:spacing w:line="409" w:lineRule="auto"/>
      <w:ind w:left="430" w:hanging="10"/>
    </w:pPr>
    <w:rPr>
      <w:rFonts w:ascii="宋体" w:eastAsia="宋体" w:hAnsi="宋体" w:cs="宋体"/>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B4045"/>
  </w:style>
  <w:style w:type="paragraph" w:styleId="a4">
    <w:name w:val="Balloon Text"/>
    <w:basedOn w:val="a"/>
    <w:link w:val="Char0"/>
    <w:uiPriority w:val="99"/>
    <w:semiHidden/>
    <w:unhideWhenUsed/>
    <w:qFormat/>
    <w:rsid w:val="00DB4045"/>
    <w:pPr>
      <w:spacing w:line="240" w:lineRule="auto"/>
    </w:pPr>
    <w:rPr>
      <w:sz w:val="18"/>
      <w:szCs w:val="18"/>
    </w:rPr>
  </w:style>
  <w:style w:type="paragraph" w:styleId="a5">
    <w:name w:val="footer"/>
    <w:basedOn w:val="a"/>
    <w:link w:val="Char1"/>
    <w:uiPriority w:val="99"/>
    <w:unhideWhenUsed/>
    <w:qFormat/>
    <w:rsid w:val="00DB4045"/>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DB4045"/>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DB4045"/>
    <w:rPr>
      <w:b/>
      <w:bCs/>
    </w:rPr>
  </w:style>
  <w:style w:type="table" w:styleId="a8">
    <w:name w:val="Table Grid"/>
    <w:basedOn w:val="a1"/>
    <w:uiPriority w:val="39"/>
    <w:qFormat/>
    <w:rsid w:val="00DB4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DB4045"/>
    <w:rPr>
      <w:color w:val="954F72" w:themeColor="followedHyperlink"/>
      <w:u w:val="single"/>
    </w:rPr>
  </w:style>
  <w:style w:type="character" w:styleId="aa">
    <w:name w:val="Hyperlink"/>
    <w:basedOn w:val="a0"/>
    <w:uiPriority w:val="99"/>
    <w:unhideWhenUsed/>
    <w:qFormat/>
    <w:rsid w:val="00DB4045"/>
    <w:rPr>
      <w:color w:val="0563C1" w:themeColor="hyperlink"/>
      <w:u w:val="single"/>
    </w:rPr>
  </w:style>
  <w:style w:type="character" w:styleId="ab">
    <w:name w:val="annotation reference"/>
    <w:basedOn w:val="a0"/>
    <w:uiPriority w:val="99"/>
    <w:semiHidden/>
    <w:unhideWhenUsed/>
    <w:qFormat/>
    <w:rsid w:val="00DB4045"/>
    <w:rPr>
      <w:sz w:val="21"/>
      <w:szCs w:val="21"/>
    </w:rPr>
  </w:style>
  <w:style w:type="table" w:customStyle="1" w:styleId="TableGrid">
    <w:name w:val="TableGrid"/>
    <w:rsid w:val="00DB4045"/>
    <w:tblPr>
      <w:tblCellMar>
        <w:top w:w="0" w:type="dxa"/>
        <w:left w:w="0" w:type="dxa"/>
        <w:bottom w:w="0" w:type="dxa"/>
        <w:right w:w="0" w:type="dxa"/>
      </w:tblCellMar>
    </w:tblPr>
  </w:style>
  <w:style w:type="character" w:customStyle="1" w:styleId="Char2">
    <w:name w:val="页眉 Char"/>
    <w:basedOn w:val="a0"/>
    <w:link w:val="a6"/>
    <w:uiPriority w:val="99"/>
    <w:qFormat/>
    <w:rsid w:val="00DB4045"/>
    <w:rPr>
      <w:rFonts w:ascii="宋体" w:eastAsia="宋体" w:hAnsi="宋体" w:cs="宋体"/>
      <w:color w:val="000000"/>
      <w:sz w:val="18"/>
      <w:szCs w:val="18"/>
    </w:rPr>
  </w:style>
  <w:style w:type="character" w:customStyle="1" w:styleId="Char1">
    <w:name w:val="页脚 Char"/>
    <w:basedOn w:val="a0"/>
    <w:link w:val="a5"/>
    <w:uiPriority w:val="99"/>
    <w:qFormat/>
    <w:rsid w:val="00DB4045"/>
    <w:rPr>
      <w:rFonts w:ascii="宋体" w:eastAsia="宋体" w:hAnsi="宋体" w:cs="宋体"/>
      <w:color w:val="000000"/>
      <w:sz w:val="18"/>
      <w:szCs w:val="18"/>
    </w:rPr>
  </w:style>
  <w:style w:type="paragraph" w:styleId="ac">
    <w:name w:val="List Paragraph"/>
    <w:basedOn w:val="a"/>
    <w:uiPriority w:val="34"/>
    <w:qFormat/>
    <w:rsid w:val="00DB4045"/>
    <w:pPr>
      <w:ind w:firstLineChars="200" w:firstLine="420"/>
    </w:pPr>
  </w:style>
  <w:style w:type="character" w:customStyle="1" w:styleId="Char">
    <w:name w:val="批注文字 Char"/>
    <w:basedOn w:val="a0"/>
    <w:link w:val="a3"/>
    <w:uiPriority w:val="99"/>
    <w:semiHidden/>
    <w:qFormat/>
    <w:rsid w:val="00DB4045"/>
    <w:rPr>
      <w:rFonts w:ascii="宋体" w:eastAsia="宋体" w:hAnsi="宋体" w:cs="宋体"/>
      <w:color w:val="000000"/>
    </w:rPr>
  </w:style>
  <w:style w:type="character" w:customStyle="1" w:styleId="Char3">
    <w:name w:val="批注主题 Char"/>
    <w:basedOn w:val="Char"/>
    <w:link w:val="a7"/>
    <w:uiPriority w:val="99"/>
    <w:semiHidden/>
    <w:qFormat/>
    <w:rsid w:val="00DB4045"/>
    <w:rPr>
      <w:rFonts w:ascii="宋体" w:eastAsia="宋体" w:hAnsi="宋体" w:cs="宋体"/>
      <w:b/>
      <w:bCs/>
      <w:color w:val="000000"/>
    </w:rPr>
  </w:style>
  <w:style w:type="character" w:customStyle="1" w:styleId="Char0">
    <w:name w:val="批注框文本 Char"/>
    <w:basedOn w:val="a0"/>
    <w:link w:val="a4"/>
    <w:uiPriority w:val="99"/>
    <w:semiHidden/>
    <w:qFormat/>
    <w:rsid w:val="00DB4045"/>
    <w:rPr>
      <w:rFonts w:ascii="宋体" w:eastAsia="宋体" w:hAnsi="宋体" w:cs="宋体"/>
      <w:color w:val="000000"/>
      <w:sz w:val="18"/>
      <w:szCs w:val="18"/>
    </w:rPr>
  </w:style>
  <w:style w:type="character" w:customStyle="1" w:styleId="UnresolvedMention">
    <w:name w:val="Unresolved Mention"/>
    <w:basedOn w:val="a0"/>
    <w:uiPriority w:val="99"/>
    <w:semiHidden/>
    <w:unhideWhenUsed/>
    <w:rsid w:val="00942E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37241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sqhfunds.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mcfortun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EMAILADDRESS%">huangxia@hsqhfunds.com</XMLData>
</file>

<file path=customXml/item2.xml><?xml version="1.0" encoding="utf-8"?>
<XMLData TextToDisplay="%HOSTNAME%">PC0VZ78G.hsqhfunds.com</XMLData>
</file>

<file path=customXml/item3.xml><?xml version="1.0" encoding="utf-8"?>
<XMLData TextToDisplay="%DOCUMENTGUID%">{00000000-0000-0000-0000-000000000000}</XMLData>
</file>

<file path=customXml/item4.xml><?xml version="1.0" encoding="utf-8"?>
<XMLData TextToDisplay="RightsWATCHMark">4|HQSH-HSQH-内部信息|{00000000-0000-0000-0000-000000000000}</XMLData>
</file>

<file path=customXml/item5.xml><?xml version="1.0" encoding="utf-8"?>
<XMLData TextToDisplay="%CLASSIFICATIONDATETIME%">03:05 14/03/2023</XMLData>
</file>

<file path=customXml/item6.xml><?xml version="1.0" encoding="utf-8"?>
<XMLData TextToDisplay="%USERNAME%">huangxia</XML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26E9-D159-48F2-BD2E-8526D6550027}">
  <ds:schemaRefs/>
</ds:datastoreItem>
</file>

<file path=customXml/itemProps2.xml><?xml version="1.0" encoding="utf-8"?>
<ds:datastoreItem xmlns:ds="http://schemas.openxmlformats.org/officeDocument/2006/customXml" ds:itemID="{02D47A94-AD9D-4B6E-9324-F1813C17DDD8}">
  <ds:schemaRefs/>
</ds:datastoreItem>
</file>

<file path=customXml/itemProps3.xml><?xml version="1.0" encoding="utf-8"?>
<ds:datastoreItem xmlns:ds="http://schemas.openxmlformats.org/officeDocument/2006/customXml" ds:itemID="{B3D9B92B-F75E-4838-9B97-EE0D10AEC7C1}">
  <ds:schemaRefs/>
</ds:datastoreItem>
</file>

<file path=customXml/itemProps4.xml><?xml version="1.0" encoding="utf-8"?>
<ds:datastoreItem xmlns:ds="http://schemas.openxmlformats.org/officeDocument/2006/customXml" ds:itemID="{9DD66A94-2181-4756-9713-14BB32723285}">
  <ds:schemaRefs/>
</ds:datastoreItem>
</file>

<file path=customXml/itemProps5.xml><?xml version="1.0" encoding="utf-8"?>
<ds:datastoreItem xmlns:ds="http://schemas.openxmlformats.org/officeDocument/2006/customXml" ds:itemID="{4CB3831C-ECED-4436-80DD-37C96DF49FFB}">
  <ds:schemaRefs/>
</ds:datastoreItem>
</file>

<file path=customXml/itemProps6.xml><?xml version="1.0" encoding="utf-8"?>
<ds:datastoreItem xmlns:ds="http://schemas.openxmlformats.org/officeDocument/2006/customXml" ds:itemID="{DAEBCC4F-5893-4D76-8AE6-79B1BB6296A1}">
  <ds:schemaRefs/>
</ds:datastoreItem>
</file>

<file path=customXml/itemProps7.xml><?xml version="1.0" encoding="utf-8"?>
<ds:datastoreItem xmlns:ds="http://schemas.openxmlformats.org/officeDocument/2006/customXml" ds:itemID="{113CF88B-2A85-43E1-9806-C6392AA6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1648</Characters>
  <Application>Microsoft Office Word</Application>
  <DocSecurity>4</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liyp</dc:creator>
  <cp:lastModifiedBy>ZHONGM</cp:lastModifiedBy>
  <cp:revision>2</cp:revision>
  <cp:lastPrinted>2023-06-26T08:54:00Z</cp:lastPrinted>
  <dcterms:created xsi:type="dcterms:W3CDTF">2025-11-03T16:00:00Z</dcterms:created>
  <dcterms:modified xsi:type="dcterms:W3CDTF">2025-11-03T16:00:00Z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4|HQSH-HSQH-内部信息|{00000000-0000-0000-0000-000000000000}</vt:lpwstr>
  </property>
  <property fmtid="{D5CDD505-2E9C-101B-9397-08002B2CF9AE}" pid="3" name="KSOProductBuildVer">
    <vt:lpwstr>2052-11.1.0.14309</vt:lpwstr>
  </property>
  <property fmtid="{D5CDD505-2E9C-101B-9397-08002B2CF9AE}" pid="4" name="ICV">
    <vt:lpwstr>D875C0AD47FC4E348CFC80A8178F6E39_13</vt:lpwstr>
  </property>
</Properties>
</file>