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60" w:rsidRDefault="00AE7FD2">
      <w:pPr>
        <w:pStyle w:val="1"/>
        <w:spacing w:before="0" w:after="0" w:line="560" w:lineRule="exact"/>
        <w:jc w:val="center"/>
        <w:rPr>
          <w:bCs w:val="0"/>
          <w:color w:val="000000"/>
          <w:sz w:val="36"/>
          <w:szCs w:val="36"/>
        </w:rPr>
      </w:pPr>
      <w:r>
        <w:rPr>
          <w:rFonts w:hint="eastAsia"/>
          <w:bCs w:val="0"/>
          <w:color w:val="000000"/>
          <w:sz w:val="36"/>
          <w:szCs w:val="36"/>
        </w:rPr>
        <w:t>关于</w:t>
      </w:r>
      <w:r>
        <w:rPr>
          <w:rFonts w:hint="eastAsia"/>
          <w:bCs w:val="0"/>
          <w:color w:val="000000"/>
          <w:sz w:val="36"/>
          <w:szCs w:val="36"/>
        </w:rPr>
        <w:t>公司</w:t>
      </w:r>
      <w:r>
        <w:rPr>
          <w:bCs w:val="0"/>
          <w:color w:val="000000"/>
          <w:sz w:val="36"/>
          <w:szCs w:val="36"/>
        </w:rPr>
        <w:t>旗下</w:t>
      </w:r>
      <w:r>
        <w:rPr>
          <w:rFonts w:ascii="方正大标宋简体" w:hAnsi="方正大标宋简体" w:hint="eastAsia"/>
          <w:bCs w:val="0"/>
          <w:color w:val="000000"/>
          <w:sz w:val="36"/>
          <w:szCs w:val="36"/>
        </w:rPr>
        <w:t>基金改聘会计师事务所的公告</w:t>
      </w:r>
    </w:p>
    <w:p w:rsidR="00415160" w:rsidRDefault="00AE7FD2">
      <w:pPr>
        <w:spacing w:line="560" w:lineRule="exact"/>
        <w:jc w:val="center"/>
        <w:rPr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</w:t>
      </w:r>
      <w:r>
        <w:rPr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</w:rPr>
        <w:t>11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0</w:t>
      </w:r>
      <w:r>
        <w:rPr>
          <w:rFonts w:hint="eastAsia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415160" w:rsidRDefault="00AE7FD2">
      <w:pPr>
        <w:pStyle w:val="2"/>
        <w:spacing w:line="560" w:lineRule="exac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Toc275961438"/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bookmarkEnd w:id="0"/>
      <w:r>
        <w:rPr>
          <w:rFonts w:ascii="方正仿宋简体" w:hAnsi="方正仿宋简体" w:hint="eastAsia"/>
          <w:color w:val="000000"/>
          <w:sz w:val="24"/>
          <w:szCs w:val="24"/>
        </w:rPr>
        <w:t>公告基本信息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86"/>
        <w:gridCol w:w="2739"/>
        <w:gridCol w:w="2461"/>
      </w:tblGrid>
      <w:tr w:rsidR="00415160">
        <w:trPr>
          <w:jc w:val="center"/>
        </w:trPr>
        <w:tc>
          <w:tcPr>
            <w:tcW w:w="5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中国人保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资产管理有限公司</w:t>
            </w:r>
          </w:p>
        </w:tc>
      </w:tr>
      <w:tr w:rsidR="00415160">
        <w:trPr>
          <w:jc w:val="center"/>
        </w:trPr>
        <w:tc>
          <w:tcPr>
            <w:tcW w:w="5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《公开募集证券投资基金信息披露管理办法》、各基金的《基金合同》及《招募说明书》等法律文件</w:t>
            </w:r>
          </w:p>
        </w:tc>
      </w:tr>
      <w:tr w:rsidR="00415160">
        <w:trPr>
          <w:jc w:val="center"/>
        </w:trPr>
        <w:tc>
          <w:tcPr>
            <w:tcW w:w="5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改聘日期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</w:p>
        </w:tc>
      </w:tr>
      <w:tr w:rsidR="00415160">
        <w:trPr>
          <w:jc w:val="center"/>
        </w:trPr>
        <w:tc>
          <w:tcPr>
            <w:tcW w:w="5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改聘前会计师事务所名称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信永中和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会计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事务所（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特殊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普通合伙）</w:t>
            </w:r>
          </w:p>
        </w:tc>
      </w:tr>
      <w:tr w:rsidR="00415160">
        <w:trPr>
          <w:jc w:val="center"/>
        </w:trPr>
        <w:tc>
          <w:tcPr>
            <w:tcW w:w="5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改聘后会计师事务所名称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160" w:rsidRDefault="00AE7FD2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毕马威华振会计师事务所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特殊普通合伙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)</w:t>
            </w:r>
          </w:p>
        </w:tc>
      </w:tr>
      <w:tr w:rsidR="00415160">
        <w:trPr>
          <w:trHeight w:val="260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基金主代码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人保货币市场基金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人保货币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004903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人保双利优选混合型证券投资基金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人保双利混合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004988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人保研究精选混合型证券投资基金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人保精选混合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005041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人保转型新动力灵活配置混合型证券投资基金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人保转型混合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005953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人保鑫利回报债券型证券投资基金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人保鑫利债券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006114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人保鑫瑞中短债债券型证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人保鑫瑞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中短债债券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006073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人保鑫裕增强债券型证券投资基金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人保鑫裕增强债券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006459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006611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人保鑫盛纯债债券型证券投资基金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人保鑫盛纯债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006638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人保沪深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人保沪深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006600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人保鑫泽纯债债券型证券投资基金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人保鑫泽纯债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006854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人保行业轮动混合型证券投资基金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人保行业轮动混合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006573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人保稳进配置三个月持有期混合型基金中基金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(FOF)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人保稳进配置三个月持有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(FOF)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009383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人保福欣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个月定期开放债券型证券投资基金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人保福欣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个月定开债券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009517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人保利丰纯债债券型证券投资基金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人保利丰纯债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008430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bookmarkStart w:id="1" w:name="_Toc275961439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人保安和一年定期开放债券型发起式证券投资基金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人保安和定开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008859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人保安睿一年定期开放债券型发起式证券投资基金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人保安睿定开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008432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人保民富债券型证券投资基金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人保民富债券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018322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人保中债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年政策性金融债指数证券投资基金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人保中债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1-5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年政策性金融债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019192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人保民享利率债债券型证券投资基金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人保民享利率债债券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020381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人保泰睿积极配置三个月持有期混合型发起式基金中基金（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FOF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人保泰睿积极配置三个月持有混合发起式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(FOF)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020</w:t>
            </w:r>
            <w:bookmarkStart w:id="2" w:name="_GoBack"/>
            <w:bookmarkEnd w:id="2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846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人保趋势优选混合型证券投资基金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人保趋势优选混合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021585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人保红利智享混合型证券投资基金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人保红利智享混合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022211</w:t>
            </w:r>
          </w:p>
        </w:tc>
      </w:tr>
      <w:tr w:rsidR="00415160">
        <w:trPr>
          <w:trHeight w:val="90"/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人保泰和积极配置三个月持有期混合型发起式基金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中基金（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FOF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人保泰和积极配置三个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月持有混合发起式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(FOF)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022215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022513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人保民瑞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天滚动持有债券型证券投资基金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人保民瑞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天滚动持有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022813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A500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A500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022811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人保核心智选混合型证券投资基金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人保核心智选混合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022702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人保中证同业存单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AAA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天持有期证券投资基金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人保中证同业存单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AAA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天持有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023279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人保均衡智选混合型证券投资基金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人保均衡智选混合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023871</w:t>
            </w:r>
          </w:p>
        </w:tc>
      </w:tr>
      <w:tr w:rsidR="00415160">
        <w:trPr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A50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指数增强型证券投资基金</w:t>
            </w:r>
          </w:p>
        </w:tc>
        <w:tc>
          <w:tcPr>
            <w:tcW w:w="2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spacing w:line="560" w:lineRule="exact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人保中证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A50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指数增强</w:t>
            </w:r>
          </w:p>
        </w:tc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160" w:rsidRDefault="00AE7FD2">
            <w:pPr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024231</w:t>
            </w:r>
          </w:p>
        </w:tc>
      </w:tr>
    </w:tbl>
    <w:p w:rsidR="00415160" w:rsidRDefault="00AE7FD2">
      <w:pPr>
        <w:pStyle w:val="2"/>
        <w:spacing w:before="0" w:after="0" w:line="56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bookmarkEnd w:id="1"/>
      <w:r>
        <w:rPr>
          <w:rFonts w:ascii="方正仿宋简体" w:hAnsi="方正仿宋简体" w:hint="eastAsia"/>
          <w:color w:val="000000"/>
          <w:sz w:val="24"/>
          <w:szCs w:val="24"/>
        </w:rPr>
        <w:t>其他需要提示的事项</w:t>
      </w:r>
    </w:p>
    <w:p w:rsidR="00415160" w:rsidRDefault="00AE7FD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上述变更事项，已经公司董事会审议通过。并已按照相关规定及基金合同约定通知基金托管人。</w:t>
      </w:r>
    </w:p>
    <w:p w:rsidR="00415160" w:rsidRDefault="00AE7FD2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特此公告。</w:t>
      </w:r>
    </w:p>
    <w:p w:rsidR="00415160" w:rsidRDefault="00415160">
      <w:pPr>
        <w:shd w:val="clear" w:color="auto" w:fill="FFFFFF"/>
        <w:spacing w:before="450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415160" w:rsidRDefault="00AE7FD2">
      <w:pPr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中国</w:t>
      </w:r>
      <w:r>
        <w:rPr>
          <w:rFonts w:ascii="宋体" w:hAnsi="宋体"/>
          <w:color w:val="000000"/>
          <w:sz w:val="24"/>
          <w:szCs w:val="24"/>
        </w:rPr>
        <w:t>人保资产管理有限公司</w:t>
      </w:r>
    </w:p>
    <w:p w:rsidR="00415160" w:rsidRDefault="00AE7FD2">
      <w:pPr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</w:t>
      </w:r>
      <w:r>
        <w:rPr>
          <w:rFonts w:ascii="宋体" w:hAnsi="宋体" w:hint="eastAsia"/>
          <w:color w:val="000000"/>
          <w:sz w:val="24"/>
          <w:szCs w:val="24"/>
        </w:rPr>
        <w:t>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11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0</w:t>
      </w:r>
      <w:r>
        <w:rPr>
          <w:rFonts w:ascii="宋体" w:hAnsi="宋体" w:hint="eastAsia"/>
          <w:color w:val="000000"/>
          <w:sz w:val="24"/>
          <w:szCs w:val="24"/>
        </w:rPr>
        <w:t>3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sectPr w:rsidR="00415160" w:rsidSect="0041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大标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859AA"/>
    <w:rsid w:val="00027A4E"/>
    <w:rsid w:val="00104078"/>
    <w:rsid w:val="00175103"/>
    <w:rsid w:val="001D20F3"/>
    <w:rsid w:val="001E2C4C"/>
    <w:rsid w:val="003C029C"/>
    <w:rsid w:val="00402863"/>
    <w:rsid w:val="00415160"/>
    <w:rsid w:val="004E4E4F"/>
    <w:rsid w:val="00520218"/>
    <w:rsid w:val="005F0A14"/>
    <w:rsid w:val="007D3225"/>
    <w:rsid w:val="008859AA"/>
    <w:rsid w:val="009E3BBB"/>
    <w:rsid w:val="00A911A0"/>
    <w:rsid w:val="00AE7FD2"/>
    <w:rsid w:val="00B81589"/>
    <w:rsid w:val="00CF3BCF"/>
    <w:rsid w:val="00E11E2F"/>
    <w:rsid w:val="00E13B64"/>
    <w:rsid w:val="00E423E4"/>
    <w:rsid w:val="03400874"/>
    <w:rsid w:val="15ED6C3E"/>
    <w:rsid w:val="2B4877D7"/>
    <w:rsid w:val="30A42ACE"/>
    <w:rsid w:val="6170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60"/>
    <w:rPr>
      <w:rFonts w:ascii="Calibri" w:hAnsi="Calibri" w:cs="宋体"/>
    </w:rPr>
  </w:style>
  <w:style w:type="paragraph" w:styleId="1">
    <w:name w:val="heading 1"/>
    <w:basedOn w:val="a"/>
    <w:next w:val="a"/>
    <w:link w:val="1Char"/>
    <w:uiPriority w:val="9"/>
    <w:qFormat/>
    <w:rsid w:val="00415160"/>
    <w:pPr>
      <w:keepNext/>
      <w:spacing w:before="340" w:after="330" w:line="576" w:lineRule="auto"/>
      <w:jc w:val="both"/>
      <w:outlineLvl w:val="0"/>
    </w:pPr>
    <w:rPr>
      <w:rFonts w:ascii="Times New Roman" w:hAnsi="Times New Roman" w:cs="Times New Roman"/>
      <w:b/>
      <w:bCs/>
      <w:kern w:val="36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5160"/>
    <w:pPr>
      <w:keepNext/>
      <w:spacing w:before="260" w:after="260" w:line="408" w:lineRule="auto"/>
      <w:jc w:val="both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151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15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qFormat/>
    <w:rsid w:val="00415160"/>
    <w:pPr>
      <w:snapToGrid w:val="0"/>
    </w:pPr>
    <w:rPr>
      <w:rFonts w:ascii="Times New Roman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15160"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styleId="a7">
    <w:name w:val="footnote reference"/>
    <w:basedOn w:val="a0"/>
    <w:uiPriority w:val="99"/>
    <w:semiHidden/>
    <w:unhideWhenUsed/>
    <w:qFormat/>
    <w:rsid w:val="00415160"/>
    <w:rPr>
      <w:vertAlign w:val="superscript"/>
    </w:rPr>
  </w:style>
  <w:style w:type="character" w:customStyle="1" w:styleId="Char0">
    <w:name w:val="页眉 Char"/>
    <w:basedOn w:val="a0"/>
    <w:link w:val="a4"/>
    <w:uiPriority w:val="99"/>
    <w:qFormat/>
    <w:rsid w:val="004151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151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1516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415160"/>
    <w:rPr>
      <w:rFonts w:ascii="Arial" w:eastAsia="宋体" w:hAnsi="Arial" w:cs="Arial"/>
      <w:b/>
      <w:bCs/>
      <w:kern w:val="0"/>
      <w:sz w:val="32"/>
      <w:szCs w:val="32"/>
    </w:rPr>
  </w:style>
  <w:style w:type="character" w:customStyle="1" w:styleId="Char1">
    <w:name w:val="脚注文本 Char"/>
    <w:basedOn w:val="a0"/>
    <w:link w:val="a5"/>
    <w:uiPriority w:val="99"/>
    <w:semiHidden/>
    <w:qFormat/>
    <w:rsid w:val="0041516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1249</Characters>
  <Application>Microsoft Office Word</Application>
  <DocSecurity>4</DocSecurity>
  <Lines>10</Lines>
  <Paragraphs>2</Paragraphs>
  <ScaleCrop>false</ScaleCrop>
  <Company>CNSTOCK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沈静</dc:creator>
  <cp:lastModifiedBy>ZHONGM</cp:lastModifiedBy>
  <cp:revision>2</cp:revision>
  <dcterms:created xsi:type="dcterms:W3CDTF">2025-11-02T16:00:00Z</dcterms:created>
  <dcterms:modified xsi:type="dcterms:W3CDTF">2025-11-02T16:00:00Z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C402C25356C945C19410D809D9646609</vt:lpwstr>
  </property>
  <property fmtid="{D5CDD505-2E9C-101B-9397-08002B2CF9AE}" pid="4" name="KSOTemplateDocerSaveRecord">
    <vt:lpwstr>eyJoZGlkIjoiNWM0OTg5MWUxYzJlYzMxYjZhN2QyYjcxMWZiYjUyMWUiLCJ1c2VySWQiOiIyODE5NDM0ODcifQ==</vt:lpwstr>
  </property>
</Properties>
</file>