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A7E" w:rsidRPr="006125E8" w:rsidRDefault="00D84A7E" w:rsidP="00D75C55">
      <w:pPr>
        <w:spacing w:line="360" w:lineRule="auto"/>
        <w:jc w:val="center"/>
        <w:rPr>
          <w:rFonts w:asciiTheme="minorEastAsia" w:hAnsiTheme="minorEastAsia" w:cs="宋体"/>
          <w:b/>
          <w:color w:val="000000"/>
          <w:kern w:val="0"/>
          <w:sz w:val="28"/>
          <w:szCs w:val="28"/>
        </w:rPr>
      </w:pPr>
      <w:r w:rsidRPr="006125E8">
        <w:rPr>
          <w:rFonts w:asciiTheme="minorEastAsia" w:hAnsiTheme="minorEastAsia" w:cs="宋体"/>
          <w:b/>
          <w:color w:val="000000"/>
          <w:kern w:val="0"/>
          <w:sz w:val="28"/>
          <w:szCs w:val="28"/>
        </w:rPr>
        <w:t>摩根士丹利基金管理 (中国) 有限公司</w:t>
      </w:r>
    </w:p>
    <w:p w:rsidR="00D84A7E" w:rsidRPr="006125E8" w:rsidRDefault="00ED64DF" w:rsidP="00D75C55">
      <w:pPr>
        <w:spacing w:line="360" w:lineRule="auto"/>
        <w:jc w:val="center"/>
        <w:rPr>
          <w:rFonts w:asciiTheme="minorEastAsia" w:hAnsiTheme="minorEastAsia" w:cs="宋体"/>
          <w:b/>
          <w:color w:val="000000"/>
          <w:kern w:val="0"/>
          <w:sz w:val="28"/>
          <w:szCs w:val="28"/>
        </w:rPr>
      </w:pPr>
      <w:r w:rsidRPr="007D10BA">
        <w:rPr>
          <w:rFonts w:asciiTheme="minorEastAsia" w:hAnsiTheme="minorEastAsia" w:cs="宋体" w:hint="eastAsia"/>
          <w:b/>
          <w:color w:val="000000"/>
          <w:kern w:val="0"/>
          <w:sz w:val="28"/>
          <w:szCs w:val="28"/>
        </w:rPr>
        <w:t>关于</w:t>
      </w:r>
      <w:r w:rsidR="00D84A7E" w:rsidRPr="006125E8">
        <w:rPr>
          <w:rFonts w:asciiTheme="minorEastAsia" w:hAnsiTheme="minorEastAsia" w:cs="宋体"/>
          <w:b/>
          <w:color w:val="000000"/>
          <w:kern w:val="0"/>
          <w:sz w:val="28"/>
          <w:szCs w:val="28"/>
        </w:rPr>
        <w:t>摩根士丹利纯债稳定</w:t>
      </w:r>
      <w:r w:rsidR="00732518">
        <w:rPr>
          <w:rFonts w:asciiTheme="minorEastAsia" w:hAnsiTheme="minorEastAsia" w:cs="宋体"/>
          <w:b/>
          <w:color w:val="000000"/>
          <w:kern w:val="0"/>
          <w:sz w:val="28"/>
          <w:szCs w:val="28"/>
        </w:rPr>
        <w:t>增利</w:t>
      </w:r>
      <w:r w:rsidR="00D84A7E" w:rsidRPr="006125E8">
        <w:rPr>
          <w:rFonts w:asciiTheme="minorEastAsia" w:hAnsiTheme="minorEastAsia" w:cs="宋体"/>
          <w:b/>
          <w:color w:val="000000"/>
          <w:kern w:val="0"/>
          <w:sz w:val="28"/>
          <w:szCs w:val="28"/>
        </w:rPr>
        <w:t>18个月定期开放债券型证券投资基金</w:t>
      </w:r>
    </w:p>
    <w:p w:rsidR="00ED64DF" w:rsidRDefault="00ED64DF" w:rsidP="00D75C55">
      <w:pPr>
        <w:spacing w:line="360" w:lineRule="auto"/>
        <w:jc w:val="center"/>
        <w:rPr>
          <w:rFonts w:asciiTheme="minorEastAsia" w:hAnsiTheme="minorEastAsia" w:cs="宋体"/>
          <w:b/>
          <w:color w:val="000000"/>
          <w:kern w:val="0"/>
          <w:sz w:val="28"/>
          <w:szCs w:val="28"/>
        </w:rPr>
      </w:pPr>
      <w:r w:rsidRPr="007D10BA">
        <w:rPr>
          <w:rFonts w:asciiTheme="minorEastAsia" w:hAnsiTheme="minorEastAsia" w:cs="宋体" w:hint="eastAsia"/>
          <w:b/>
          <w:color w:val="000000"/>
          <w:kern w:val="0"/>
          <w:sz w:val="28"/>
          <w:szCs w:val="28"/>
        </w:rPr>
        <w:t>基金份额持有人大会表决结果</w:t>
      </w:r>
      <w:r w:rsidR="00894EA7">
        <w:rPr>
          <w:rFonts w:asciiTheme="minorEastAsia" w:hAnsiTheme="minorEastAsia" w:cs="宋体" w:hint="eastAsia"/>
          <w:b/>
          <w:color w:val="000000"/>
          <w:kern w:val="0"/>
          <w:sz w:val="28"/>
          <w:szCs w:val="28"/>
        </w:rPr>
        <w:t>暨</w:t>
      </w:r>
      <w:r w:rsidR="005922D2" w:rsidRPr="005922D2">
        <w:rPr>
          <w:rFonts w:asciiTheme="minorEastAsia" w:hAnsiTheme="minorEastAsia" w:cs="宋体" w:hint="eastAsia"/>
          <w:b/>
          <w:color w:val="000000"/>
          <w:kern w:val="0"/>
          <w:sz w:val="28"/>
          <w:szCs w:val="28"/>
        </w:rPr>
        <w:t>决议生效</w:t>
      </w:r>
      <w:r w:rsidRPr="007D10BA">
        <w:rPr>
          <w:rFonts w:asciiTheme="minorEastAsia" w:hAnsiTheme="minorEastAsia" w:cs="宋体" w:hint="eastAsia"/>
          <w:b/>
          <w:color w:val="000000"/>
          <w:kern w:val="0"/>
          <w:sz w:val="28"/>
          <w:szCs w:val="28"/>
        </w:rPr>
        <w:t>的公告</w:t>
      </w:r>
    </w:p>
    <w:p w:rsidR="00AC1C1D" w:rsidRPr="00F15509" w:rsidRDefault="00AC1C1D" w:rsidP="00ED64DF">
      <w:pPr>
        <w:spacing w:line="360" w:lineRule="auto"/>
        <w:rPr>
          <w:rFonts w:asciiTheme="minorEastAsia" w:hAnsiTheme="minorEastAsia"/>
          <w:sz w:val="24"/>
          <w:szCs w:val="24"/>
        </w:rPr>
      </w:pPr>
    </w:p>
    <w:p w:rsidR="00ED64DF" w:rsidRDefault="00ED64DF" w:rsidP="00ED64DF">
      <w:pPr>
        <w:spacing w:line="360" w:lineRule="auto"/>
        <w:ind w:firstLineChars="200" w:firstLine="480"/>
        <w:rPr>
          <w:rFonts w:asciiTheme="minorEastAsia" w:hAnsiTheme="minorEastAsia"/>
          <w:sz w:val="24"/>
          <w:szCs w:val="24"/>
        </w:rPr>
      </w:pPr>
      <w:r w:rsidRPr="00ED64DF">
        <w:rPr>
          <w:rFonts w:asciiTheme="minorEastAsia" w:hAnsiTheme="minorEastAsia" w:hint="eastAsia"/>
          <w:sz w:val="24"/>
          <w:szCs w:val="24"/>
        </w:rPr>
        <w:t>根据《中华人民共和国证券投资基金法》、《公开募集证券投资基金运作管理办法》</w:t>
      </w:r>
      <w:r w:rsidR="00B227F6">
        <w:rPr>
          <w:rFonts w:asciiTheme="minorEastAsia" w:hAnsiTheme="minorEastAsia" w:hint="eastAsia"/>
          <w:sz w:val="24"/>
          <w:szCs w:val="24"/>
        </w:rPr>
        <w:t>等</w:t>
      </w:r>
      <w:r w:rsidR="00B227F6">
        <w:rPr>
          <w:rFonts w:asciiTheme="minorEastAsia" w:hAnsiTheme="minorEastAsia"/>
          <w:sz w:val="24"/>
          <w:szCs w:val="24"/>
        </w:rPr>
        <w:t>法律</w:t>
      </w:r>
      <w:r w:rsidR="00B227F6">
        <w:rPr>
          <w:rFonts w:asciiTheme="minorEastAsia" w:hAnsiTheme="minorEastAsia" w:hint="eastAsia"/>
          <w:sz w:val="24"/>
          <w:szCs w:val="24"/>
        </w:rPr>
        <w:t>法规</w:t>
      </w:r>
      <w:r w:rsidR="00B227F6">
        <w:rPr>
          <w:rFonts w:asciiTheme="minorEastAsia" w:hAnsiTheme="minorEastAsia"/>
          <w:sz w:val="24"/>
          <w:szCs w:val="24"/>
        </w:rPr>
        <w:t>的规定</w:t>
      </w:r>
      <w:r w:rsidR="00B227F6">
        <w:rPr>
          <w:rFonts w:asciiTheme="minorEastAsia" w:hAnsiTheme="minorEastAsia" w:hint="eastAsia"/>
          <w:sz w:val="24"/>
          <w:szCs w:val="24"/>
        </w:rPr>
        <w:t>和</w:t>
      </w:r>
      <w:r w:rsidRPr="00ED64DF">
        <w:rPr>
          <w:rFonts w:asciiTheme="minorEastAsia" w:hAnsiTheme="minorEastAsia" w:hint="eastAsia"/>
          <w:sz w:val="24"/>
          <w:szCs w:val="24"/>
        </w:rPr>
        <w:t>《</w:t>
      </w:r>
      <w:r w:rsidR="00D84A7E" w:rsidRPr="00D84A7E">
        <w:rPr>
          <w:rFonts w:asciiTheme="minorEastAsia" w:hAnsiTheme="minorEastAsia" w:hint="eastAsia"/>
          <w:sz w:val="24"/>
          <w:szCs w:val="24"/>
        </w:rPr>
        <w:t>摩根士丹利纯债稳定</w:t>
      </w:r>
      <w:r w:rsidR="00732518">
        <w:rPr>
          <w:rFonts w:asciiTheme="minorEastAsia" w:hAnsiTheme="minorEastAsia" w:hint="eastAsia"/>
          <w:sz w:val="24"/>
          <w:szCs w:val="24"/>
        </w:rPr>
        <w:t>增利</w:t>
      </w:r>
      <w:r w:rsidR="00D84A7E" w:rsidRPr="00D84A7E">
        <w:rPr>
          <w:rFonts w:asciiTheme="minorEastAsia" w:hAnsiTheme="minorEastAsia" w:hint="eastAsia"/>
          <w:sz w:val="24"/>
          <w:szCs w:val="24"/>
        </w:rPr>
        <w:t>18个月定期开放债券型证券投资基金</w:t>
      </w:r>
      <w:r w:rsidR="00BA2C9C">
        <w:rPr>
          <w:rFonts w:asciiTheme="minorEastAsia" w:hAnsiTheme="minorEastAsia" w:hint="eastAsia"/>
          <w:sz w:val="24"/>
          <w:szCs w:val="24"/>
        </w:rPr>
        <w:t>基金合同》</w:t>
      </w:r>
      <w:r w:rsidR="004C4F85" w:rsidRPr="004C4F85">
        <w:rPr>
          <w:rFonts w:asciiTheme="minorEastAsia" w:hAnsiTheme="minorEastAsia" w:hint="eastAsia"/>
          <w:sz w:val="24"/>
          <w:szCs w:val="24"/>
        </w:rPr>
        <w:t>（以下简称“</w:t>
      </w:r>
      <w:r w:rsidR="004C4F85">
        <w:rPr>
          <w:rFonts w:asciiTheme="minorEastAsia" w:hAnsiTheme="minorEastAsia" w:hint="eastAsia"/>
          <w:sz w:val="24"/>
          <w:szCs w:val="24"/>
        </w:rPr>
        <w:t>《基金合同</w:t>
      </w:r>
      <w:r w:rsidR="004C4F85">
        <w:rPr>
          <w:rFonts w:asciiTheme="minorEastAsia" w:hAnsiTheme="minorEastAsia"/>
          <w:sz w:val="24"/>
          <w:szCs w:val="24"/>
        </w:rPr>
        <w:t>》</w:t>
      </w:r>
      <w:r w:rsidR="004C4F85" w:rsidRPr="004C4F85">
        <w:rPr>
          <w:rFonts w:asciiTheme="minorEastAsia" w:hAnsiTheme="minorEastAsia" w:hint="eastAsia"/>
          <w:sz w:val="24"/>
          <w:szCs w:val="24"/>
        </w:rPr>
        <w:t>”）</w:t>
      </w:r>
      <w:r w:rsidR="00BA2C9C">
        <w:rPr>
          <w:rFonts w:asciiTheme="minorEastAsia" w:hAnsiTheme="minorEastAsia" w:hint="eastAsia"/>
          <w:sz w:val="24"/>
          <w:szCs w:val="24"/>
        </w:rPr>
        <w:t>的有关</w:t>
      </w:r>
      <w:r w:rsidR="00BB0FA2">
        <w:rPr>
          <w:rFonts w:asciiTheme="minorEastAsia" w:hAnsiTheme="minorEastAsia" w:hint="eastAsia"/>
          <w:sz w:val="24"/>
          <w:szCs w:val="24"/>
        </w:rPr>
        <w:t>约</w:t>
      </w:r>
      <w:r w:rsidR="00BA2C9C">
        <w:rPr>
          <w:rFonts w:asciiTheme="minorEastAsia" w:hAnsiTheme="minorEastAsia" w:hint="eastAsia"/>
          <w:sz w:val="24"/>
          <w:szCs w:val="24"/>
        </w:rPr>
        <w:t>定，现将</w:t>
      </w:r>
      <w:r w:rsidR="00D84A7E" w:rsidRPr="00D84A7E">
        <w:rPr>
          <w:rFonts w:asciiTheme="minorEastAsia" w:hAnsiTheme="minorEastAsia" w:hint="eastAsia"/>
          <w:sz w:val="24"/>
          <w:szCs w:val="24"/>
        </w:rPr>
        <w:t>摩根士丹利纯债稳定</w:t>
      </w:r>
      <w:r w:rsidR="00732518">
        <w:rPr>
          <w:rFonts w:asciiTheme="minorEastAsia" w:hAnsiTheme="minorEastAsia" w:hint="eastAsia"/>
          <w:sz w:val="24"/>
          <w:szCs w:val="24"/>
        </w:rPr>
        <w:t>增利</w:t>
      </w:r>
      <w:r w:rsidR="00D84A7E" w:rsidRPr="00D84A7E">
        <w:rPr>
          <w:rFonts w:asciiTheme="minorEastAsia" w:hAnsiTheme="minorEastAsia" w:hint="eastAsia"/>
          <w:sz w:val="24"/>
          <w:szCs w:val="24"/>
        </w:rPr>
        <w:t>18个月定期开放债券型证券投资基金</w:t>
      </w:r>
      <w:r w:rsidRPr="00ED64DF">
        <w:rPr>
          <w:rFonts w:asciiTheme="minorEastAsia" w:hAnsiTheme="minorEastAsia" w:hint="eastAsia"/>
          <w:sz w:val="24"/>
          <w:szCs w:val="24"/>
        </w:rPr>
        <w:t>（以下简称“本基金”）基金份额持有人大会的</w:t>
      </w:r>
      <w:r w:rsidR="00BB0FA2">
        <w:rPr>
          <w:rFonts w:asciiTheme="minorEastAsia" w:hAnsiTheme="minorEastAsia" w:hint="eastAsia"/>
          <w:sz w:val="24"/>
          <w:szCs w:val="24"/>
        </w:rPr>
        <w:t>表决</w:t>
      </w:r>
      <w:r w:rsidR="00BB0FA2">
        <w:rPr>
          <w:rFonts w:asciiTheme="minorEastAsia" w:hAnsiTheme="minorEastAsia"/>
          <w:sz w:val="24"/>
          <w:szCs w:val="24"/>
        </w:rPr>
        <w:t>结果、</w:t>
      </w:r>
      <w:r w:rsidRPr="00ED64DF">
        <w:rPr>
          <w:rFonts w:asciiTheme="minorEastAsia" w:hAnsiTheme="minorEastAsia" w:hint="eastAsia"/>
          <w:sz w:val="24"/>
          <w:szCs w:val="24"/>
        </w:rPr>
        <w:t>决议及相关事项公告如下：</w:t>
      </w:r>
    </w:p>
    <w:p w:rsidR="00ED64DF" w:rsidRPr="00D84A7E" w:rsidRDefault="00ED64DF" w:rsidP="00ED64DF">
      <w:pPr>
        <w:spacing w:line="360" w:lineRule="auto"/>
        <w:ind w:firstLineChars="200" w:firstLine="480"/>
        <w:rPr>
          <w:rFonts w:asciiTheme="minorEastAsia" w:hAnsiTheme="minorEastAsia"/>
          <w:sz w:val="24"/>
          <w:szCs w:val="24"/>
        </w:rPr>
      </w:pPr>
    </w:p>
    <w:p w:rsidR="0017157C" w:rsidRDefault="00ED64DF" w:rsidP="00950698">
      <w:pPr>
        <w:pStyle w:val="Default"/>
        <w:spacing w:line="360" w:lineRule="auto"/>
        <w:ind w:firstLineChars="200" w:firstLine="482"/>
        <w:rPr>
          <w:rFonts w:asciiTheme="minorEastAsia" w:hAnsiTheme="minorEastAsia"/>
          <w:b/>
        </w:rPr>
      </w:pPr>
      <w:r w:rsidRPr="007D10BA">
        <w:rPr>
          <w:rFonts w:asciiTheme="minorEastAsia" w:hAnsiTheme="minorEastAsia" w:hint="eastAsia"/>
          <w:b/>
        </w:rPr>
        <w:t>一、本次基金</w:t>
      </w:r>
      <w:r w:rsidR="00131DD2">
        <w:rPr>
          <w:rFonts w:asciiTheme="minorEastAsia" w:hAnsiTheme="minorEastAsia" w:hint="eastAsia"/>
          <w:b/>
        </w:rPr>
        <w:t>份额</w:t>
      </w:r>
      <w:r w:rsidRPr="007D10BA">
        <w:rPr>
          <w:rFonts w:asciiTheme="minorEastAsia" w:hAnsiTheme="minorEastAsia" w:hint="eastAsia"/>
          <w:b/>
        </w:rPr>
        <w:t>持有人大会会议情况</w:t>
      </w:r>
    </w:p>
    <w:p w:rsidR="00ED64DF" w:rsidRPr="00950698" w:rsidRDefault="00ED64DF" w:rsidP="00950698">
      <w:pPr>
        <w:spacing w:line="360" w:lineRule="auto"/>
        <w:ind w:firstLineChars="200" w:firstLine="480"/>
        <w:rPr>
          <w:rFonts w:asciiTheme="minorEastAsia" w:hAnsiTheme="minorEastAsia"/>
          <w:sz w:val="24"/>
          <w:szCs w:val="24"/>
        </w:rPr>
      </w:pPr>
      <w:r w:rsidRPr="00950698">
        <w:rPr>
          <w:rFonts w:asciiTheme="minorEastAsia" w:hAnsiTheme="minorEastAsia" w:hint="eastAsia"/>
          <w:sz w:val="24"/>
          <w:szCs w:val="24"/>
        </w:rPr>
        <w:t>本基金以通讯方式召开了基金份额持有人大会，会议审议了《</w:t>
      </w:r>
      <w:r w:rsidR="008D1E13" w:rsidRPr="008D1E13">
        <w:rPr>
          <w:rFonts w:asciiTheme="minorEastAsia" w:hAnsiTheme="minorEastAsia" w:hint="eastAsia"/>
          <w:sz w:val="24"/>
          <w:szCs w:val="24"/>
        </w:rPr>
        <w:t>关于摩根士丹利纯债稳定</w:t>
      </w:r>
      <w:r w:rsidR="00732518">
        <w:rPr>
          <w:rFonts w:asciiTheme="minorEastAsia" w:hAnsiTheme="minorEastAsia" w:hint="eastAsia"/>
          <w:sz w:val="24"/>
          <w:szCs w:val="24"/>
        </w:rPr>
        <w:t>增利</w:t>
      </w:r>
      <w:r w:rsidR="008D1E13" w:rsidRPr="008D1E13">
        <w:rPr>
          <w:rFonts w:asciiTheme="minorEastAsia" w:hAnsiTheme="minorEastAsia" w:hint="eastAsia"/>
          <w:sz w:val="24"/>
          <w:szCs w:val="24"/>
        </w:rPr>
        <w:t>18个月定期开放债券型证券投资基金修改基金合同有关事项的议案</w:t>
      </w:r>
      <w:r w:rsidRPr="00950698">
        <w:rPr>
          <w:rFonts w:asciiTheme="minorEastAsia" w:hAnsiTheme="minorEastAsia" w:hint="eastAsia"/>
          <w:sz w:val="24"/>
          <w:szCs w:val="24"/>
        </w:rPr>
        <w:t>》（以下简称“本次会议议案”），权益登记日为</w:t>
      </w:r>
      <w:r w:rsidR="008D1E13">
        <w:rPr>
          <w:rFonts w:asciiTheme="minorEastAsia" w:hAnsiTheme="minorEastAsia" w:hint="eastAsia"/>
          <w:sz w:val="24"/>
          <w:szCs w:val="24"/>
        </w:rPr>
        <w:t>2</w:t>
      </w:r>
      <w:r w:rsidR="008D1E13">
        <w:rPr>
          <w:rFonts w:asciiTheme="minorEastAsia" w:hAnsiTheme="minorEastAsia"/>
          <w:sz w:val="24"/>
          <w:szCs w:val="24"/>
        </w:rPr>
        <w:t>02</w:t>
      </w:r>
      <w:r w:rsidR="00732518">
        <w:rPr>
          <w:rFonts w:asciiTheme="minorEastAsia" w:hAnsiTheme="minorEastAsia" w:hint="eastAsia"/>
          <w:sz w:val="24"/>
          <w:szCs w:val="24"/>
        </w:rPr>
        <w:t>5</w:t>
      </w:r>
      <w:r w:rsidR="00950698" w:rsidRPr="00950698">
        <w:rPr>
          <w:rFonts w:asciiTheme="minorEastAsia" w:hAnsiTheme="minorEastAsia" w:hint="eastAsia"/>
          <w:sz w:val="24"/>
          <w:szCs w:val="24"/>
        </w:rPr>
        <w:t>年</w:t>
      </w:r>
      <w:r w:rsidR="00732518">
        <w:rPr>
          <w:rFonts w:asciiTheme="minorEastAsia" w:hAnsiTheme="minorEastAsia" w:hint="eastAsia"/>
          <w:sz w:val="24"/>
          <w:szCs w:val="24"/>
        </w:rPr>
        <w:t>10</w:t>
      </w:r>
      <w:r w:rsidR="00950698" w:rsidRPr="00950698">
        <w:rPr>
          <w:rFonts w:asciiTheme="minorEastAsia" w:hAnsiTheme="minorEastAsia" w:hint="eastAsia"/>
          <w:sz w:val="24"/>
          <w:szCs w:val="24"/>
        </w:rPr>
        <w:t>月</w:t>
      </w:r>
      <w:r w:rsidR="00732518">
        <w:rPr>
          <w:rFonts w:asciiTheme="minorEastAsia" w:hAnsiTheme="minorEastAsia" w:hint="eastAsia"/>
          <w:sz w:val="24"/>
          <w:szCs w:val="24"/>
        </w:rPr>
        <w:t>22</w:t>
      </w:r>
      <w:r w:rsidR="007174D6">
        <w:rPr>
          <w:rFonts w:asciiTheme="minorEastAsia" w:hAnsiTheme="minorEastAsia" w:hint="eastAsia"/>
          <w:sz w:val="24"/>
          <w:szCs w:val="24"/>
        </w:rPr>
        <w:t>日，</w:t>
      </w:r>
      <w:r w:rsidRPr="00950698">
        <w:rPr>
          <w:rFonts w:asciiTheme="minorEastAsia" w:hAnsiTheme="minorEastAsia" w:hint="eastAsia"/>
          <w:sz w:val="24"/>
          <w:szCs w:val="24"/>
        </w:rPr>
        <w:t>投票表决时间</w:t>
      </w:r>
      <w:r w:rsidR="00E65530" w:rsidRPr="00950698">
        <w:rPr>
          <w:rFonts w:asciiTheme="minorEastAsia" w:hAnsiTheme="minorEastAsia" w:hint="eastAsia"/>
          <w:sz w:val="24"/>
          <w:szCs w:val="24"/>
        </w:rPr>
        <w:t>自</w:t>
      </w:r>
      <w:r w:rsidR="008D1E13">
        <w:rPr>
          <w:rFonts w:asciiTheme="minorEastAsia" w:hAnsiTheme="minorEastAsia" w:hint="eastAsia"/>
          <w:sz w:val="24"/>
          <w:szCs w:val="24"/>
        </w:rPr>
        <w:t>2</w:t>
      </w:r>
      <w:r w:rsidR="008D1E13">
        <w:rPr>
          <w:rFonts w:asciiTheme="minorEastAsia" w:hAnsiTheme="minorEastAsia"/>
          <w:sz w:val="24"/>
          <w:szCs w:val="24"/>
        </w:rPr>
        <w:t>02</w:t>
      </w:r>
      <w:r w:rsidR="00732518">
        <w:rPr>
          <w:rFonts w:asciiTheme="minorEastAsia" w:hAnsiTheme="minorEastAsia" w:hint="eastAsia"/>
          <w:sz w:val="24"/>
          <w:szCs w:val="24"/>
        </w:rPr>
        <w:t>5</w:t>
      </w:r>
      <w:r w:rsidR="008D1E13">
        <w:rPr>
          <w:rFonts w:asciiTheme="minorEastAsia" w:hAnsiTheme="minorEastAsia" w:hint="eastAsia"/>
          <w:sz w:val="24"/>
          <w:szCs w:val="24"/>
        </w:rPr>
        <w:t>年</w:t>
      </w:r>
      <w:r w:rsidR="00732518">
        <w:rPr>
          <w:rFonts w:asciiTheme="minorEastAsia" w:hAnsiTheme="minorEastAsia" w:hint="eastAsia"/>
          <w:sz w:val="24"/>
          <w:szCs w:val="24"/>
        </w:rPr>
        <w:t>10</w:t>
      </w:r>
      <w:r w:rsidR="008D1E13">
        <w:rPr>
          <w:rFonts w:asciiTheme="minorEastAsia" w:hAnsiTheme="minorEastAsia" w:hint="eastAsia"/>
          <w:sz w:val="24"/>
          <w:szCs w:val="24"/>
        </w:rPr>
        <w:t>月</w:t>
      </w:r>
      <w:r w:rsidR="00732518">
        <w:rPr>
          <w:rFonts w:asciiTheme="minorEastAsia" w:hAnsiTheme="minorEastAsia" w:hint="eastAsia"/>
          <w:sz w:val="24"/>
          <w:szCs w:val="24"/>
        </w:rPr>
        <w:t>23</w:t>
      </w:r>
      <w:r w:rsidR="00950698" w:rsidRPr="00950698">
        <w:rPr>
          <w:rFonts w:asciiTheme="minorEastAsia" w:hAnsiTheme="minorEastAsia" w:hint="eastAsia"/>
          <w:sz w:val="24"/>
          <w:szCs w:val="24"/>
        </w:rPr>
        <w:t>日至</w:t>
      </w:r>
      <w:r w:rsidR="008D1E13">
        <w:rPr>
          <w:rFonts w:asciiTheme="minorEastAsia" w:hAnsiTheme="minorEastAsia" w:hint="eastAsia"/>
          <w:sz w:val="24"/>
          <w:szCs w:val="24"/>
        </w:rPr>
        <w:t>2</w:t>
      </w:r>
      <w:r w:rsidR="008D1E13">
        <w:rPr>
          <w:rFonts w:asciiTheme="minorEastAsia" w:hAnsiTheme="minorEastAsia"/>
          <w:sz w:val="24"/>
          <w:szCs w:val="24"/>
        </w:rPr>
        <w:t>02</w:t>
      </w:r>
      <w:r w:rsidR="00732518">
        <w:rPr>
          <w:rFonts w:asciiTheme="minorEastAsia" w:hAnsiTheme="minorEastAsia" w:hint="eastAsia"/>
          <w:sz w:val="24"/>
          <w:szCs w:val="24"/>
        </w:rPr>
        <w:t>5</w:t>
      </w:r>
      <w:r w:rsidR="00950698" w:rsidRPr="00950698">
        <w:rPr>
          <w:rFonts w:asciiTheme="minorEastAsia" w:hAnsiTheme="minorEastAsia" w:hint="eastAsia"/>
          <w:sz w:val="24"/>
          <w:szCs w:val="24"/>
        </w:rPr>
        <w:t>年</w:t>
      </w:r>
      <w:r w:rsidR="00732518">
        <w:rPr>
          <w:rFonts w:asciiTheme="minorEastAsia" w:hAnsiTheme="minorEastAsia" w:hint="eastAsia"/>
          <w:sz w:val="24"/>
          <w:szCs w:val="24"/>
        </w:rPr>
        <w:t>10</w:t>
      </w:r>
      <w:r w:rsidR="00950698" w:rsidRPr="00950698">
        <w:rPr>
          <w:rFonts w:asciiTheme="minorEastAsia" w:hAnsiTheme="minorEastAsia" w:hint="eastAsia"/>
          <w:sz w:val="24"/>
          <w:szCs w:val="24"/>
        </w:rPr>
        <w:t>月</w:t>
      </w:r>
      <w:r w:rsidR="00732518">
        <w:rPr>
          <w:rFonts w:asciiTheme="minorEastAsia" w:hAnsiTheme="minorEastAsia" w:hint="eastAsia"/>
          <w:sz w:val="24"/>
          <w:szCs w:val="24"/>
        </w:rPr>
        <w:t>30</w:t>
      </w:r>
      <w:r w:rsidR="00950698" w:rsidRPr="00950698">
        <w:rPr>
          <w:rFonts w:asciiTheme="minorEastAsia" w:hAnsiTheme="minorEastAsia" w:hint="eastAsia"/>
          <w:sz w:val="24"/>
          <w:szCs w:val="24"/>
        </w:rPr>
        <w:t>日1</w:t>
      </w:r>
      <w:r w:rsidR="00D6054C">
        <w:rPr>
          <w:rFonts w:asciiTheme="minorEastAsia" w:hAnsiTheme="minorEastAsia"/>
          <w:sz w:val="24"/>
          <w:szCs w:val="24"/>
        </w:rPr>
        <w:t>5</w:t>
      </w:r>
      <w:r w:rsidR="00950698" w:rsidRPr="00950698">
        <w:rPr>
          <w:rFonts w:asciiTheme="minorEastAsia" w:hAnsiTheme="minorEastAsia" w:hint="eastAsia"/>
          <w:sz w:val="24"/>
          <w:szCs w:val="24"/>
        </w:rPr>
        <w:t>:00止</w:t>
      </w:r>
      <w:r w:rsidR="00720F51" w:rsidRPr="00720F51">
        <w:rPr>
          <w:rFonts w:asciiTheme="minorEastAsia" w:hAnsiTheme="minorEastAsia" w:hint="eastAsia"/>
          <w:sz w:val="24"/>
          <w:szCs w:val="24"/>
        </w:rPr>
        <w:t>。</w:t>
      </w:r>
    </w:p>
    <w:p w:rsidR="00ED64DF" w:rsidRPr="00950698" w:rsidRDefault="002B03FA" w:rsidP="00950698">
      <w:pPr>
        <w:spacing w:line="360" w:lineRule="auto"/>
        <w:ind w:firstLineChars="200" w:firstLine="480"/>
        <w:rPr>
          <w:rFonts w:asciiTheme="minorEastAsia" w:hAnsiTheme="minorEastAsia"/>
          <w:sz w:val="24"/>
          <w:szCs w:val="24"/>
        </w:rPr>
      </w:pPr>
      <w:r>
        <w:rPr>
          <w:rFonts w:asciiTheme="minorEastAsia" w:hAnsiTheme="minorEastAsia"/>
          <w:sz w:val="24"/>
          <w:szCs w:val="24"/>
        </w:rPr>
        <w:t>202</w:t>
      </w:r>
      <w:r w:rsidR="00732518">
        <w:rPr>
          <w:rFonts w:asciiTheme="minorEastAsia" w:hAnsiTheme="minorEastAsia" w:hint="eastAsia"/>
          <w:sz w:val="24"/>
          <w:szCs w:val="24"/>
        </w:rPr>
        <w:t>5</w:t>
      </w:r>
      <w:r w:rsidR="00950698" w:rsidRPr="00950698">
        <w:rPr>
          <w:rFonts w:asciiTheme="minorEastAsia" w:hAnsiTheme="minorEastAsia" w:hint="eastAsia"/>
          <w:sz w:val="24"/>
          <w:szCs w:val="24"/>
        </w:rPr>
        <w:t>年</w:t>
      </w:r>
      <w:r w:rsidR="00732518">
        <w:rPr>
          <w:rFonts w:asciiTheme="minorEastAsia" w:hAnsiTheme="minorEastAsia" w:hint="eastAsia"/>
          <w:sz w:val="24"/>
          <w:szCs w:val="24"/>
        </w:rPr>
        <w:t>10</w:t>
      </w:r>
      <w:r w:rsidR="00950698" w:rsidRPr="00950698">
        <w:rPr>
          <w:rFonts w:asciiTheme="minorEastAsia" w:hAnsiTheme="minorEastAsia" w:hint="eastAsia"/>
          <w:sz w:val="24"/>
          <w:szCs w:val="24"/>
        </w:rPr>
        <w:t>月</w:t>
      </w:r>
      <w:r w:rsidR="00732518">
        <w:rPr>
          <w:rFonts w:asciiTheme="minorEastAsia" w:hAnsiTheme="minorEastAsia" w:hint="eastAsia"/>
          <w:sz w:val="24"/>
          <w:szCs w:val="24"/>
        </w:rPr>
        <w:t>31</w:t>
      </w:r>
      <w:r w:rsidR="00950698" w:rsidRPr="00950698">
        <w:rPr>
          <w:rFonts w:asciiTheme="minorEastAsia" w:hAnsiTheme="minorEastAsia" w:hint="eastAsia"/>
          <w:sz w:val="24"/>
          <w:szCs w:val="24"/>
        </w:rPr>
        <w:t>日</w:t>
      </w:r>
      <w:r w:rsidR="00ED64DF" w:rsidRPr="00950698">
        <w:rPr>
          <w:rFonts w:asciiTheme="minorEastAsia" w:hAnsiTheme="minorEastAsia" w:hint="eastAsia"/>
          <w:sz w:val="24"/>
          <w:szCs w:val="24"/>
        </w:rPr>
        <w:t>，由</w:t>
      </w:r>
      <w:r w:rsidR="0096370F" w:rsidRPr="0096370F">
        <w:rPr>
          <w:rFonts w:asciiTheme="minorEastAsia" w:hAnsiTheme="minorEastAsia" w:hint="eastAsia"/>
          <w:sz w:val="24"/>
          <w:szCs w:val="24"/>
        </w:rPr>
        <w:t>摩根士丹利基金管理</w:t>
      </w:r>
      <w:r w:rsidR="008A596C">
        <w:rPr>
          <w:rFonts w:asciiTheme="minorEastAsia" w:hAnsiTheme="minorEastAsia" w:hint="eastAsia"/>
          <w:sz w:val="24"/>
          <w:szCs w:val="24"/>
        </w:rPr>
        <w:t>（</w:t>
      </w:r>
      <w:r w:rsidR="0096370F" w:rsidRPr="0096370F">
        <w:rPr>
          <w:rFonts w:asciiTheme="minorEastAsia" w:hAnsiTheme="minorEastAsia" w:hint="eastAsia"/>
          <w:sz w:val="24"/>
          <w:szCs w:val="24"/>
        </w:rPr>
        <w:t>中国</w:t>
      </w:r>
      <w:r w:rsidR="008A596C">
        <w:rPr>
          <w:rFonts w:asciiTheme="minorEastAsia" w:hAnsiTheme="minorEastAsia" w:hint="eastAsia"/>
          <w:sz w:val="24"/>
          <w:szCs w:val="24"/>
        </w:rPr>
        <w:t>）</w:t>
      </w:r>
      <w:r w:rsidR="0096370F" w:rsidRPr="0096370F">
        <w:rPr>
          <w:rFonts w:asciiTheme="minorEastAsia" w:hAnsiTheme="minorEastAsia" w:hint="eastAsia"/>
          <w:sz w:val="24"/>
          <w:szCs w:val="24"/>
        </w:rPr>
        <w:t>有限公司</w:t>
      </w:r>
      <w:r w:rsidR="0096370F">
        <w:rPr>
          <w:rFonts w:asciiTheme="minorEastAsia" w:hAnsiTheme="minorEastAsia" w:hint="eastAsia"/>
          <w:sz w:val="24"/>
          <w:szCs w:val="24"/>
        </w:rPr>
        <w:t>（以下简称“</w:t>
      </w:r>
      <w:r w:rsidR="00ED64DF" w:rsidRPr="00950698">
        <w:rPr>
          <w:rFonts w:asciiTheme="minorEastAsia" w:hAnsiTheme="minorEastAsia" w:hint="eastAsia"/>
          <w:sz w:val="24"/>
          <w:szCs w:val="24"/>
        </w:rPr>
        <w:t>本基金管理人</w:t>
      </w:r>
      <w:r w:rsidR="0096370F">
        <w:rPr>
          <w:rFonts w:asciiTheme="minorEastAsia" w:hAnsiTheme="minorEastAsia" w:hint="eastAsia"/>
          <w:sz w:val="24"/>
          <w:szCs w:val="24"/>
        </w:rPr>
        <w:t>”）</w:t>
      </w:r>
      <w:r w:rsidR="00ED64DF" w:rsidRPr="00950698">
        <w:rPr>
          <w:rFonts w:asciiTheme="minorEastAsia" w:hAnsiTheme="minorEastAsia" w:hint="eastAsia"/>
          <w:sz w:val="24"/>
          <w:szCs w:val="24"/>
        </w:rPr>
        <w:t>授权的两名监督员在基金托管人</w:t>
      </w:r>
      <w:r w:rsidR="00663084" w:rsidRPr="00663084">
        <w:rPr>
          <w:rFonts w:asciiTheme="minorEastAsia" w:hAnsiTheme="minorEastAsia"/>
          <w:sz w:val="24"/>
          <w:szCs w:val="24"/>
        </w:rPr>
        <w:t>中国民生银行股份有限公司</w:t>
      </w:r>
      <w:r w:rsidR="00ED64DF" w:rsidRPr="00950698">
        <w:rPr>
          <w:rFonts w:asciiTheme="minorEastAsia" w:hAnsiTheme="minorEastAsia" w:hint="eastAsia"/>
          <w:sz w:val="24"/>
          <w:szCs w:val="24"/>
        </w:rPr>
        <w:t>授权代表的监督及</w:t>
      </w:r>
      <w:r w:rsidR="00663084" w:rsidRPr="00663084">
        <w:rPr>
          <w:rFonts w:asciiTheme="minorEastAsia" w:hAnsiTheme="minorEastAsia"/>
          <w:sz w:val="24"/>
          <w:szCs w:val="24"/>
        </w:rPr>
        <w:t>上海市通力律师事务所</w:t>
      </w:r>
      <w:r w:rsidR="00ED64DF" w:rsidRPr="00950698">
        <w:rPr>
          <w:rFonts w:asciiTheme="minorEastAsia" w:hAnsiTheme="minorEastAsia" w:hint="eastAsia"/>
          <w:sz w:val="24"/>
          <w:szCs w:val="24"/>
        </w:rPr>
        <w:t>的见证下进行计票，并由公证机关</w:t>
      </w:r>
      <w:r w:rsidR="00663084" w:rsidRPr="00663084">
        <w:rPr>
          <w:rFonts w:asciiTheme="minorEastAsia" w:hAnsiTheme="minorEastAsia"/>
          <w:sz w:val="24"/>
          <w:szCs w:val="24"/>
        </w:rPr>
        <w:t>深圳市深圳公证处</w:t>
      </w:r>
      <w:r w:rsidR="00ED64DF" w:rsidRPr="00950698">
        <w:rPr>
          <w:rFonts w:asciiTheme="minorEastAsia" w:hAnsiTheme="minorEastAsia" w:hint="eastAsia"/>
          <w:sz w:val="24"/>
          <w:szCs w:val="24"/>
        </w:rPr>
        <w:t>对计票过程及结果予以公证。</w:t>
      </w:r>
    </w:p>
    <w:p w:rsidR="00D5510F" w:rsidRPr="00A56E2A" w:rsidRDefault="00D5510F" w:rsidP="00950698">
      <w:pPr>
        <w:spacing w:line="360" w:lineRule="auto"/>
        <w:ind w:firstLineChars="200" w:firstLine="480"/>
        <w:rPr>
          <w:rFonts w:asciiTheme="minorEastAsia" w:hAnsiTheme="minorEastAsia"/>
          <w:sz w:val="24"/>
          <w:szCs w:val="24"/>
        </w:rPr>
      </w:pPr>
      <w:r w:rsidRPr="00A56E2A">
        <w:rPr>
          <w:rFonts w:asciiTheme="minorEastAsia" w:hAnsiTheme="minorEastAsia" w:hint="eastAsia"/>
          <w:sz w:val="24"/>
          <w:szCs w:val="24"/>
        </w:rPr>
        <w:t>出席本次</w:t>
      </w:r>
      <w:r w:rsidR="00AF3C8A" w:rsidRPr="00A56E2A">
        <w:rPr>
          <w:rFonts w:asciiTheme="minorEastAsia" w:hAnsiTheme="minorEastAsia" w:hint="eastAsia"/>
          <w:sz w:val="24"/>
          <w:szCs w:val="24"/>
        </w:rPr>
        <w:t>基金份额持有人</w:t>
      </w:r>
      <w:r w:rsidRPr="00A56E2A">
        <w:rPr>
          <w:rFonts w:asciiTheme="minorEastAsia" w:hAnsiTheme="minorEastAsia" w:hint="eastAsia"/>
          <w:sz w:val="24"/>
          <w:szCs w:val="24"/>
        </w:rPr>
        <w:t>大会的基金份额持有人（或其代理人）所代表的基金份额共计</w:t>
      </w:r>
      <w:r w:rsidR="002C06F6" w:rsidRPr="00A56E2A">
        <w:rPr>
          <w:rFonts w:asciiTheme="minorEastAsia" w:hAnsiTheme="minorEastAsia"/>
          <w:sz w:val="24"/>
          <w:szCs w:val="24"/>
        </w:rPr>
        <w:t>170,616,113.74</w:t>
      </w:r>
      <w:r w:rsidRPr="00A56E2A">
        <w:rPr>
          <w:rFonts w:asciiTheme="minorEastAsia" w:hAnsiTheme="minorEastAsia" w:hint="eastAsia"/>
          <w:sz w:val="24"/>
          <w:szCs w:val="24"/>
        </w:rPr>
        <w:t>份，占权益登记日本基金总份额</w:t>
      </w:r>
      <w:r w:rsidR="002C06F6" w:rsidRPr="00A56E2A">
        <w:rPr>
          <w:rFonts w:asciiTheme="minorEastAsia" w:hAnsiTheme="minorEastAsia"/>
          <w:sz w:val="24"/>
          <w:szCs w:val="24"/>
        </w:rPr>
        <w:t>319,468,618.27</w:t>
      </w:r>
      <w:r w:rsidRPr="00A56E2A">
        <w:rPr>
          <w:rFonts w:asciiTheme="minorEastAsia" w:hAnsiTheme="minorEastAsia" w:hint="eastAsia"/>
          <w:sz w:val="24"/>
          <w:szCs w:val="24"/>
        </w:rPr>
        <w:t>份的</w:t>
      </w:r>
      <w:r w:rsidR="002C06F6" w:rsidRPr="00A56E2A">
        <w:rPr>
          <w:rFonts w:asciiTheme="minorEastAsia" w:hAnsiTheme="minorEastAsia" w:hint="eastAsia"/>
          <w:sz w:val="24"/>
          <w:szCs w:val="24"/>
        </w:rPr>
        <w:t>53.406</w:t>
      </w:r>
      <w:r w:rsidR="008B7B9E" w:rsidRPr="00A56E2A">
        <w:rPr>
          <w:rFonts w:asciiTheme="minorEastAsia" w:hAnsiTheme="minorEastAsia" w:hint="eastAsia"/>
          <w:sz w:val="24"/>
          <w:szCs w:val="24"/>
        </w:rPr>
        <w:t>%</w:t>
      </w:r>
      <w:r w:rsidRPr="00A56E2A">
        <w:rPr>
          <w:rFonts w:asciiTheme="minorEastAsia" w:hAnsiTheme="minorEastAsia" w:hint="eastAsia"/>
          <w:sz w:val="24"/>
          <w:szCs w:val="24"/>
        </w:rPr>
        <w:t>，</w:t>
      </w:r>
      <w:r w:rsidR="00A11824" w:rsidRPr="00A56E2A">
        <w:rPr>
          <w:rFonts w:asciiTheme="minorEastAsia" w:hAnsiTheme="minorEastAsia" w:hint="eastAsia"/>
          <w:sz w:val="24"/>
          <w:szCs w:val="24"/>
        </w:rPr>
        <w:t>达到</w:t>
      </w:r>
      <w:r w:rsidR="00EB5C4B" w:rsidRPr="00A56E2A">
        <w:rPr>
          <w:rFonts w:asciiTheme="minorEastAsia" w:hAnsiTheme="minorEastAsia" w:hint="eastAsia"/>
          <w:sz w:val="24"/>
          <w:szCs w:val="24"/>
        </w:rPr>
        <w:t>权益登记日基金总份额</w:t>
      </w:r>
      <w:r w:rsidR="00A11824" w:rsidRPr="00A56E2A">
        <w:rPr>
          <w:rFonts w:asciiTheme="minorEastAsia" w:hAnsiTheme="minorEastAsia" w:hint="eastAsia"/>
          <w:sz w:val="24"/>
          <w:szCs w:val="24"/>
        </w:rPr>
        <w:t>的二分之一以上</w:t>
      </w:r>
      <w:r w:rsidR="00FD3B4C" w:rsidRPr="00A56E2A">
        <w:rPr>
          <w:rFonts w:asciiTheme="minorEastAsia" w:hAnsiTheme="minorEastAsia" w:hint="eastAsia"/>
          <w:sz w:val="24"/>
          <w:szCs w:val="24"/>
        </w:rPr>
        <w:t>(含二分之一</w:t>
      </w:r>
      <w:r w:rsidR="00FD3B4C" w:rsidRPr="00A56E2A">
        <w:rPr>
          <w:rFonts w:asciiTheme="minorEastAsia" w:hAnsiTheme="minorEastAsia"/>
          <w:sz w:val="24"/>
          <w:szCs w:val="24"/>
        </w:rPr>
        <w:t>)</w:t>
      </w:r>
      <w:r w:rsidR="00A11824" w:rsidRPr="00A56E2A">
        <w:rPr>
          <w:rFonts w:asciiTheme="minorEastAsia" w:hAnsiTheme="minorEastAsia" w:hint="eastAsia"/>
          <w:sz w:val="24"/>
          <w:szCs w:val="24"/>
        </w:rPr>
        <w:t>，满足</w:t>
      </w:r>
      <w:r w:rsidRPr="00A56E2A">
        <w:rPr>
          <w:rFonts w:asciiTheme="minorEastAsia" w:hAnsiTheme="minorEastAsia" w:hint="eastAsia"/>
          <w:sz w:val="24"/>
          <w:szCs w:val="24"/>
        </w:rPr>
        <w:t>法定</w:t>
      </w:r>
      <w:r w:rsidR="00A11824" w:rsidRPr="00A56E2A">
        <w:rPr>
          <w:rFonts w:asciiTheme="minorEastAsia" w:hAnsiTheme="minorEastAsia" w:hint="eastAsia"/>
          <w:sz w:val="24"/>
          <w:szCs w:val="24"/>
        </w:rPr>
        <w:t>基金份额</w:t>
      </w:r>
      <w:r w:rsidR="00A11824" w:rsidRPr="00A56E2A">
        <w:rPr>
          <w:rFonts w:asciiTheme="minorEastAsia" w:hAnsiTheme="minorEastAsia"/>
          <w:sz w:val="24"/>
          <w:szCs w:val="24"/>
        </w:rPr>
        <w:t>持有人大会召开</w:t>
      </w:r>
      <w:r w:rsidRPr="00A56E2A">
        <w:rPr>
          <w:rFonts w:asciiTheme="minorEastAsia" w:hAnsiTheme="minorEastAsia" w:hint="eastAsia"/>
          <w:sz w:val="24"/>
          <w:szCs w:val="24"/>
        </w:rPr>
        <w:t>条件。</w:t>
      </w:r>
    </w:p>
    <w:p w:rsidR="00D5510F" w:rsidRPr="00950698" w:rsidRDefault="00D5510F" w:rsidP="00950698">
      <w:pPr>
        <w:spacing w:line="360" w:lineRule="auto"/>
        <w:ind w:firstLineChars="200" w:firstLine="480"/>
        <w:rPr>
          <w:rFonts w:asciiTheme="minorEastAsia" w:hAnsiTheme="minorEastAsia"/>
          <w:sz w:val="24"/>
          <w:szCs w:val="24"/>
        </w:rPr>
      </w:pPr>
      <w:r w:rsidRPr="00A56E2A">
        <w:rPr>
          <w:rFonts w:asciiTheme="minorEastAsia" w:hAnsiTheme="minorEastAsia" w:hint="eastAsia"/>
          <w:sz w:val="24"/>
          <w:szCs w:val="24"/>
        </w:rPr>
        <w:t>本次</w:t>
      </w:r>
      <w:r w:rsidR="00AF3C8A" w:rsidRPr="00A56E2A">
        <w:rPr>
          <w:rFonts w:asciiTheme="minorEastAsia" w:hAnsiTheme="minorEastAsia" w:hint="eastAsia"/>
          <w:sz w:val="24"/>
          <w:szCs w:val="24"/>
        </w:rPr>
        <w:t>基金份额持有人</w:t>
      </w:r>
      <w:r w:rsidRPr="00A56E2A">
        <w:rPr>
          <w:rFonts w:asciiTheme="minorEastAsia" w:hAnsiTheme="minorEastAsia" w:hint="eastAsia"/>
          <w:sz w:val="24"/>
          <w:szCs w:val="24"/>
        </w:rPr>
        <w:t>大会的表决结果为：</w:t>
      </w:r>
      <w:r w:rsidR="00352C79" w:rsidRPr="00A56E2A">
        <w:rPr>
          <w:rFonts w:asciiTheme="minorEastAsia" w:hAnsiTheme="minorEastAsia" w:hint="eastAsia"/>
          <w:sz w:val="24"/>
          <w:szCs w:val="24"/>
        </w:rPr>
        <w:t>同意票所代表的基金份额</w:t>
      </w:r>
      <w:r w:rsidRPr="00A56E2A">
        <w:rPr>
          <w:rFonts w:asciiTheme="minorEastAsia" w:hAnsiTheme="minorEastAsia" w:hint="eastAsia"/>
          <w:sz w:val="24"/>
          <w:szCs w:val="24"/>
        </w:rPr>
        <w:t>为</w:t>
      </w:r>
      <w:r w:rsidR="002C06F6" w:rsidRPr="00A56E2A">
        <w:rPr>
          <w:rFonts w:asciiTheme="minorEastAsia" w:hAnsiTheme="minorEastAsia"/>
          <w:sz w:val="24"/>
          <w:szCs w:val="24"/>
        </w:rPr>
        <w:t>170,616,113.74</w:t>
      </w:r>
      <w:r w:rsidRPr="00A56E2A">
        <w:rPr>
          <w:rFonts w:asciiTheme="minorEastAsia" w:hAnsiTheme="minorEastAsia" w:hint="eastAsia"/>
          <w:sz w:val="24"/>
          <w:szCs w:val="24"/>
        </w:rPr>
        <w:t>，</w:t>
      </w:r>
      <w:r w:rsidR="00352C79" w:rsidRPr="00A56E2A">
        <w:rPr>
          <w:rFonts w:asciiTheme="minorEastAsia" w:hAnsiTheme="minorEastAsia" w:hint="eastAsia"/>
          <w:sz w:val="24"/>
          <w:szCs w:val="24"/>
        </w:rPr>
        <w:t>反对票所代表的基金份额</w:t>
      </w:r>
      <w:r w:rsidRPr="00A56E2A">
        <w:rPr>
          <w:rFonts w:asciiTheme="minorEastAsia" w:hAnsiTheme="minorEastAsia" w:hint="eastAsia"/>
          <w:sz w:val="24"/>
          <w:szCs w:val="24"/>
        </w:rPr>
        <w:t>为</w:t>
      </w:r>
      <w:r w:rsidR="002C06F6" w:rsidRPr="00A56E2A">
        <w:rPr>
          <w:rFonts w:asciiTheme="minorEastAsia" w:hAnsiTheme="minorEastAsia" w:hint="eastAsia"/>
          <w:sz w:val="24"/>
          <w:szCs w:val="24"/>
        </w:rPr>
        <w:t>0</w:t>
      </w:r>
      <w:r w:rsidRPr="00A56E2A">
        <w:rPr>
          <w:rFonts w:asciiTheme="minorEastAsia" w:hAnsiTheme="minorEastAsia" w:hint="eastAsia"/>
          <w:sz w:val="24"/>
          <w:szCs w:val="24"/>
        </w:rPr>
        <w:t>份，</w:t>
      </w:r>
      <w:r w:rsidR="00352C79" w:rsidRPr="00A56E2A">
        <w:rPr>
          <w:rFonts w:asciiTheme="minorEastAsia" w:hAnsiTheme="minorEastAsia" w:hint="eastAsia"/>
          <w:sz w:val="24"/>
          <w:szCs w:val="24"/>
        </w:rPr>
        <w:t>弃权票所代表的基金份额</w:t>
      </w:r>
      <w:r w:rsidRPr="00A56E2A">
        <w:rPr>
          <w:rFonts w:asciiTheme="minorEastAsia" w:hAnsiTheme="minorEastAsia" w:hint="eastAsia"/>
          <w:sz w:val="24"/>
          <w:szCs w:val="24"/>
        </w:rPr>
        <w:t>为</w:t>
      </w:r>
      <w:r w:rsidR="002C06F6" w:rsidRPr="00A56E2A">
        <w:rPr>
          <w:rFonts w:asciiTheme="minorEastAsia" w:hAnsiTheme="minorEastAsia" w:hint="eastAsia"/>
          <w:sz w:val="24"/>
          <w:szCs w:val="24"/>
        </w:rPr>
        <w:t>0</w:t>
      </w:r>
      <w:r w:rsidRPr="00A56E2A">
        <w:rPr>
          <w:rFonts w:asciiTheme="minorEastAsia" w:hAnsiTheme="minorEastAsia" w:hint="eastAsia"/>
          <w:sz w:val="24"/>
          <w:szCs w:val="24"/>
        </w:rPr>
        <w:t>份。同意本次</w:t>
      </w:r>
      <w:r w:rsidR="00AF3C8A" w:rsidRPr="00A56E2A">
        <w:rPr>
          <w:rFonts w:asciiTheme="minorEastAsia" w:hAnsiTheme="minorEastAsia" w:hint="eastAsia"/>
          <w:sz w:val="24"/>
          <w:szCs w:val="24"/>
        </w:rPr>
        <w:t>基金份额持有人大会</w:t>
      </w:r>
      <w:r w:rsidRPr="00A56E2A">
        <w:rPr>
          <w:rFonts w:asciiTheme="minorEastAsia" w:hAnsiTheme="minorEastAsia" w:hint="eastAsia"/>
          <w:sz w:val="24"/>
          <w:szCs w:val="24"/>
        </w:rPr>
        <w:t>议案的基金份额占参加本次</w:t>
      </w:r>
      <w:r w:rsidR="00AF3C8A" w:rsidRPr="00A56E2A">
        <w:rPr>
          <w:rFonts w:asciiTheme="minorEastAsia" w:hAnsiTheme="minorEastAsia" w:hint="eastAsia"/>
          <w:sz w:val="24"/>
          <w:szCs w:val="24"/>
        </w:rPr>
        <w:t>基金份额持有人</w:t>
      </w:r>
      <w:r w:rsidRPr="00A56E2A">
        <w:rPr>
          <w:rFonts w:asciiTheme="minorEastAsia" w:hAnsiTheme="minorEastAsia" w:hint="eastAsia"/>
          <w:sz w:val="24"/>
          <w:szCs w:val="24"/>
        </w:rPr>
        <w:t>大会表决的基金份额持有人</w:t>
      </w:r>
      <w:r w:rsidR="00BA2C9C" w:rsidRPr="00A56E2A">
        <w:rPr>
          <w:rFonts w:asciiTheme="minorEastAsia" w:hAnsiTheme="minorEastAsia" w:hint="eastAsia"/>
          <w:sz w:val="24"/>
          <w:szCs w:val="24"/>
        </w:rPr>
        <w:t>（</w:t>
      </w:r>
      <w:r w:rsidRPr="00A56E2A">
        <w:rPr>
          <w:rFonts w:asciiTheme="minorEastAsia" w:hAnsiTheme="minorEastAsia" w:hint="eastAsia"/>
          <w:sz w:val="24"/>
          <w:szCs w:val="24"/>
        </w:rPr>
        <w:t>或其代理人</w:t>
      </w:r>
      <w:r w:rsidR="00BA2C9C" w:rsidRPr="00A56E2A">
        <w:rPr>
          <w:rFonts w:asciiTheme="minorEastAsia" w:hAnsiTheme="minorEastAsia" w:hint="eastAsia"/>
          <w:sz w:val="24"/>
          <w:szCs w:val="24"/>
        </w:rPr>
        <w:t>)</w:t>
      </w:r>
      <w:r w:rsidRPr="00A56E2A">
        <w:rPr>
          <w:rFonts w:asciiTheme="minorEastAsia" w:hAnsiTheme="minorEastAsia" w:hint="eastAsia"/>
          <w:sz w:val="24"/>
          <w:szCs w:val="24"/>
        </w:rPr>
        <w:t>所持基金份额的</w:t>
      </w:r>
      <w:r w:rsidR="002C06F6" w:rsidRPr="00A56E2A">
        <w:rPr>
          <w:rFonts w:asciiTheme="minorEastAsia" w:hAnsiTheme="minorEastAsia" w:hint="eastAsia"/>
          <w:sz w:val="24"/>
          <w:szCs w:val="24"/>
        </w:rPr>
        <w:t>100</w:t>
      </w:r>
      <w:r w:rsidR="008B7B9E" w:rsidRPr="00A56E2A">
        <w:rPr>
          <w:rFonts w:asciiTheme="minorEastAsia" w:hAnsiTheme="minorEastAsia" w:hint="eastAsia"/>
          <w:sz w:val="24"/>
          <w:szCs w:val="24"/>
        </w:rPr>
        <w:t>%</w:t>
      </w:r>
      <w:r w:rsidRPr="00A56E2A">
        <w:rPr>
          <w:rFonts w:asciiTheme="minorEastAsia" w:hAnsiTheme="minorEastAsia" w:hint="eastAsia"/>
          <w:sz w:val="24"/>
          <w:szCs w:val="24"/>
        </w:rPr>
        <w:t>，</w:t>
      </w:r>
      <w:r w:rsidR="00BA2C9C" w:rsidRPr="00A56E2A">
        <w:rPr>
          <w:rFonts w:asciiTheme="minorEastAsia" w:hAnsiTheme="minorEastAsia" w:hint="eastAsia"/>
          <w:sz w:val="24"/>
          <w:szCs w:val="24"/>
        </w:rPr>
        <w:t>达到参加本次</w:t>
      </w:r>
      <w:r w:rsidR="00AF3C8A" w:rsidRPr="00A56E2A">
        <w:rPr>
          <w:rFonts w:asciiTheme="minorEastAsia" w:hAnsiTheme="minorEastAsia" w:hint="eastAsia"/>
          <w:sz w:val="24"/>
          <w:szCs w:val="24"/>
        </w:rPr>
        <w:t>基金份额持有人</w:t>
      </w:r>
      <w:r w:rsidR="00BA2C9C" w:rsidRPr="00A56E2A">
        <w:rPr>
          <w:rFonts w:asciiTheme="minorEastAsia" w:hAnsiTheme="minorEastAsia" w:hint="eastAsia"/>
          <w:sz w:val="24"/>
          <w:szCs w:val="24"/>
        </w:rPr>
        <w:t>大会表决的基金份额持有人（或其代理人）所持表决权的</w:t>
      </w:r>
      <w:r w:rsidR="007174D6" w:rsidRPr="00A56E2A">
        <w:rPr>
          <w:rFonts w:asciiTheme="minorEastAsia" w:hAnsiTheme="minorEastAsia" w:hint="eastAsia"/>
          <w:sz w:val="24"/>
          <w:szCs w:val="24"/>
        </w:rPr>
        <w:t>三</w:t>
      </w:r>
      <w:r w:rsidR="005E1EBF" w:rsidRPr="00A56E2A">
        <w:rPr>
          <w:rFonts w:asciiTheme="minorEastAsia" w:hAnsiTheme="minorEastAsia" w:hint="eastAsia"/>
          <w:sz w:val="24"/>
          <w:szCs w:val="24"/>
        </w:rPr>
        <w:t>分之</w:t>
      </w:r>
      <w:r w:rsidR="007174D6">
        <w:rPr>
          <w:rFonts w:asciiTheme="minorEastAsia" w:hAnsiTheme="minorEastAsia" w:hint="eastAsia"/>
          <w:sz w:val="24"/>
          <w:szCs w:val="24"/>
        </w:rPr>
        <w:lastRenderedPageBreak/>
        <w:t>二</w:t>
      </w:r>
      <w:r w:rsidR="00BA2C9C" w:rsidRPr="00950698">
        <w:rPr>
          <w:rFonts w:asciiTheme="minorEastAsia" w:hAnsiTheme="minorEastAsia" w:hint="eastAsia"/>
          <w:sz w:val="24"/>
          <w:szCs w:val="24"/>
        </w:rPr>
        <w:t>以上</w:t>
      </w:r>
      <w:r w:rsidR="007174D6">
        <w:rPr>
          <w:rFonts w:asciiTheme="minorEastAsia" w:hAnsiTheme="minorEastAsia" w:hint="eastAsia"/>
          <w:sz w:val="24"/>
          <w:szCs w:val="24"/>
        </w:rPr>
        <w:t>（含三</w:t>
      </w:r>
      <w:r w:rsidR="007174D6" w:rsidRPr="00950698">
        <w:rPr>
          <w:rFonts w:asciiTheme="minorEastAsia" w:hAnsiTheme="minorEastAsia" w:hint="eastAsia"/>
          <w:sz w:val="24"/>
          <w:szCs w:val="24"/>
        </w:rPr>
        <w:t>分之</w:t>
      </w:r>
      <w:r w:rsidR="007174D6">
        <w:rPr>
          <w:rFonts w:asciiTheme="minorEastAsia" w:hAnsiTheme="minorEastAsia" w:hint="eastAsia"/>
          <w:sz w:val="24"/>
          <w:szCs w:val="24"/>
        </w:rPr>
        <w:t>二）</w:t>
      </w:r>
      <w:r w:rsidRPr="00950698">
        <w:rPr>
          <w:rFonts w:asciiTheme="minorEastAsia" w:hAnsiTheme="minorEastAsia" w:hint="eastAsia"/>
          <w:sz w:val="24"/>
          <w:szCs w:val="24"/>
        </w:rPr>
        <w:t>，满足法定生效条件，符合《中华人民共和国证券投资基金法》、《公开募集证券投资基金运作管理办法》和《</w:t>
      </w:r>
      <w:r w:rsidR="00C41869" w:rsidRPr="00950698">
        <w:rPr>
          <w:rFonts w:asciiTheme="minorEastAsia" w:hAnsiTheme="minorEastAsia" w:hint="eastAsia"/>
          <w:sz w:val="24"/>
          <w:szCs w:val="24"/>
        </w:rPr>
        <w:t>基金合同</w:t>
      </w:r>
      <w:r w:rsidRPr="00950698">
        <w:rPr>
          <w:rFonts w:asciiTheme="minorEastAsia" w:hAnsiTheme="minorEastAsia" w:hint="eastAsia"/>
          <w:sz w:val="24"/>
          <w:szCs w:val="24"/>
        </w:rPr>
        <w:t>》的有关规定，本次</w:t>
      </w:r>
      <w:r w:rsidR="004C4F85" w:rsidRPr="00950698">
        <w:rPr>
          <w:rFonts w:asciiTheme="minorEastAsia" w:hAnsiTheme="minorEastAsia" w:hint="eastAsia"/>
          <w:sz w:val="24"/>
          <w:szCs w:val="24"/>
        </w:rPr>
        <w:t>会议</w:t>
      </w:r>
      <w:r w:rsidRPr="00950698">
        <w:rPr>
          <w:rFonts w:asciiTheme="minorEastAsia" w:hAnsiTheme="minorEastAsia" w:hint="eastAsia"/>
          <w:sz w:val="24"/>
          <w:szCs w:val="24"/>
        </w:rPr>
        <w:t>议案获得通过。</w:t>
      </w:r>
    </w:p>
    <w:p w:rsidR="00D5510F" w:rsidRPr="00950698" w:rsidRDefault="00D5510F" w:rsidP="00950698">
      <w:pPr>
        <w:spacing w:line="360" w:lineRule="auto"/>
        <w:ind w:firstLineChars="200" w:firstLine="480"/>
        <w:rPr>
          <w:rFonts w:asciiTheme="minorEastAsia" w:hAnsiTheme="minorEastAsia"/>
          <w:sz w:val="24"/>
          <w:szCs w:val="24"/>
        </w:rPr>
      </w:pPr>
      <w:r w:rsidRPr="00A56E2A">
        <w:rPr>
          <w:rFonts w:asciiTheme="minorEastAsia" w:hAnsiTheme="minorEastAsia" w:hint="eastAsia"/>
          <w:sz w:val="24"/>
          <w:szCs w:val="24"/>
        </w:rPr>
        <w:t>根据</w:t>
      </w:r>
      <w:r w:rsidR="00EB5C4B" w:rsidRPr="00A56E2A">
        <w:rPr>
          <w:rFonts w:asciiTheme="minorEastAsia" w:hAnsiTheme="minorEastAsia" w:hint="eastAsia"/>
          <w:sz w:val="24"/>
          <w:szCs w:val="24"/>
        </w:rPr>
        <w:t>《</w:t>
      </w:r>
      <w:r w:rsidRPr="00A56E2A">
        <w:rPr>
          <w:rFonts w:asciiTheme="minorEastAsia" w:hAnsiTheme="minorEastAsia" w:hint="eastAsia"/>
          <w:sz w:val="24"/>
          <w:szCs w:val="24"/>
        </w:rPr>
        <w:t>基金合同</w:t>
      </w:r>
      <w:r w:rsidR="00EB5C4B" w:rsidRPr="00A56E2A">
        <w:rPr>
          <w:rFonts w:asciiTheme="minorEastAsia" w:hAnsiTheme="minorEastAsia" w:hint="eastAsia"/>
          <w:sz w:val="24"/>
          <w:szCs w:val="24"/>
        </w:rPr>
        <w:t>》</w:t>
      </w:r>
      <w:r w:rsidRPr="00A56E2A">
        <w:rPr>
          <w:rFonts w:asciiTheme="minorEastAsia" w:hAnsiTheme="minorEastAsia" w:hint="eastAsia"/>
          <w:sz w:val="24"/>
          <w:szCs w:val="24"/>
        </w:rPr>
        <w:t>的约定，本次</w:t>
      </w:r>
      <w:r w:rsidR="00EB5C4B" w:rsidRPr="00A56E2A">
        <w:rPr>
          <w:rFonts w:asciiTheme="minorEastAsia" w:hAnsiTheme="minorEastAsia" w:hint="eastAsia"/>
          <w:sz w:val="24"/>
          <w:szCs w:val="24"/>
        </w:rPr>
        <w:t>基金份额</w:t>
      </w:r>
      <w:r w:rsidRPr="00A56E2A">
        <w:rPr>
          <w:rFonts w:asciiTheme="minorEastAsia" w:hAnsiTheme="minorEastAsia" w:hint="eastAsia"/>
          <w:sz w:val="24"/>
          <w:szCs w:val="24"/>
        </w:rPr>
        <w:t>持有人大会的公证费</w:t>
      </w:r>
      <w:r w:rsidR="002666FD" w:rsidRPr="00A56E2A">
        <w:rPr>
          <w:rFonts w:asciiTheme="minorEastAsia" w:hAnsiTheme="minorEastAsia" w:hint="eastAsia"/>
          <w:sz w:val="24"/>
          <w:szCs w:val="24"/>
        </w:rPr>
        <w:t>10,000</w:t>
      </w:r>
      <w:r w:rsidRPr="00A56E2A">
        <w:rPr>
          <w:rFonts w:asciiTheme="minorEastAsia" w:hAnsiTheme="minorEastAsia" w:hint="eastAsia"/>
          <w:sz w:val="24"/>
          <w:szCs w:val="24"/>
        </w:rPr>
        <w:t>元，律师费</w:t>
      </w:r>
      <w:r w:rsidR="00732518" w:rsidRPr="00A56E2A">
        <w:rPr>
          <w:rFonts w:asciiTheme="minorEastAsia" w:hAnsiTheme="minorEastAsia" w:hint="eastAsia"/>
          <w:sz w:val="24"/>
          <w:szCs w:val="24"/>
        </w:rPr>
        <w:t>3</w:t>
      </w:r>
      <w:r w:rsidR="002666FD" w:rsidRPr="00A56E2A">
        <w:rPr>
          <w:rFonts w:asciiTheme="minorEastAsia" w:hAnsiTheme="minorEastAsia" w:hint="eastAsia"/>
          <w:sz w:val="24"/>
          <w:szCs w:val="24"/>
        </w:rPr>
        <w:t>0,000</w:t>
      </w:r>
      <w:r w:rsidRPr="00A56E2A">
        <w:rPr>
          <w:rFonts w:asciiTheme="minorEastAsia" w:hAnsiTheme="minorEastAsia" w:hint="eastAsia"/>
          <w:sz w:val="24"/>
          <w:szCs w:val="24"/>
        </w:rPr>
        <w:t>元，合计</w:t>
      </w:r>
      <w:r w:rsidR="00732518" w:rsidRPr="00A56E2A">
        <w:rPr>
          <w:rFonts w:asciiTheme="minorEastAsia" w:hAnsiTheme="minorEastAsia" w:hint="eastAsia"/>
          <w:sz w:val="24"/>
          <w:szCs w:val="24"/>
        </w:rPr>
        <w:t>4</w:t>
      </w:r>
      <w:r w:rsidR="002666FD" w:rsidRPr="00A56E2A">
        <w:rPr>
          <w:rFonts w:asciiTheme="minorEastAsia" w:hAnsiTheme="minorEastAsia" w:hint="eastAsia"/>
          <w:sz w:val="24"/>
          <w:szCs w:val="24"/>
        </w:rPr>
        <w:t>0,000</w:t>
      </w:r>
      <w:r w:rsidRPr="00A56E2A">
        <w:rPr>
          <w:rFonts w:asciiTheme="minorEastAsia" w:hAnsiTheme="minorEastAsia" w:hint="eastAsia"/>
          <w:sz w:val="24"/>
          <w:szCs w:val="24"/>
        </w:rPr>
        <w:t>元，由</w:t>
      </w:r>
      <w:r w:rsidR="009F4C59" w:rsidRPr="00A56E2A">
        <w:rPr>
          <w:rFonts w:asciiTheme="minorEastAsia" w:hAnsiTheme="minorEastAsia" w:hint="eastAsia"/>
          <w:sz w:val="24"/>
          <w:szCs w:val="24"/>
        </w:rPr>
        <w:t>基</w:t>
      </w:r>
      <w:r w:rsidR="009F4C59" w:rsidRPr="00484C75">
        <w:rPr>
          <w:rFonts w:asciiTheme="minorEastAsia" w:hAnsiTheme="minorEastAsia" w:hint="eastAsia"/>
          <w:sz w:val="24"/>
          <w:szCs w:val="24"/>
        </w:rPr>
        <w:t>金财产</w:t>
      </w:r>
      <w:r w:rsidRPr="00950698">
        <w:rPr>
          <w:rFonts w:asciiTheme="minorEastAsia" w:hAnsiTheme="minorEastAsia" w:hint="eastAsia"/>
          <w:sz w:val="24"/>
          <w:szCs w:val="24"/>
        </w:rPr>
        <w:t>承担。</w:t>
      </w:r>
    </w:p>
    <w:p w:rsidR="006C48FD" w:rsidRDefault="006C48FD" w:rsidP="00950698">
      <w:pPr>
        <w:spacing w:line="420" w:lineRule="exact"/>
        <w:ind w:firstLine="420"/>
        <w:rPr>
          <w:rFonts w:ascii="Times New Roman" w:eastAsia="宋体" w:hAnsi="Times New Roman" w:cs="Times New Roman"/>
          <w:color w:val="000000"/>
          <w:kern w:val="0"/>
          <w:sz w:val="24"/>
          <w:szCs w:val="24"/>
        </w:rPr>
      </w:pPr>
    </w:p>
    <w:p w:rsidR="006C48FD" w:rsidRPr="008346F7" w:rsidRDefault="006C48FD" w:rsidP="00950698">
      <w:pPr>
        <w:pStyle w:val="Default"/>
        <w:spacing w:line="360" w:lineRule="auto"/>
        <w:ind w:firstLineChars="200" w:firstLine="482"/>
        <w:rPr>
          <w:rFonts w:asciiTheme="minorEastAsia" w:hAnsiTheme="minorEastAsia"/>
          <w:b/>
        </w:rPr>
      </w:pPr>
      <w:r w:rsidRPr="008346F7">
        <w:rPr>
          <w:rFonts w:asciiTheme="minorEastAsia" w:hAnsiTheme="minorEastAsia" w:hint="eastAsia"/>
          <w:b/>
        </w:rPr>
        <w:t>二、本次基金份额持有人大会决议的生效</w:t>
      </w:r>
    </w:p>
    <w:p w:rsidR="006C48FD" w:rsidRPr="00D75C55" w:rsidRDefault="006C48FD" w:rsidP="00950698">
      <w:pPr>
        <w:spacing w:line="360" w:lineRule="auto"/>
        <w:ind w:firstLineChars="200" w:firstLine="480"/>
        <w:rPr>
          <w:rFonts w:asciiTheme="minorEastAsia" w:hAnsiTheme="minorEastAsia"/>
          <w:sz w:val="24"/>
          <w:szCs w:val="24"/>
        </w:rPr>
      </w:pPr>
      <w:r w:rsidRPr="00950698">
        <w:rPr>
          <w:rFonts w:asciiTheme="minorEastAsia" w:hAnsiTheme="minorEastAsia" w:hint="eastAsia"/>
          <w:sz w:val="24"/>
          <w:szCs w:val="24"/>
        </w:rPr>
        <w:t>根据《公开募集证券投资基金运作管理办法》的规定</w:t>
      </w:r>
      <w:r w:rsidR="008A596C">
        <w:rPr>
          <w:rFonts w:asciiTheme="minorEastAsia" w:hAnsiTheme="minorEastAsia" w:hint="eastAsia"/>
          <w:sz w:val="24"/>
          <w:szCs w:val="24"/>
        </w:rPr>
        <w:t>，</w:t>
      </w:r>
      <w:r w:rsidRPr="00950698">
        <w:rPr>
          <w:rFonts w:asciiTheme="minorEastAsia" w:hAnsiTheme="minorEastAsia" w:hint="eastAsia"/>
          <w:sz w:val="24"/>
          <w:szCs w:val="24"/>
        </w:rPr>
        <w:t>基金份额持有人大会决定的事项自表决通过之日起生效。本次基金份额持有人大会于</w:t>
      </w:r>
      <w:r w:rsidR="001D45A1">
        <w:rPr>
          <w:rFonts w:asciiTheme="minorEastAsia" w:hAnsiTheme="minorEastAsia" w:hint="eastAsia"/>
          <w:sz w:val="24"/>
          <w:szCs w:val="24"/>
        </w:rPr>
        <w:t>2</w:t>
      </w:r>
      <w:r w:rsidR="001D45A1">
        <w:rPr>
          <w:rFonts w:asciiTheme="minorEastAsia" w:hAnsiTheme="minorEastAsia"/>
          <w:sz w:val="24"/>
          <w:szCs w:val="24"/>
        </w:rPr>
        <w:t>02</w:t>
      </w:r>
      <w:r w:rsidR="00732518">
        <w:rPr>
          <w:rFonts w:asciiTheme="minorEastAsia" w:hAnsiTheme="minorEastAsia" w:hint="eastAsia"/>
          <w:sz w:val="24"/>
          <w:szCs w:val="24"/>
        </w:rPr>
        <w:t>5</w:t>
      </w:r>
      <w:r w:rsidRPr="00950698">
        <w:rPr>
          <w:rFonts w:asciiTheme="minorEastAsia" w:hAnsiTheme="minorEastAsia" w:hint="eastAsia"/>
          <w:sz w:val="24"/>
          <w:szCs w:val="24"/>
        </w:rPr>
        <w:t>年</w:t>
      </w:r>
      <w:r w:rsidR="00732518">
        <w:rPr>
          <w:rFonts w:asciiTheme="minorEastAsia" w:hAnsiTheme="minorEastAsia" w:hint="eastAsia"/>
          <w:sz w:val="24"/>
          <w:szCs w:val="24"/>
        </w:rPr>
        <w:t>10</w:t>
      </w:r>
      <w:r w:rsidRPr="00950698">
        <w:rPr>
          <w:rFonts w:asciiTheme="minorEastAsia" w:hAnsiTheme="minorEastAsia" w:hint="eastAsia"/>
          <w:sz w:val="24"/>
          <w:szCs w:val="24"/>
        </w:rPr>
        <w:t>月</w:t>
      </w:r>
      <w:r w:rsidR="00732518">
        <w:rPr>
          <w:rFonts w:asciiTheme="minorEastAsia" w:hAnsiTheme="minorEastAsia" w:hint="eastAsia"/>
          <w:sz w:val="24"/>
          <w:szCs w:val="24"/>
        </w:rPr>
        <w:t>31</w:t>
      </w:r>
      <w:r w:rsidRPr="00950698">
        <w:rPr>
          <w:rFonts w:asciiTheme="minorEastAsia" w:hAnsiTheme="minorEastAsia" w:hint="eastAsia"/>
          <w:sz w:val="24"/>
          <w:szCs w:val="24"/>
        </w:rPr>
        <w:t>日表决通过了《</w:t>
      </w:r>
      <w:r w:rsidR="001D45A1" w:rsidRPr="008D1E13">
        <w:rPr>
          <w:rFonts w:asciiTheme="minorEastAsia" w:hAnsiTheme="minorEastAsia" w:hint="eastAsia"/>
          <w:sz w:val="24"/>
          <w:szCs w:val="24"/>
        </w:rPr>
        <w:t>关于摩根士丹利纯债稳定</w:t>
      </w:r>
      <w:r w:rsidR="00732518">
        <w:rPr>
          <w:rFonts w:asciiTheme="minorEastAsia" w:hAnsiTheme="minorEastAsia" w:hint="eastAsia"/>
          <w:sz w:val="24"/>
          <w:szCs w:val="24"/>
        </w:rPr>
        <w:t>增利</w:t>
      </w:r>
      <w:r w:rsidR="001D45A1" w:rsidRPr="008D1E13">
        <w:rPr>
          <w:rFonts w:asciiTheme="minorEastAsia" w:hAnsiTheme="minorEastAsia" w:hint="eastAsia"/>
          <w:sz w:val="24"/>
          <w:szCs w:val="24"/>
        </w:rPr>
        <w:t>18个月定期开放债券型证券投资基金修改基金合同有关事项的议案</w:t>
      </w:r>
      <w:r w:rsidRPr="00950698">
        <w:rPr>
          <w:rFonts w:asciiTheme="minorEastAsia" w:hAnsiTheme="minorEastAsia" w:hint="eastAsia"/>
          <w:sz w:val="24"/>
          <w:szCs w:val="24"/>
        </w:rPr>
        <w:t>》，本次</w:t>
      </w:r>
      <w:r w:rsidR="00EB5C4B" w:rsidRPr="00950698">
        <w:rPr>
          <w:rFonts w:asciiTheme="minorEastAsia" w:hAnsiTheme="minorEastAsia" w:hint="eastAsia"/>
          <w:sz w:val="24"/>
          <w:szCs w:val="24"/>
        </w:rPr>
        <w:t>基金份额持有人</w:t>
      </w:r>
      <w:r w:rsidRPr="00950698">
        <w:rPr>
          <w:rFonts w:asciiTheme="minorEastAsia" w:hAnsiTheme="minorEastAsia" w:hint="eastAsia"/>
          <w:sz w:val="24"/>
          <w:szCs w:val="24"/>
        </w:rPr>
        <w:t>大会决议自该日起生效，基金管理人将自该日起五日内将表决通过的事项报中国证券监督管理委员会备案。</w:t>
      </w:r>
      <w:r w:rsidR="00275754" w:rsidRPr="00D75C55">
        <w:rPr>
          <w:rFonts w:asciiTheme="minorEastAsia" w:hAnsiTheme="minorEastAsia" w:hint="eastAsia"/>
          <w:sz w:val="24"/>
          <w:szCs w:val="24"/>
        </w:rPr>
        <w:t>修改后的基金合同于2</w:t>
      </w:r>
      <w:r w:rsidR="00275754" w:rsidRPr="00D75C55">
        <w:rPr>
          <w:rFonts w:asciiTheme="minorEastAsia" w:hAnsiTheme="minorEastAsia"/>
          <w:sz w:val="24"/>
          <w:szCs w:val="24"/>
        </w:rPr>
        <w:t>02</w:t>
      </w:r>
      <w:r w:rsidR="009313DE">
        <w:rPr>
          <w:rFonts w:asciiTheme="minorEastAsia" w:hAnsiTheme="minorEastAsia" w:hint="eastAsia"/>
          <w:sz w:val="24"/>
          <w:szCs w:val="24"/>
        </w:rPr>
        <w:t>5</w:t>
      </w:r>
      <w:r w:rsidR="00275754" w:rsidRPr="00D75C55">
        <w:rPr>
          <w:rFonts w:asciiTheme="minorEastAsia" w:hAnsiTheme="minorEastAsia" w:hint="eastAsia"/>
          <w:sz w:val="24"/>
          <w:szCs w:val="24"/>
        </w:rPr>
        <w:t>年</w:t>
      </w:r>
      <w:r w:rsidR="009313DE">
        <w:rPr>
          <w:rFonts w:asciiTheme="minorEastAsia" w:hAnsiTheme="minorEastAsia" w:hint="eastAsia"/>
          <w:sz w:val="24"/>
          <w:szCs w:val="24"/>
        </w:rPr>
        <w:t>10</w:t>
      </w:r>
      <w:r w:rsidR="00275754" w:rsidRPr="00D75C55">
        <w:rPr>
          <w:rFonts w:asciiTheme="minorEastAsia" w:hAnsiTheme="minorEastAsia" w:hint="eastAsia"/>
          <w:sz w:val="24"/>
          <w:szCs w:val="24"/>
        </w:rPr>
        <w:t>月</w:t>
      </w:r>
      <w:r w:rsidR="009313DE">
        <w:rPr>
          <w:rFonts w:asciiTheme="minorEastAsia" w:hAnsiTheme="minorEastAsia" w:hint="eastAsia"/>
          <w:sz w:val="24"/>
          <w:szCs w:val="24"/>
        </w:rPr>
        <w:t>31</w:t>
      </w:r>
      <w:r w:rsidR="00275754" w:rsidRPr="00D75C55">
        <w:rPr>
          <w:rFonts w:asciiTheme="minorEastAsia" w:hAnsiTheme="minorEastAsia" w:hint="eastAsia"/>
          <w:sz w:val="24"/>
          <w:szCs w:val="24"/>
        </w:rPr>
        <w:t>日生效</w:t>
      </w:r>
      <w:r w:rsidR="00275754">
        <w:rPr>
          <w:rFonts w:asciiTheme="minorEastAsia" w:hAnsiTheme="minorEastAsia" w:hint="eastAsia"/>
          <w:sz w:val="24"/>
          <w:szCs w:val="24"/>
        </w:rPr>
        <w:t>。</w:t>
      </w:r>
    </w:p>
    <w:p w:rsidR="006C48FD" w:rsidRDefault="006C48FD" w:rsidP="00950698">
      <w:pPr>
        <w:spacing w:line="420" w:lineRule="exact"/>
        <w:ind w:firstLine="420"/>
        <w:rPr>
          <w:rFonts w:ascii="Times New Roman" w:eastAsia="宋体" w:hAnsi="Times New Roman" w:cs="Times New Roman"/>
          <w:color w:val="000000"/>
          <w:kern w:val="0"/>
          <w:sz w:val="24"/>
          <w:szCs w:val="24"/>
        </w:rPr>
      </w:pPr>
    </w:p>
    <w:p w:rsidR="00564A74" w:rsidRDefault="00564A74" w:rsidP="00CE5A02">
      <w:pPr>
        <w:pStyle w:val="Default"/>
        <w:spacing w:line="360" w:lineRule="auto"/>
        <w:ind w:firstLineChars="200" w:firstLine="482"/>
        <w:rPr>
          <w:rFonts w:asciiTheme="minorEastAsia" w:hAnsiTheme="minorEastAsia"/>
          <w:b/>
        </w:rPr>
      </w:pPr>
      <w:r w:rsidRPr="00564A74">
        <w:rPr>
          <w:rFonts w:asciiTheme="minorEastAsia" w:hAnsiTheme="minorEastAsia" w:hint="eastAsia"/>
          <w:b/>
        </w:rPr>
        <w:t>三、基金份额持有人大会决议事项实施情况</w:t>
      </w:r>
    </w:p>
    <w:p w:rsidR="00CE5A02" w:rsidRDefault="00CE5A02" w:rsidP="00CE5A02">
      <w:pPr>
        <w:spacing w:line="360" w:lineRule="auto"/>
        <w:ind w:firstLineChars="200" w:firstLine="480"/>
        <w:rPr>
          <w:rFonts w:asciiTheme="minorEastAsia" w:hAnsiTheme="minorEastAsia"/>
          <w:sz w:val="24"/>
          <w:szCs w:val="24"/>
        </w:rPr>
      </w:pPr>
      <w:r w:rsidRPr="00294429">
        <w:rPr>
          <w:rFonts w:asciiTheme="minorEastAsia" w:hAnsiTheme="minorEastAsia" w:hint="eastAsia"/>
          <w:sz w:val="24"/>
          <w:szCs w:val="24"/>
        </w:rPr>
        <w:t>根据相关法律法规的规定，经本次基金份额持有人大会表决通过，本基金管理人自</w:t>
      </w:r>
      <w:r w:rsidRPr="00D75C55">
        <w:rPr>
          <w:rFonts w:asciiTheme="minorEastAsia" w:hAnsiTheme="minorEastAsia" w:hint="eastAsia"/>
          <w:sz w:val="24"/>
          <w:szCs w:val="24"/>
        </w:rPr>
        <w:t>202</w:t>
      </w:r>
      <w:r w:rsidR="00142DE9">
        <w:rPr>
          <w:rFonts w:asciiTheme="minorEastAsia" w:hAnsiTheme="minorEastAsia" w:hint="eastAsia"/>
          <w:sz w:val="24"/>
          <w:szCs w:val="24"/>
        </w:rPr>
        <w:t>5</w:t>
      </w:r>
      <w:r w:rsidRPr="00D75C55">
        <w:rPr>
          <w:rFonts w:asciiTheme="minorEastAsia" w:hAnsiTheme="minorEastAsia" w:hint="eastAsia"/>
          <w:sz w:val="24"/>
          <w:szCs w:val="24"/>
        </w:rPr>
        <w:t>年</w:t>
      </w:r>
      <w:r w:rsidR="00142DE9">
        <w:rPr>
          <w:rFonts w:asciiTheme="minorEastAsia" w:hAnsiTheme="minorEastAsia" w:hint="eastAsia"/>
          <w:sz w:val="24"/>
          <w:szCs w:val="24"/>
        </w:rPr>
        <w:t>10</w:t>
      </w:r>
      <w:r w:rsidRPr="00D75C55">
        <w:rPr>
          <w:rFonts w:asciiTheme="minorEastAsia" w:hAnsiTheme="minorEastAsia" w:hint="eastAsia"/>
          <w:sz w:val="24"/>
          <w:szCs w:val="24"/>
        </w:rPr>
        <w:t>月</w:t>
      </w:r>
      <w:r w:rsidR="00142DE9">
        <w:rPr>
          <w:rFonts w:asciiTheme="minorEastAsia" w:hAnsiTheme="minorEastAsia" w:hint="eastAsia"/>
          <w:sz w:val="24"/>
          <w:szCs w:val="24"/>
        </w:rPr>
        <w:t>31</w:t>
      </w:r>
      <w:r w:rsidRPr="00D75C55">
        <w:rPr>
          <w:rFonts w:asciiTheme="minorEastAsia" w:hAnsiTheme="minorEastAsia" w:hint="eastAsia"/>
          <w:sz w:val="24"/>
          <w:szCs w:val="24"/>
        </w:rPr>
        <w:t>日</w:t>
      </w:r>
      <w:r w:rsidRPr="00294429">
        <w:rPr>
          <w:rFonts w:asciiTheme="minorEastAsia" w:hAnsiTheme="minorEastAsia" w:hint="eastAsia"/>
          <w:sz w:val="24"/>
          <w:szCs w:val="24"/>
        </w:rPr>
        <w:t>起对本基金实施如下调整。</w:t>
      </w:r>
    </w:p>
    <w:p w:rsidR="00E33798" w:rsidRPr="00E33798" w:rsidRDefault="00E33798" w:rsidP="00E33798">
      <w:pPr>
        <w:spacing w:line="360" w:lineRule="auto"/>
        <w:ind w:firstLineChars="200" w:firstLine="480"/>
        <w:rPr>
          <w:rFonts w:asciiTheme="minorEastAsia" w:hAnsiTheme="minorEastAsia"/>
          <w:bCs/>
          <w:sz w:val="24"/>
          <w:szCs w:val="24"/>
        </w:rPr>
      </w:pPr>
      <w:r w:rsidRPr="00E33798">
        <w:rPr>
          <w:rFonts w:asciiTheme="minorEastAsia" w:hAnsiTheme="minorEastAsia"/>
          <w:bCs/>
          <w:sz w:val="24"/>
          <w:szCs w:val="24"/>
        </w:rPr>
        <w:t>1.</w:t>
      </w:r>
      <w:r w:rsidRPr="00E33798">
        <w:rPr>
          <w:rFonts w:asciiTheme="minorEastAsia" w:hAnsiTheme="minorEastAsia" w:hint="eastAsia"/>
          <w:bCs/>
          <w:sz w:val="24"/>
          <w:szCs w:val="24"/>
        </w:rPr>
        <w:t>修改</w:t>
      </w:r>
      <w:r w:rsidRPr="00E33798">
        <w:rPr>
          <w:rFonts w:asciiTheme="minorEastAsia" w:hAnsiTheme="minorEastAsia"/>
          <w:bCs/>
          <w:sz w:val="24"/>
          <w:szCs w:val="24"/>
        </w:rPr>
        <w:t>摩根士丹利纯债稳定增利18个月定期开放债</w:t>
      </w:r>
      <w:r w:rsidRPr="00E33798">
        <w:rPr>
          <w:rFonts w:asciiTheme="minorEastAsia" w:hAnsiTheme="minorEastAsia" w:hint="eastAsia"/>
          <w:bCs/>
          <w:sz w:val="24"/>
          <w:szCs w:val="24"/>
        </w:rPr>
        <w:t>券型证券投资基金基金合同的终止条款</w:t>
      </w:r>
    </w:p>
    <w:p w:rsidR="00E33798" w:rsidRPr="00E33798" w:rsidRDefault="00E33798" w:rsidP="00E33798">
      <w:pPr>
        <w:spacing w:line="360" w:lineRule="auto"/>
        <w:ind w:firstLineChars="200" w:firstLine="482"/>
        <w:rPr>
          <w:rFonts w:asciiTheme="minorEastAsia" w:hAnsiTheme="minorEastAsia"/>
          <w:b/>
          <w:bCs/>
          <w:sz w:val="24"/>
          <w:szCs w:val="24"/>
        </w:rPr>
      </w:pPr>
    </w:p>
    <w:tbl>
      <w:tblPr>
        <w:tblStyle w:val="aa"/>
        <w:tblW w:w="0" w:type="auto"/>
        <w:tblLayout w:type="fixed"/>
        <w:tblLook w:val="04A0"/>
      </w:tblPr>
      <w:tblGrid>
        <w:gridCol w:w="3100"/>
        <w:gridCol w:w="3100"/>
        <w:gridCol w:w="3100"/>
      </w:tblGrid>
      <w:tr w:rsidR="00E33798" w:rsidRPr="00E33798" w:rsidTr="00B32C39">
        <w:trPr>
          <w:trHeight w:val="280"/>
        </w:trPr>
        <w:tc>
          <w:tcPr>
            <w:tcW w:w="3100" w:type="dxa"/>
            <w:noWrap/>
            <w:vAlign w:val="center"/>
            <w:hideMark/>
          </w:tcPr>
          <w:p w:rsidR="00E33798" w:rsidRPr="00E33798" w:rsidRDefault="00E33798" w:rsidP="00E33798">
            <w:pPr>
              <w:autoSpaceDE/>
              <w:autoSpaceDN/>
              <w:spacing w:line="360" w:lineRule="auto"/>
              <w:ind w:firstLineChars="200" w:firstLine="482"/>
              <w:rPr>
                <w:rFonts w:asciiTheme="minorEastAsia" w:hAnsiTheme="minorEastAsia"/>
                <w:b/>
                <w:bCs/>
                <w:sz w:val="24"/>
                <w:szCs w:val="24"/>
              </w:rPr>
            </w:pPr>
            <w:r w:rsidRPr="00E33798">
              <w:rPr>
                <w:rFonts w:asciiTheme="minorEastAsia" w:hAnsiTheme="minorEastAsia" w:hint="eastAsia"/>
                <w:b/>
                <w:bCs/>
                <w:sz w:val="24"/>
                <w:szCs w:val="24"/>
              </w:rPr>
              <w:t>基金合同条款</w:t>
            </w:r>
          </w:p>
        </w:tc>
        <w:tc>
          <w:tcPr>
            <w:tcW w:w="3100" w:type="dxa"/>
            <w:noWrap/>
            <w:vAlign w:val="center"/>
            <w:hideMark/>
          </w:tcPr>
          <w:p w:rsidR="00E33798" w:rsidRPr="00E33798" w:rsidRDefault="00E33798" w:rsidP="00E33798">
            <w:pPr>
              <w:autoSpaceDE/>
              <w:autoSpaceDN/>
              <w:spacing w:line="360" w:lineRule="auto"/>
              <w:ind w:firstLineChars="200" w:firstLine="482"/>
              <w:rPr>
                <w:rFonts w:asciiTheme="minorEastAsia" w:hAnsiTheme="minorEastAsia"/>
                <w:b/>
                <w:bCs/>
                <w:sz w:val="24"/>
                <w:szCs w:val="24"/>
              </w:rPr>
            </w:pPr>
            <w:r w:rsidRPr="00E33798">
              <w:rPr>
                <w:rFonts w:asciiTheme="minorEastAsia" w:hAnsiTheme="minorEastAsia" w:hint="eastAsia"/>
                <w:b/>
                <w:bCs/>
                <w:sz w:val="24"/>
                <w:szCs w:val="24"/>
              </w:rPr>
              <w:t>修改前基金合同</w:t>
            </w:r>
          </w:p>
        </w:tc>
        <w:tc>
          <w:tcPr>
            <w:tcW w:w="3100" w:type="dxa"/>
            <w:noWrap/>
            <w:vAlign w:val="center"/>
            <w:hideMark/>
          </w:tcPr>
          <w:p w:rsidR="00E33798" w:rsidRPr="00E33798" w:rsidRDefault="00E33798" w:rsidP="00E33798">
            <w:pPr>
              <w:autoSpaceDE/>
              <w:autoSpaceDN/>
              <w:spacing w:line="360" w:lineRule="auto"/>
              <w:ind w:firstLineChars="200" w:firstLine="482"/>
              <w:rPr>
                <w:rFonts w:asciiTheme="minorEastAsia" w:hAnsiTheme="minorEastAsia"/>
                <w:b/>
                <w:bCs/>
                <w:sz w:val="24"/>
                <w:szCs w:val="24"/>
              </w:rPr>
            </w:pPr>
            <w:r w:rsidRPr="00E33798">
              <w:rPr>
                <w:rFonts w:asciiTheme="minorEastAsia" w:hAnsiTheme="minorEastAsia" w:hint="eastAsia"/>
                <w:b/>
                <w:bCs/>
                <w:sz w:val="24"/>
                <w:szCs w:val="24"/>
              </w:rPr>
              <w:t>修改后基金合同</w:t>
            </w:r>
          </w:p>
        </w:tc>
      </w:tr>
      <w:tr w:rsidR="00E33798" w:rsidRPr="00E33798" w:rsidTr="00B32C39">
        <w:trPr>
          <w:trHeight w:val="268"/>
        </w:trPr>
        <w:tc>
          <w:tcPr>
            <w:tcW w:w="3100" w:type="dxa"/>
            <w:hideMark/>
          </w:tcPr>
          <w:p w:rsidR="00E33798" w:rsidRPr="00E33798" w:rsidRDefault="00E33798" w:rsidP="00E33798">
            <w:pPr>
              <w:autoSpaceDE/>
              <w:autoSpaceDN/>
              <w:spacing w:line="360" w:lineRule="auto"/>
              <w:ind w:firstLineChars="200" w:firstLine="482"/>
              <w:rPr>
                <w:rFonts w:asciiTheme="minorEastAsia" w:hAnsiTheme="minorEastAsia"/>
                <w:b/>
                <w:bCs/>
                <w:sz w:val="24"/>
                <w:szCs w:val="24"/>
              </w:rPr>
            </w:pPr>
            <w:r w:rsidRPr="00E33798">
              <w:rPr>
                <w:rFonts w:asciiTheme="minorEastAsia" w:hAnsiTheme="minorEastAsia" w:hint="eastAsia"/>
                <w:b/>
                <w:bCs/>
                <w:sz w:val="24"/>
                <w:szCs w:val="24"/>
              </w:rPr>
              <w:t>第五部分</w:t>
            </w:r>
            <w:r w:rsidRPr="00E33798">
              <w:rPr>
                <w:rFonts w:asciiTheme="minorEastAsia" w:hAnsiTheme="minorEastAsia"/>
                <w:b/>
                <w:bCs/>
                <w:sz w:val="24"/>
                <w:szCs w:val="24"/>
              </w:rPr>
              <w:t xml:space="preserve"> </w:t>
            </w:r>
            <w:r w:rsidRPr="00E33798">
              <w:rPr>
                <w:rFonts w:asciiTheme="minorEastAsia" w:hAnsiTheme="minorEastAsia" w:hint="eastAsia"/>
                <w:b/>
                <w:bCs/>
                <w:sz w:val="24"/>
                <w:szCs w:val="24"/>
              </w:rPr>
              <w:t>基金备案</w:t>
            </w:r>
          </w:p>
        </w:tc>
        <w:tc>
          <w:tcPr>
            <w:tcW w:w="3100" w:type="dxa"/>
            <w:noWrap/>
            <w:hideMark/>
          </w:tcPr>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三、基金存续期内的基金份额持有人数量和资产规模</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《基金合同》生效后，基金份额持有人数量不满</w:t>
            </w:r>
            <w:r w:rsidRPr="00E33798">
              <w:rPr>
                <w:rFonts w:asciiTheme="minorEastAsia" w:hAnsiTheme="minorEastAsia"/>
                <w:bCs/>
                <w:sz w:val="24"/>
                <w:szCs w:val="24"/>
                <w:lang w:eastAsia="zh-CN"/>
              </w:rPr>
              <w:t>200人或者基金资产净值低于5000万元的，基金管理人</w:t>
            </w:r>
            <w:r w:rsidRPr="00E33798">
              <w:rPr>
                <w:rFonts w:asciiTheme="minorEastAsia" w:hAnsiTheme="minorEastAsia"/>
                <w:bCs/>
                <w:sz w:val="24"/>
                <w:szCs w:val="24"/>
                <w:lang w:eastAsia="zh-CN"/>
              </w:rPr>
              <w:lastRenderedPageBreak/>
              <w:t>应当及时报告中国证监会；连续20个工作日出现前述情形的，基金管理人应当向中国证监会说明原因并报送解决方案。</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同时，基金合同生效后，在开放期的最后一日日终，如发生以下情形之一的，则无须召开基金份额持有人大会，基金合同将于该日次日终止并根据第二十部分的约定进行基金财产清算：</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w:t>
            </w:r>
            <w:r w:rsidRPr="00E33798">
              <w:rPr>
                <w:rFonts w:asciiTheme="minorEastAsia" w:hAnsiTheme="minorEastAsia"/>
                <w:bCs/>
                <w:sz w:val="24"/>
                <w:szCs w:val="24"/>
                <w:lang w:eastAsia="zh-CN"/>
              </w:rPr>
              <w:t>1）基金资产净值加上当日有效申购申请金额及基金转换中转入申请金额扣除有效赎回申请金额及基金转换中转出申请金额后的余额低于2亿元；</w:t>
            </w:r>
          </w:p>
          <w:p w:rsidR="00E33798" w:rsidRPr="00E33798" w:rsidRDefault="00E33798" w:rsidP="00E33798">
            <w:pPr>
              <w:autoSpaceDE/>
              <w:autoSpaceDN/>
              <w:spacing w:line="360" w:lineRule="auto"/>
              <w:ind w:firstLineChars="200" w:firstLine="480"/>
              <w:rPr>
                <w:rFonts w:asciiTheme="minorEastAsia" w:hAnsiTheme="minorEastAsia"/>
                <w:sz w:val="24"/>
                <w:szCs w:val="24"/>
                <w:lang w:eastAsia="zh-CN"/>
              </w:rPr>
            </w:pPr>
            <w:r w:rsidRPr="00E33798">
              <w:rPr>
                <w:rFonts w:asciiTheme="minorEastAsia" w:hAnsiTheme="minorEastAsia" w:hint="eastAsia"/>
                <w:sz w:val="24"/>
                <w:szCs w:val="24"/>
                <w:lang w:eastAsia="zh-CN"/>
              </w:rPr>
              <w:t>（</w:t>
            </w:r>
            <w:r w:rsidRPr="00E33798">
              <w:rPr>
                <w:rFonts w:asciiTheme="minorEastAsia" w:hAnsiTheme="minorEastAsia"/>
                <w:sz w:val="24"/>
                <w:szCs w:val="24"/>
                <w:lang w:eastAsia="zh-CN"/>
              </w:rPr>
              <w:t>2）基金份额持有人人数少于200人</w:t>
            </w:r>
            <w:r w:rsidRPr="00E33798">
              <w:rPr>
                <w:rFonts w:asciiTheme="minorEastAsia" w:hAnsiTheme="minorEastAsia" w:hint="eastAsia"/>
                <w:sz w:val="24"/>
                <w:szCs w:val="24"/>
                <w:lang w:eastAsia="zh-CN"/>
              </w:rPr>
              <w:t>。</w:t>
            </w:r>
          </w:p>
        </w:tc>
        <w:tc>
          <w:tcPr>
            <w:tcW w:w="3100" w:type="dxa"/>
            <w:hideMark/>
          </w:tcPr>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lastRenderedPageBreak/>
              <w:t>三、基金存续期内的基金份额持有人数量和资产规模</w:t>
            </w:r>
          </w:p>
          <w:p w:rsidR="00E33798" w:rsidRPr="00E33798" w:rsidRDefault="00E33798" w:rsidP="00E33798">
            <w:pPr>
              <w:autoSpaceDE/>
              <w:autoSpaceDN/>
              <w:spacing w:line="360" w:lineRule="auto"/>
              <w:ind w:firstLineChars="200" w:firstLine="480"/>
              <w:rPr>
                <w:rFonts w:asciiTheme="minorEastAsia" w:hAnsiTheme="minorEastAsia"/>
                <w:b/>
                <w:sz w:val="24"/>
                <w:szCs w:val="24"/>
                <w:lang w:eastAsia="zh-CN"/>
              </w:rPr>
            </w:pPr>
            <w:r w:rsidRPr="00E33798">
              <w:rPr>
                <w:rFonts w:asciiTheme="minorEastAsia" w:hAnsiTheme="minorEastAsia" w:hint="eastAsia"/>
                <w:bCs/>
                <w:sz w:val="24"/>
                <w:szCs w:val="24"/>
                <w:lang w:eastAsia="zh-CN"/>
              </w:rPr>
              <w:br/>
              <w:t>《基金合同》生效后，</w:t>
            </w:r>
            <w:r w:rsidRPr="00E33798">
              <w:rPr>
                <w:rFonts w:asciiTheme="minorEastAsia" w:hAnsiTheme="minorEastAsia" w:hint="eastAsia"/>
                <w:b/>
                <w:sz w:val="24"/>
                <w:szCs w:val="24"/>
                <w:lang w:eastAsia="zh-CN"/>
              </w:rPr>
              <w:t>连续20个工作日出现基金份额持有人数量不满200人或者基金资产净值低于5000万</w:t>
            </w:r>
            <w:r w:rsidRPr="00E33798">
              <w:rPr>
                <w:rFonts w:asciiTheme="minorEastAsia" w:hAnsiTheme="minorEastAsia" w:hint="eastAsia"/>
                <w:b/>
                <w:sz w:val="24"/>
                <w:szCs w:val="24"/>
                <w:lang w:eastAsia="zh-CN"/>
              </w:rPr>
              <w:lastRenderedPageBreak/>
              <w:t>元情形的，基金管理人应当在定期报告中予以披露；连续50个工作日出现前述情形的，基金合同终止，不需召开基金份额持有人大会。</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br/>
              <w:t>同时，基金合同生效后，在开放期的最后一日日终，如发生以下情形之一的，则无须召开基金份额持有人大会，基金合同将于该日次日终止并根据第二十部分的约定进行基金财产清算：</w:t>
            </w:r>
          </w:p>
          <w:p w:rsidR="00E33798" w:rsidRPr="00E33798" w:rsidRDefault="00E33798" w:rsidP="00E33798">
            <w:pPr>
              <w:autoSpaceDE/>
              <w:autoSpaceDN/>
              <w:spacing w:line="360" w:lineRule="auto"/>
              <w:ind w:firstLineChars="200" w:firstLine="480"/>
              <w:rPr>
                <w:rFonts w:asciiTheme="minorEastAsia" w:hAnsiTheme="minorEastAsia"/>
                <w:sz w:val="24"/>
                <w:szCs w:val="24"/>
                <w:lang w:eastAsia="zh-CN"/>
              </w:rPr>
            </w:pPr>
            <w:r w:rsidRPr="00E33798">
              <w:rPr>
                <w:rFonts w:asciiTheme="minorEastAsia" w:hAnsiTheme="minorEastAsia" w:hint="eastAsia"/>
                <w:sz w:val="24"/>
                <w:szCs w:val="24"/>
                <w:lang w:eastAsia="zh-CN"/>
              </w:rPr>
              <w:br/>
              <w:t>（1）基金资产净值加上当日有效申购申请金额及基金转换中转入申请金额扣除有效赎回申请金额及基金转换中转出申请金额后的余额低于</w:t>
            </w:r>
            <w:r w:rsidRPr="00E33798">
              <w:rPr>
                <w:rFonts w:asciiTheme="minorEastAsia" w:hAnsiTheme="minorEastAsia" w:hint="eastAsia"/>
                <w:b/>
                <w:bCs/>
                <w:sz w:val="24"/>
                <w:szCs w:val="24"/>
                <w:lang w:eastAsia="zh-CN"/>
              </w:rPr>
              <w:t>5000万元</w:t>
            </w:r>
            <w:r w:rsidRPr="00E33798">
              <w:rPr>
                <w:rFonts w:asciiTheme="minorEastAsia" w:hAnsiTheme="minorEastAsia" w:hint="eastAsia"/>
                <w:sz w:val="24"/>
                <w:szCs w:val="24"/>
                <w:lang w:eastAsia="zh-CN"/>
              </w:rPr>
              <w:t>；</w:t>
            </w:r>
            <w:r w:rsidRPr="00E33798">
              <w:rPr>
                <w:rFonts w:asciiTheme="minorEastAsia" w:hAnsiTheme="minorEastAsia" w:hint="eastAsia"/>
                <w:sz w:val="24"/>
                <w:szCs w:val="24"/>
                <w:lang w:eastAsia="zh-CN"/>
              </w:rPr>
              <w:br/>
              <w:t>（2）基金份额持有人人数少于200人。</w:t>
            </w:r>
          </w:p>
        </w:tc>
      </w:tr>
      <w:tr w:rsidR="00E33798" w:rsidRPr="00E33798" w:rsidTr="00B32C39">
        <w:trPr>
          <w:trHeight w:val="1620"/>
        </w:trPr>
        <w:tc>
          <w:tcPr>
            <w:tcW w:w="3100" w:type="dxa"/>
            <w:hideMark/>
          </w:tcPr>
          <w:p w:rsidR="00E33798" w:rsidRPr="00E33798" w:rsidRDefault="00E33798" w:rsidP="00E33798">
            <w:pPr>
              <w:autoSpaceDE/>
              <w:autoSpaceDN/>
              <w:spacing w:line="360" w:lineRule="auto"/>
              <w:ind w:firstLineChars="200" w:firstLine="482"/>
              <w:rPr>
                <w:rFonts w:asciiTheme="minorEastAsia" w:hAnsiTheme="minorEastAsia"/>
                <w:b/>
                <w:bCs/>
                <w:sz w:val="24"/>
                <w:szCs w:val="24"/>
                <w:lang w:eastAsia="zh-CN"/>
              </w:rPr>
            </w:pPr>
            <w:r w:rsidRPr="00E33798">
              <w:rPr>
                <w:rFonts w:asciiTheme="minorEastAsia" w:hAnsiTheme="minorEastAsia" w:hint="eastAsia"/>
                <w:b/>
                <w:bCs/>
                <w:sz w:val="24"/>
                <w:szCs w:val="24"/>
                <w:lang w:eastAsia="zh-CN"/>
              </w:rPr>
              <w:lastRenderedPageBreak/>
              <w:t>第九部分</w:t>
            </w:r>
            <w:r w:rsidRPr="00E33798">
              <w:rPr>
                <w:rFonts w:asciiTheme="minorEastAsia" w:hAnsiTheme="minorEastAsia"/>
                <w:b/>
                <w:bCs/>
                <w:sz w:val="24"/>
                <w:szCs w:val="24"/>
                <w:lang w:eastAsia="zh-CN"/>
              </w:rPr>
              <w:t xml:space="preserve"> </w:t>
            </w:r>
            <w:r w:rsidRPr="00E33798">
              <w:rPr>
                <w:rFonts w:asciiTheme="minorEastAsia" w:hAnsiTheme="minorEastAsia" w:hint="eastAsia"/>
                <w:b/>
                <w:bCs/>
                <w:sz w:val="24"/>
                <w:szCs w:val="24"/>
                <w:lang w:eastAsia="zh-CN"/>
              </w:rPr>
              <w:t>基金份额持有人大会</w:t>
            </w:r>
          </w:p>
        </w:tc>
        <w:tc>
          <w:tcPr>
            <w:tcW w:w="3100" w:type="dxa"/>
            <w:noWrap/>
            <w:hideMark/>
          </w:tcPr>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一、召开事由</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bCs/>
                <w:sz w:val="24"/>
                <w:szCs w:val="24"/>
                <w:lang w:eastAsia="zh-CN"/>
              </w:rPr>
              <w:t>3、</w:t>
            </w:r>
            <w:r w:rsidRPr="00E33798">
              <w:rPr>
                <w:rFonts w:asciiTheme="minorEastAsia" w:hAnsiTheme="minorEastAsia" w:hint="eastAsia"/>
                <w:bCs/>
                <w:sz w:val="24"/>
                <w:szCs w:val="24"/>
                <w:lang w:eastAsia="zh-CN"/>
              </w:rPr>
              <w:t>基金合同生效后，在开放期的最后一日日终，如发生以下情形之一的，则无须召开持有人大会，基金合同将于该日次日终止并根据第二十部分的约定进行基金财产清算：</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w:t>
            </w:r>
            <w:r w:rsidRPr="00E33798">
              <w:rPr>
                <w:rFonts w:asciiTheme="minorEastAsia" w:hAnsiTheme="minorEastAsia"/>
                <w:bCs/>
                <w:sz w:val="24"/>
                <w:szCs w:val="24"/>
                <w:lang w:eastAsia="zh-CN"/>
              </w:rPr>
              <w:t>1）基金资产净值加上当日有效申购申请金额及基金转换中转入申请金额扣除有效赎回申请金额及基金转换中转出申请金额后的余额低于2亿元；</w:t>
            </w:r>
          </w:p>
          <w:p w:rsidR="00E33798" w:rsidRPr="00E33798" w:rsidRDefault="00E33798" w:rsidP="00E33798">
            <w:pPr>
              <w:autoSpaceDE/>
              <w:autoSpaceDN/>
              <w:spacing w:line="360" w:lineRule="auto"/>
              <w:ind w:firstLineChars="200" w:firstLine="480"/>
              <w:rPr>
                <w:rFonts w:asciiTheme="minorEastAsia" w:hAnsiTheme="minorEastAsia"/>
                <w:sz w:val="24"/>
                <w:szCs w:val="24"/>
                <w:lang w:eastAsia="zh-CN"/>
              </w:rPr>
            </w:pPr>
            <w:r w:rsidRPr="00E33798">
              <w:rPr>
                <w:rFonts w:asciiTheme="minorEastAsia" w:hAnsiTheme="minorEastAsia" w:hint="eastAsia"/>
                <w:sz w:val="24"/>
                <w:szCs w:val="24"/>
                <w:lang w:eastAsia="zh-CN"/>
              </w:rPr>
              <w:t>（</w:t>
            </w:r>
            <w:r w:rsidRPr="00E33798">
              <w:rPr>
                <w:rFonts w:asciiTheme="minorEastAsia" w:hAnsiTheme="minorEastAsia"/>
                <w:sz w:val="24"/>
                <w:szCs w:val="24"/>
                <w:lang w:eastAsia="zh-CN"/>
              </w:rPr>
              <w:t>2）基金份额持有人人数少于200人</w:t>
            </w:r>
            <w:r w:rsidRPr="00E33798">
              <w:rPr>
                <w:rFonts w:asciiTheme="minorEastAsia" w:hAnsiTheme="minorEastAsia" w:hint="eastAsia"/>
                <w:sz w:val="24"/>
                <w:szCs w:val="24"/>
                <w:lang w:eastAsia="zh-CN"/>
              </w:rPr>
              <w:t>。</w:t>
            </w:r>
          </w:p>
        </w:tc>
        <w:tc>
          <w:tcPr>
            <w:tcW w:w="3100" w:type="dxa"/>
            <w:hideMark/>
          </w:tcPr>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一、召开事由</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3、基金合同生效后，在开放期的最后一日日终，如发生以下情形之一的，则无须召开持有人大会，基金合同将于该日次日终止并根据第二十部分的约定进行基金财产清算：</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（1）基金资产净值加上当日有效申购申请金额及基金转换中转入申请金额扣除有效赎回申请金额及基金转换中转出申请金额后的余额低于</w:t>
            </w:r>
            <w:r w:rsidRPr="00E33798">
              <w:rPr>
                <w:rFonts w:asciiTheme="minorEastAsia" w:hAnsiTheme="minorEastAsia" w:hint="eastAsia"/>
                <w:b/>
                <w:sz w:val="24"/>
                <w:szCs w:val="24"/>
                <w:lang w:eastAsia="zh-CN"/>
              </w:rPr>
              <w:t>5000万元</w:t>
            </w:r>
            <w:r w:rsidRPr="00E33798">
              <w:rPr>
                <w:rFonts w:asciiTheme="minorEastAsia" w:hAnsiTheme="minorEastAsia" w:hint="eastAsia"/>
                <w:bCs/>
                <w:sz w:val="24"/>
                <w:szCs w:val="24"/>
                <w:lang w:eastAsia="zh-CN"/>
              </w:rPr>
              <w:t>；</w:t>
            </w:r>
            <w:r w:rsidRPr="00E33798">
              <w:rPr>
                <w:rFonts w:asciiTheme="minorEastAsia" w:hAnsiTheme="minorEastAsia" w:hint="eastAsia"/>
                <w:bCs/>
                <w:sz w:val="24"/>
                <w:szCs w:val="24"/>
                <w:lang w:eastAsia="zh-CN"/>
              </w:rPr>
              <w:br/>
              <w:t>（2）基金份额持有人人数少于200人。</w:t>
            </w:r>
          </w:p>
        </w:tc>
      </w:tr>
      <w:tr w:rsidR="00E33798" w:rsidRPr="00E33798" w:rsidTr="00B32C39">
        <w:trPr>
          <w:trHeight w:val="810"/>
        </w:trPr>
        <w:tc>
          <w:tcPr>
            <w:tcW w:w="3100" w:type="dxa"/>
            <w:hideMark/>
          </w:tcPr>
          <w:p w:rsidR="00E33798" w:rsidRPr="00E33798" w:rsidRDefault="00E33798" w:rsidP="00E33798">
            <w:pPr>
              <w:autoSpaceDE/>
              <w:autoSpaceDN/>
              <w:spacing w:line="360" w:lineRule="auto"/>
              <w:ind w:firstLineChars="200" w:firstLine="482"/>
              <w:rPr>
                <w:rFonts w:asciiTheme="minorEastAsia" w:hAnsiTheme="minorEastAsia"/>
                <w:b/>
                <w:bCs/>
                <w:sz w:val="24"/>
                <w:szCs w:val="24"/>
              </w:rPr>
            </w:pPr>
            <w:r w:rsidRPr="00E33798">
              <w:rPr>
                <w:rFonts w:asciiTheme="minorEastAsia" w:hAnsiTheme="minorEastAsia" w:hint="eastAsia"/>
                <w:b/>
                <w:bCs/>
                <w:sz w:val="24"/>
                <w:szCs w:val="24"/>
              </w:rPr>
              <w:t>第十九部分 基金的信息披露</w:t>
            </w:r>
          </w:p>
        </w:tc>
        <w:tc>
          <w:tcPr>
            <w:tcW w:w="3100" w:type="dxa"/>
            <w:noWrap/>
            <w:hideMark/>
          </w:tcPr>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五、公开披露的基金信息</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p>
        </w:tc>
        <w:tc>
          <w:tcPr>
            <w:tcW w:w="3100" w:type="dxa"/>
            <w:hideMark/>
          </w:tcPr>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五、公开披露的基金信息</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（七）临时报告</w:t>
            </w:r>
          </w:p>
          <w:p w:rsidR="00E33798" w:rsidRPr="00E33798" w:rsidRDefault="00E33798" w:rsidP="00E33798">
            <w:pPr>
              <w:autoSpaceDE/>
              <w:autoSpaceDN/>
              <w:spacing w:line="360" w:lineRule="auto"/>
              <w:ind w:firstLineChars="200" w:firstLine="482"/>
              <w:rPr>
                <w:rFonts w:asciiTheme="minorEastAsia" w:hAnsiTheme="minorEastAsia"/>
                <w:bCs/>
                <w:sz w:val="24"/>
                <w:szCs w:val="24"/>
                <w:lang w:eastAsia="zh-CN"/>
              </w:rPr>
            </w:pPr>
            <w:r w:rsidRPr="00E33798">
              <w:rPr>
                <w:rFonts w:asciiTheme="minorEastAsia" w:hAnsiTheme="minorEastAsia" w:hint="eastAsia"/>
                <w:b/>
                <w:bCs/>
                <w:sz w:val="24"/>
                <w:szCs w:val="24"/>
                <w:lang w:eastAsia="zh-CN"/>
              </w:rPr>
              <w:t>24、本基金出现连续 30、40、45个工作日基金份额持有人数量不满 200 人或者基金资产净值低于 5000 万元情形时；</w:t>
            </w:r>
          </w:p>
        </w:tc>
      </w:tr>
      <w:tr w:rsidR="00E33798" w:rsidRPr="00E33798" w:rsidTr="00B32C39">
        <w:trPr>
          <w:trHeight w:val="1620"/>
        </w:trPr>
        <w:tc>
          <w:tcPr>
            <w:tcW w:w="3100" w:type="dxa"/>
            <w:hideMark/>
          </w:tcPr>
          <w:p w:rsidR="00E33798" w:rsidRPr="00E33798" w:rsidRDefault="00E33798" w:rsidP="00E33798">
            <w:pPr>
              <w:autoSpaceDE/>
              <w:autoSpaceDN/>
              <w:spacing w:line="360" w:lineRule="auto"/>
              <w:ind w:firstLineChars="200" w:firstLine="482"/>
              <w:rPr>
                <w:rFonts w:asciiTheme="minorEastAsia" w:hAnsiTheme="minorEastAsia"/>
                <w:b/>
                <w:bCs/>
                <w:sz w:val="24"/>
                <w:szCs w:val="24"/>
                <w:lang w:eastAsia="zh-CN"/>
              </w:rPr>
            </w:pPr>
            <w:r w:rsidRPr="00E33798">
              <w:rPr>
                <w:rFonts w:asciiTheme="minorEastAsia" w:hAnsiTheme="minorEastAsia" w:hint="eastAsia"/>
                <w:b/>
                <w:bCs/>
                <w:sz w:val="24"/>
                <w:szCs w:val="24"/>
                <w:lang w:eastAsia="zh-CN"/>
              </w:rPr>
              <w:t>第二十部分 基金合同的变更、终止与基金财产的清算</w:t>
            </w:r>
          </w:p>
        </w:tc>
        <w:tc>
          <w:tcPr>
            <w:tcW w:w="3100" w:type="dxa"/>
            <w:noWrap/>
            <w:hideMark/>
          </w:tcPr>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二、《基金合同》的终止事由</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bCs/>
                <w:sz w:val="24"/>
                <w:szCs w:val="24"/>
                <w:lang w:eastAsia="zh-CN"/>
              </w:rPr>
              <w:t>3、基金合同生效后，在开放期的最后一日日终，如发生以下情形之一的，则无须召开持有人大会，基金合同将于该日次日终止：</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w:t>
            </w:r>
            <w:r w:rsidRPr="00E33798">
              <w:rPr>
                <w:rFonts w:asciiTheme="minorEastAsia" w:hAnsiTheme="minorEastAsia"/>
                <w:bCs/>
                <w:sz w:val="24"/>
                <w:szCs w:val="24"/>
                <w:lang w:eastAsia="zh-CN"/>
              </w:rPr>
              <w:t>1）基金资产净值加上当日有效申购申请金额及基金转换中转入申请金额扣除有效赎回申请金额及基金转换中转出申请金额后的余额低于2亿元；</w:t>
            </w:r>
          </w:p>
          <w:p w:rsidR="00E33798" w:rsidRPr="00E33798" w:rsidRDefault="00E33798" w:rsidP="00E33798">
            <w:pPr>
              <w:autoSpaceDE/>
              <w:autoSpaceDN/>
              <w:spacing w:line="360" w:lineRule="auto"/>
              <w:ind w:firstLineChars="200" w:firstLine="480"/>
              <w:rPr>
                <w:rFonts w:asciiTheme="minorEastAsia" w:hAnsiTheme="minorEastAsia"/>
                <w:sz w:val="24"/>
                <w:szCs w:val="24"/>
                <w:lang w:eastAsia="zh-CN"/>
              </w:rPr>
            </w:pPr>
            <w:r w:rsidRPr="00E33798">
              <w:rPr>
                <w:rFonts w:asciiTheme="minorEastAsia" w:hAnsiTheme="minorEastAsia" w:hint="eastAsia"/>
                <w:sz w:val="24"/>
                <w:szCs w:val="24"/>
                <w:lang w:eastAsia="zh-CN"/>
              </w:rPr>
              <w:t>（</w:t>
            </w:r>
            <w:r w:rsidRPr="00E33798">
              <w:rPr>
                <w:rFonts w:asciiTheme="minorEastAsia" w:hAnsiTheme="minorEastAsia"/>
                <w:sz w:val="24"/>
                <w:szCs w:val="24"/>
                <w:lang w:eastAsia="zh-CN"/>
              </w:rPr>
              <w:t>2）基金份额持有人人数少于200人</w:t>
            </w:r>
            <w:r w:rsidRPr="00E33798">
              <w:rPr>
                <w:rFonts w:asciiTheme="minorEastAsia" w:hAnsiTheme="minorEastAsia" w:hint="eastAsia"/>
                <w:sz w:val="24"/>
                <w:szCs w:val="24"/>
                <w:lang w:eastAsia="zh-CN"/>
              </w:rPr>
              <w:t>；</w:t>
            </w:r>
          </w:p>
        </w:tc>
        <w:tc>
          <w:tcPr>
            <w:tcW w:w="3100" w:type="dxa"/>
            <w:hideMark/>
          </w:tcPr>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二、《基金合同》的终止事由</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3、基金合同生效后，在开放期的最后一日日终，如发生以下情形之一的，则无须召开持有人大会，基金合同将于该日次日终止：</w:t>
            </w:r>
          </w:p>
          <w:p w:rsidR="00E33798" w:rsidRPr="00E33798" w:rsidRDefault="00E33798" w:rsidP="00E33798">
            <w:pPr>
              <w:autoSpaceDE/>
              <w:autoSpaceDN/>
              <w:spacing w:line="360" w:lineRule="auto"/>
              <w:ind w:firstLineChars="200" w:firstLine="480"/>
              <w:rPr>
                <w:rFonts w:asciiTheme="minorEastAsia" w:hAnsiTheme="minorEastAsia"/>
                <w:sz w:val="24"/>
                <w:szCs w:val="24"/>
                <w:lang w:eastAsia="zh-CN"/>
              </w:rPr>
            </w:pPr>
            <w:r w:rsidRPr="00E33798">
              <w:rPr>
                <w:rFonts w:asciiTheme="minorEastAsia" w:hAnsiTheme="minorEastAsia" w:hint="eastAsia"/>
                <w:sz w:val="24"/>
                <w:szCs w:val="24"/>
                <w:lang w:eastAsia="zh-CN"/>
              </w:rPr>
              <w:t>（1）基金资产净值加上当日有效申购申请金额及基金转换中转入申请金额扣除有效赎回申请金额及基金转换中转出申请金额后的余额低于</w:t>
            </w:r>
            <w:r w:rsidRPr="00E33798">
              <w:rPr>
                <w:rFonts w:asciiTheme="minorEastAsia" w:hAnsiTheme="minorEastAsia" w:hint="eastAsia"/>
                <w:b/>
                <w:bCs/>
                <w:sz w:val="24"/>
                <w:szCs w:val="24"/>
                <w:lang w:eastAsia="zh-CN"/>
              </w:rPr>
              <w:t>5000万元</w:t>
            </w:r>
            <w:r w:rsidRPr="00E33798">
              <w:rPr>
                <w:rFonts w:asciiTheme="minorEastAsia" w:hAnsiTheme="minorEastAsia" w:hint="eastAsia"/>
                <w:sz w:val="24"/>
                <w:szCs w:val="24"/>
                <w:lang w:eastAsia="zh-CN"/>
              </w:rPr>
              <w:t>；</w:t>
            </w:r>
            <w:r w:rsidRPr="00E33798">
              <w:rPr>
                <w:rFonts w:asciiTheme="minorEastAsia" w:hAnsiTheme="minorEastAsia" w:hint="eastAsia"/>
                <w:sz w:val="24"/>
                <w:szCs w:val="24"/>
                <w:lang w:eastAsia="zh-CN"/>
              </w:rPr>
              <w:br/>
              <w:t>（2）基金份额持有人人数少于200人；</w:t>
            </w:r>
          </w:p>
        </w:tc>
      </w:tr>
    </w:tbl>
    <w:p w:rsidR="00E33798" w:rsidRPr="00E33798" w:rsidRDefault="00E33798" w:rsidP="00E33798">
      <w:pPr>
        <w:spacing w:line="360" w:lineRule="auto"/>
        <w:ind w:firstLineChars="200" w:firstLine="482"/>
        <w:rPr>
          <w:rFonts w:asciiTheme="minorEastAsia" w:hAnsiTheme="minorEastAsia"/>
          <w:b/>
          <w:bCs/>
          <w:sz w:val="24"/>
          <w:szCs w:val="24"/>
        </w:rPr>
      </w:pPr>
    </w:p>
    <w:p w:rsidR="00E33798" w:rsidRPr="00E33798" w:rsidRDefault="00E33798" w:rsidP="00E33798">
      <w:pPr>
        <w:spacing w:line="360" w:lineRule="auto"/>
        <w:ind w:firstLineChars="200" w:firstLine="482"/>
        <w:rPr>
          <w:rFonts w:asciiTheme="minorEastAsia" w:hAnsiTheme="minorEastAsia"/>
          <w:b/>
          <w:bCs/>
          <w:sz w:val="24"/>
          <w:szCs w:val="24"/>
        </w:rPr>
      </w:pPr>
      <w:r w:rsidRPr="00E33798">
        <w:rPr>
          <w:rFonts w:asciiTheme="minorEastAsia" w:hAnsiTheme="minorEastAsia"/>
          <w:b/>
          <w:bCs/>
          <w:sz w:val="24"/>
          <w:szCs w:val="24"/>
        </w:rPr>
        <w:t>2.</w:t>
      </w:r>
      <w:r w:rsidRPr="00E33798">
        <w:rPr>
          <w:rFonts w:asciiTheme="minorEastAsia" w:hAnsiTheme="minorEastAsia" w:hint="eastAsia"/>
          <w:bCs/>
          <w:sz w:val="24"/>
          <w:szCs w:val="24"/>
        </w:rPr>
        <w:t>调整</w:t>
      </w:r>
      <w:r w:rsidRPr="00E33798">
        <w:rPr>
          <w:rFonts w:asciiTheme="minorEastAsia" w:hAnsiTheme="minorEastAsia"/>
          <w:bCs/>
          <w:sz w:val="24"/>
          <w:szCs w:val="24"/>
        </w:rPr>
        <w:t>摩根士丹利纯债稳定增利18个月定期开放债</w:t>
      </w:r>
      <w:r w:rsidRPr="00E33798">
        <w:rPr>
          <w:rFonts w:asciiTheme="minorEastAsia" w:hAnsiTheme="minorEastAsia" w:hint="eastAsia"/>
          <w:bCs/>
          <w:sz w:val="24"/>
          <w:szCs w:val="24"/>
        </w:rPr>
        <w:t>券型证券投资基金基金份额净值估值精度</w:t>
      </w:r>
    </w:p>
    <w:p w:rsidR="00E33798" w:rsidRPr="00E33798" w:rsidRDefault="00E33798" w:rsidP="00E33798">
      <w:pPr>
        <w:spacing w:line="360" w:lineRule="auto"/>
        <w:ind w:firstLineChars="200" w:firstLine="482"/>
        <w:rPr>
          <w:rFonts w:asciiTheme="minorEastAsia" w:hAnsiTheme="minorEastAsia"/>
          <w:b/>
          <w:bCs/>
          <w:sz w:val="24"/>
          <w:szCs w:val="24"/>
        </w:rPr>
      </w:pPr>
    </w:p>
    <w:tbl>
      <w:tblPr>
        <w:tblStyle w:val="aa"/>
        <w:tblW w:w="0" w:type="auto"/>
        <w:tblLayout w:type="fixed"/>
        <w:tblLook w:val="04A0"/>
      </w:tblPr>
      <w:tblGrid>
        <w:gridCol w:w="3100"/>
        <w:gridCol w:w="3100"/>
        <w:gridCol w:w="3100"/>
      </w:tblGrid>
      <w:tr w:rsidR="00E33798" w:rsidRPr="00E33798" w:rsidTr="00B32C39">
        <w:trPr>
          <w:trHeight w:val="280"/>
        </w:trPr>
        <w:tc>
          <w:tcPr>
            <w:tcW w:w="3100" w:type="dxa"/>
            <w:noWrap/>
            <w:vAlign w:val="center"/>
            <w:hideMark/>
          </w:tcPr>
          <w:p w:rsidR="00E33798" w:rsidRPr="00E33798" w:rsidRDefault="00E33798" w:rsidP="00E33798">
            <w:pPr>
              <w:autoSpaceDE/>
              <w:autoSpaceDN/>
              <w:spacing w:line="360" w:lineRule="auto"/>
              <w:ind w:firstLineChars="200" w:firstLine="482"/>
              <w:rPr>
                <w:rFonts w:asciiTheme="minorEastAsia" w:hAnsiTheme="minorEastAsia"/>
                <w:b/>
                <w:bCs/>
                <w:sz w:val="24"/>
                <w:szCs w:val="24"/>
              </w:rPr>
            </w:pPr>
            <w:r w:rsidRPr="00E33798">
              <w:rPr>
                <w:rFonts w:asciiTheme="minorEastAsia" w:hAnsiTheme="minorEastAsia" w:hint="eastAsia"/>
                <w:b/>
                <w:bCs/>
                <w:sz w:val="24"/>
                <w:szCs w:val="24"/>
              </w:rPr>
              <w:t>基金合同条款</w:t>
            </w:r>
          </w:p>
        </w:tc>
        <w:tc>
          <w:tcPr>
            <w:tcW w:w="3100" w:type="dxa"/>
            <w:noWrap/>
            <w:vAlign w:val="center"/>
            <w:hideMark/>
          </w:tcPr>
          <w:p w:rsidR="00E33798" w:rsidRPr="00E33798" w:rsidRDefault="00E33798" w:rsidP="00E33798">
            <w:pPr>
              <w:autoSpaceDE/>
              <w:autoSpaceDN/>
              <w:spacing w:line="360" w:lineRule="auto"/>
              <w:ind w:firstLineChars="200" w:firstLine="482"/>
              <w:rPr>
                <w:rFonts w:asciiTheme="minorEastAsia" w:hAnsiTheme="minorEastAsia"/>
                <w:b/>
                <w:bCs/>
                <w:sz w:val="24"/>
                <w:szCs w:val="24"/>
              </w:rPr>
            </w:pPr>
            <w:r w:rsidRPr="00E33798">
              <w:rPr>
                <w:rFonts w:asciiTheme="minorEastAsia" w:hAnsiTheme="minorEastAsia" w:hint="eastAsia"/>
                <w:b/>
                <w:bCs/>
                <w:sz w:val="24"/>
                <w:szCs w:val="24"/>
              </w:rPr>
              <w:t>修改前基金合同</w:t>
            </w:r>
          </w:p>
        </w:tc>
        <w:tc>
          <w:tcPr>
            <w:tcW w:w="3100" w:type="dxa"/>
            <w:noWrap/>
            <w:vAlign w:val="center"/>
            <w:hideMark/>
          </w:tcPr>
          <w:p w:rsidR="00E33798" w:rsidRPr="00E33798" w:rsidRDefault="00E33798" w:rsidP="00E33798">
            <w:pPr>
              <w:autoSpaceDE/>
              <w:autoSpaceDN/>
              <w:spacing w:line="360" w:lineRule="auto"/>
              <w:ind w:firstLineChars="200" w:firstLine="482"/>
              <w:rPr>
                <w:rFonts w:asciiTheme="minorEastAsia" w:hAnsiTheme="minorEastAsia"/>
                <w:b/>
                <w:bCs/>
                <w:sz w:val="24"/>
                <w:szCs w:val="24"/>
              </w:rPr>
            </w:pPr>
            <w:r w:rsidRPr="00E33798">
              <w:rPr>
                <w:rFonts w:asciiTheme="minorEastAsia" w:hAnsiTheme="minorEastAsia" w:hint="eastAsia"/>
                <w:b/>
                <w:bCs/>
                <w:sz w:val="24"/>
                <w:szCs w:val="24"/>
              </w:rPr>
              <w:t>修改后基金合同</w:t>
            </w:r>
          </w:p>
        </w:tc>
      </w:tr>
      <w:tr w:rsidR="00E33798" w:rsidRPr="00E33798" w:rsidTr="00B32C39">
        <w:trPr>
          <w:trHeight w:val="268"/>
        </w:trPr>
        <w:tc>
          <w:tcPr>
            <w:tcW w:w="3100" w:type="dxa"/>
            <w:hideMark/>
          </w:tcPr>
          <w:p w:rsidR="00E33798" w:rsidRPr="00E33798" w:rsidRDefault="00E33798" w:rsidP="00E33798">
            <w:pPr>
              <w:autoSpaceDE/>
              <w:autoSpaceDN/>
              <w:spacing w:line="360" w:lineRule="auto"/>
              <w:ind w:firstLineChars="200" w:firstLine="482"/>
              <w:rPr>
                <w:rFonts w:asciiTheme="minorEastAsia" w:hAnsiTheme="minorEastAsia"/>
                <w:b/>
                <w:bCs/>
                <w:sz w:val="24"/>
                <w:szCs w:val="24"/>
                <w:lang w:eastAsia="zh-CN"/>
              </w:rPr>
            </w:pPr>
            <w:r w:rsidRPr="00E33798">
              <w:rPr>
                <w:rFonts w:asciiTheme="minorEastAsia" w:hAnsiTheme="minorEastAsia" w:hint="eastAsia"/>
                <w:b/>
                <w:bCs/>
                <w:sz w:val="24"/>
                <w:szCs w:val="24"/>
                <w:lang w:eastAsia="zh-CN"/>
              </w:rPr>
              <w:t>第七部分</w:t>
            </w:r>
            <w:r w:rsidRPr="00E33798">
              <w:rPr>
                <w:rFonts w:asciiTheme="minorEastAsia" w:hAnsiTheme="minorEastAsia"/>
                <w:b/>
                <w:bCs/>
                <w:sz w:val="24"/>
                <w:szCs w:val="24"/>
                <w:lang w:eastAsia="zh-CN"/>
              </w:rPr>
              <w:t xml:space="preserve"> 基金份额的申购与赎回</w:t>
            </w:r>
          </w:p>
        </w:tc>
        <w:tc>
          <w:tcPr>
            <w:tcW w:w="3100" w:type="dxa"/>
            <w:noWrap/>
            <w:hideMark/>
          </w:tcPr>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六、申购和赎回的价格、费用及其用途</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1、本基金各类基金份额净值的计算，均保留到小数点后3位，小数点后第4位四舍五入，由此产生的收益或损失由基金财产承担。T日的各类基金份额净值在当天收市后计算，并根据《基金合同》的约定公告。遇特殊情况，经中国证监会同意，可以适当延迟计算或公告。</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p>
        </w:tc>
        <w:tc>
          <w:tcPr>
            <w:tcW w:w="3100" w:type="dxa"/>
            <w:hideMark/>
          </w:tcPr>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六、申购和赎回的价格、费用及其用途</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1、本基金各类基金份额净值的计算，均保留到小数点后</w:t>
            </w:r>
            <w:r w:rsidRPr="00E33798">
              <w:rPr>
                <w:rFonts w:asciiTheme="minorEastAsia" w:hAnsiTheme="minorEastAsia" w:hint="eastAsia"/>
                <w:b/>
                <w:sz w:val="24"/>
                <w:szCs w:val="24"/>
                <w:lang w:eastAsia="zh-CN"/>
              </w:rPr>
              <w:t>4</w:t>
            </w:r>
            <w:r w:rsidRPr="00E33798">
              <w:rPr>
                <w:rFonts w:asciiTheme="minorEastAsia" w:hAnsiTheme="minorEastAsia" w:hint="eastAsia"/>
                <w:bCs/>
                <w:sz w:val="24"/>
                <w:szCs w:val="24"/>
                <w:lang w:eastAsia="zh-CN"/>
              </w:rPr>
              <w:t>位，小数点后第</w:t>
            </w:r>
            <w:r w:rsidRPr="00E33798">
              <w:rPr>
                <w:rFonts w:asciiTheme="minorEastAsia" w:hAnsiTheme="minorEastAsia" w:hint="eastAsia"/>
                <w:b/>
                <w:sz w:val="24"/>
                <w:szCs w:val="24"/>
                <w:lang w:eastAsia="zh-CN"/>
              </w:rPr>
              <w:t>5</w:t>
            </w:r>
            <w:r w:rsidRPr="00E33798">
              <w:rPr>
                <w:rFonts w:asciiTheme="minorEastAsia" w:hAnsiTheme="minorEastAsia" w:hint="eastAsia"/>
                <w:bCs/>
                <w:sz w:val="24"/>
                <w:szCs w:val="24"/>
                <w:lang w:eastAsia="zh-CN"/>
              </w:rPr>
              <w:t>位四舍五入，由此产生的收益或损失由基金财产承担。T日的各类基金份额净值在当天收市后计算，并根据《基金合同》的约定公告。遇特殊情况，经中国证监会同意，可以适当延迟计算或公告。</w:t>
            </w:r>
          </w:p>
        </w:tc>
      </w:tr>
      <w:tr w:rsidR="00E33798" w:rsidRPr="00E33798" w:rsidTr="00B32C39">
        <w:trPr>
          <w:trHeight w:val="1620"/>
        </w:trPr>
        <w:tc>
          <w:tcPr>
            <w:tcW w:w="3100" w:type="dxa"/>
            <w:hideMark/>
          </w:tcPr>
          <w:p w:rsidR="00E33798" w:rsidRPr="00E33798" w:rsidRDefault="00E33798" w:rsidP="00E33798">
            <w:pPr>
              <w:autoSpaceDE/>
              <w:autoSpaceDN/>
              <w:spacing w:line="360" w:lineRule="auto"/>
              <w:ind w:firstLineChars="200" w:firstLine="482"/>
              <w:rPr>
                <w:rFonts w:asciiTheme="minorEastAsia" w:hAnsiTheme="minorEastAsia"/>
                <w:b/>
                <w:bCs/>
                <w:sz w:val="24"/>
                <w:szCs w:val="24"/>
                <w:lang w:eastAsia="zh-CN"/>
              </w:rPr>
            </w:pPr>
            <w:r w:rsidRPr="00E33798">
              <w:rPr>
                <w:rFonts w:asciiTheme="minorEastAsia" w:hAnsiTheme="minorEastAsia" w:hint="eastAsia"/>
                <w:b/>
                <w:bCs/>
                <w:sz w:val="24"/>
                <w:szCs w:val="24"/>
                <w:lang w:eastAsia="zh-CN"/>
              </w:rPr>
              <w:t>第十五部分</w:t>
            </w:r>
            <w:r w:rsidRPr="00E33798">
              <w:rPr>
                <w:rFonts w:asciiTheme="minorEastAsia" w:hAnsiTheme="minorEastAsia"/>
                <w:b/>
                <w:bCs/>
                <w:sz w:val="24"/>
                <w:szCs w:val="24"/>
                <w:lang w:eastAsia="zh-CN"/>
              </w:rPr>
              <w:t xml:space="preserve"> 基金资产估值</w:t>
            </w:r>
          </w:p>
        </w:tc>
        <w:tc>
          <w:tcPr>
            <w:tcW w:w="3100" w:type="dxa"/>
            <w:noWrap/>
          </w:tcPr>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四、估值程序</w:t>
            </w:r>
          </w:p>
          <w:p w:rsidR="00E33798" w:rsidRPr="00E33798" w:rsidRDefault="00E33798" w:rsidP="00E33798">
            <w:pPr>
              <w:autoSpaceDE/>
              <w:autoSpaceDN/>
              <w:spacing w:line="360" w:lineRule="auto"/>
              <w:ind w:firstLineChars="200" w:firstLine="480"/>
              <w:rPr>
                <w:rFonts w:asciiTheme="minorEastAsia" w:hAnsiTheme="minorEastAsia"/>
                <w:sz w:val="24"/>
                <w:szCs w:val="24"/>
                <w:lang w:eastAsia="zh-CN"/>
              </w:rPr>
            </w:pPr>
            <w:r w:rsidRPr="00E33798">
              <w:rPr>
                <w:rFonts w:asciiTheme="minorEastAsia" w:hAnsiTheme="minorEastAsia" w:hint="eastAsia"/>
                <w:sz w:val="24"/>
                <w:szCs w:val="24"/>
                <w:lang w:eastAsia="zh-CN"/>
              </w:rPr>
              <w:t>1、各类基金份额净值是按照每个工作日闭市后，该类基金资产净值除以当日该类基金份额的余额数量计算，各类基金份额净值均精确到0.001元，小数点后第4位四舍五入。基金管理人可以设立大额赎回情形下的净值精度应急调整机制。国家另有规定的，从其规定。本基金 A 类基金份额和 C 类基金份额将分别计算基金份额净值。</w:t>
            </w:r>
          </w:p>
        </w:tc>
        <w:tc>
          <w:tcPr>
            <w:tcW w:w="3100" w:type="dxa"/>
          </w:tcPr>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四、估值程序</w:t>
            </w:r>
          </w:p>
          <w:p w:rsidR="00E33798" w:rsidRPr="00E33798" w:rsidRDefault="00E33798" w:rsidP="00E33798">
            <w:pPr>
              <w:autoSpaceDE/>
              <w:autoSpaceDN/>
              <w:spacing w:line="360" w:lineRule="auto"/>
              <w:ind w:firstLineChars="200" w:firstLine="480"/>
              <w:rPr>
                <w:rFonts w:asciiTheme="minorEastAsia" w:hAnsiTheme="minorEastAsia"/>
                <w:sz w:val="24"/>
                <w:szCs w:val="24"/>
                <w:lang w:eastAsia="zh-CN"/>
              </w:rPr>
            </w:pPr>
            <w:r w:rsidRPr="00E33798">
              <w:rPr>
                <w:rFonts w:asciiTheme="minorEastAsia" w:hAnsiTheme="minorEastAsia" w:hint="eastAsia"/>
                <w:sz w:val="24"/>
                <w:szCs w:val="24"/>
                <w:lang w:eastAsia="zh-CN"/>
              </w:rPr>
              <w:t>1、各类基金份额净值是按照每个工作日闭市后，该类基金资产净值除以当日该类基金份额的余额数量计算，各类基金份额净值均精确到</w:t>
            </w:r>
            <w:r w:rsidRPr="00E33798">
              <w:rPr>
                <w:rFonts w:asciiTheme="minorEastAsia" w:hAnsiTheme="minorEastAsia" w:hint="eastAsia"/>
                <w:b/>
                <w:bCs/>
                <w:sz w:val="24"/>
                <w:szCs w:val="24"/>
                <w:lang w:eastAsia="zh-CN"/>
              </w:rPr>
              <w:t>0.0001</w:t>
            </w:r>
            <w:r w:rsidRPr="00E33798">
              <w:rPr>
                <w:rFonts w:asciiTheme="minorEastAsia" w:hAnsiTheme="minorEastAsia" w:hint="eastAsia"/>
                <w:sz w:val="24"/>
                <w:szCs w:val="24"/>
                <w:lang w:eastAsia="zh-CN"/>
              </w:rPr>
              <w:t>元，小数点后第</w:t>
            </w:r>
            <w:r w:rsidRPr="00E33798">
              <w:rPr>
                <w:rFonts w:asciiTheme="minorEastAsia" w:hAnsiTheme="minorEastAsia" w:hint="eastAsia"/>
                <w:b/>
                <w:bCs/>
                <w:sz w:val="24"/>
                <w:szCs w:val="24"/>
                <w:lang w:eastAsia="zh-CN"/>
              </w:rPr>
              <w:t>5</w:t>
            </w:r>
            <w:r w:rsidRPr="00E33798">
              <w:rPr>
                <w:rFonts w:asciiTheme="minorEastAsia" w:hAnsiTheme="minorEastAsia" w:hint="eastAsia"/>
                <w:sz w:val="24"/>
                <w:szCs w:val="24"/>
                <w:lang w:eastAsia="zh-CN"/>
              </w:rPr>
              <w:t>位四舍五入。基金管理人可以设立大额赎回情形下的净值精度应急调整机制。国家另有规定的，从其规定。本基金 A 类基金份额和 C 类基金份额将分别计算基金份额净值。</w:t>
            </w:r>
          </w:p>
        </w:tc>
      </w:tr>
      <w:tr w:rsidR="00E33798" w:rsidRPr="00E33798" w:rsidTr="00B32C39">
        <w:trPr>
          <w:trHeight w:val="810"/>
        </w:trPr>
        <w:tc>
          <w:tcPr>
            <w:tcW w:w="3100" w:type="dxa"/>
            <w:hideMark/>
          </w:tcPr>
          <w:p w:rsidR="00E33798" w:rsidRPr="00E33798" w:rsidRDefault="00E33798" w:rsidP="00E33798">
            <w:pPr>
              <w:autoSpaceDE/>
              <w:autoSpaceDN/>
              <w:spacing w:line="360" w:lineRule="auto"/>
              <w:ind w:firstLineChars="200" w:firstLine="482"/>
              <w:rPr>
                <w:rFonts w:asciiTheme="minorEastAsia" w:hAnsiTheme="minorEastAsia"/>
                <w:b/>
                <w:bCs/>
                <w:sz w:val="24"/>
                <w:szCs w:val="24"/>
                <w:lang w:eastAsia="zh-CN"/>
              </w:rPr>
            </w:pPr>
            <w:r w:rsidRPr="00E33798">
              <w:rPr>
                <w:rFonts w:asciiTheme="minorEastAsia" w:hAnsiTheme="minorEastAsia" w:hint="eastAsia"/>
                <w:b/>
                <w:bCs/>
                <w:sz w:val="24"/>
                <w:szCs w:val="24"/>
                <w:lang w:eastAsia="zh-CN"/>
              </w:rPr>
              <w:t>第十五部分</w:t>
            </w:r>
            <w:r w:rsidRPr="00E33798">
              <w:rPr>
                <w:rFonts w:asciiTheme="minorEastAsia" w:hAnsiTheme="minorEastAsia"/>
                <w:b/>
                <w:bCs/>
                <w:sz w:val="24"/>
                <w:szCs w:val="24"/>
                <w:lang w:eastAsia="zh-CN"/>
              </w:rPr>
              <w:t xml:space="preserve"> 基金资产估值</w:t>
            </w:r>
          </w:p>
        </w:tc>
        <w:tc>
          <w:tcPr>
            <w:tcW w:w="3100" w:type="dxa"/>
            <w:noWrap/>
          </w:tcPr>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五、估值错误的处理</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基金管理人和基金托管人将采取必要、适当、合理的措施确保基金资产估值的准确性、及时性。当任一类基金份额净值小数点后3位以内(含第3位)发生估值错误时，视为该类基金份额净值错误。</w:t>
            </w:r>
          </w:p>
          <w:p w:rsidR="00E33798" w:rsidRPr="00E33798" w:rsidRDefault="00E33798" w:rsidP="00E33798">
            <w:pPr>
              <w:autoSpaceDE/>
              <w:autoSpaceDN/>
              <w:spacing w:line="360" w:lineRule="auto"/>
              <w:ind w:firstLineChars="200" w:firstLine="482"/>
              <w:rPr>
                <w:rFonts w:asciiTheme="minorEastAsia" w:hAnsiTheme="minorEastAsia"/>
                <w:bCs/>
                <w:sz w:val="24"/>
                <w:szCs w:val="24"/>
              </w:rPr>
            </w:pPr>
            <w:r w:rsidRPr="00E33798">
              <w:rPr>
                <w:rFonts w:asciiTheme="minorEastAsia" w:hAnsiTheme="minorEastAsia"/>
                <w:b/>
                <w:bCs/>
                <w:sz w:val="24"/>
                <w:szCs w:val="24"/>
              </w:rPr>
              <w:t>……</w:t>
            </w:r>
          </w:p>
        </w:tc>
        <w:tc>
          <w:tcPr>
            <w:tcW w:w="3100" w:type="dxa"/>
          </w:tcPr>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五、估值错误的处理</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基金管理人和基金托管人将采取必要、适当、合理的措施确保基金资产估值的准确性、及时性。当任一类基金份额净值小数点后</w:t>
            </w:r>
            <w:r w:rsidRPr="00E33798">
              <w:rPr>
                <w:rFonts w:asciiTheme="minorEastAsia" w:hAnsiTheme="minorEastAsia"/>
                <w:b/>
                <w:sz w:val="24"/>
                <w:szCs w:val="24"/>
                <w:lang w:eastAsia="zh-CN"/>
              </w:rPr>
              <w:t>4</w:t>
            </w:r>
            <w:r w:rsidRPr="00E33798">
              <w:rPr>
                <w:rFonts w:asciiTheme="minorEastAsia" w:hAnsiTheme="minorEastAsia"/>
                <w:bCs/>
                <w:sz w:val="24"/>
                <w:szCs w:val="24"/>
                <w:lang w:eastAsia="zh-CN"/>
              </w:rPr>
              <w:t>位以内</w:t>
            </w:r>
            <w:r w:rsidRPr="00E33798">
              <w:rPr>
                <w:rFonts w:asciiTheme="minorEastAsia" w:hAnsiTheme="minorEastAsia" w:hint="eastAsia"/>
                <w:bCs/>
                <w:sz w:val="24"/>
                <w:szCs w:val="24"/>
                <w:lang w:eastAsia="zh-CN"/>
              </w:rPr>
              <w:t>(含第</w:t>
            </w:r>
            <w:r w:rsidRPr="00E33798">
              <w:rPr>
                <w:rFonts w:asciiTheme="minorEastAsia" w:hAnsiTheme="minorEastAsia" w:hint="eastAsia"/>
                <w:b/>
                <w:sz w:val="24"/>
                <w:szCs w:val="24"/>
                <w:lang w:eastAsia="zh-CN"/>
              </w:rPr>
              <w:t>4</w:t>
            </w:r>
            <w:r w:rsidRPr="00E33798">
              <w:rPr>
                <w:rFonts w:asciiTheme="minorEastAsia" w:hAnsiTheme="minorEastAsia" w:hint="eastAsia"/>
                <w:bCs/>
                <w:sz w:val="24"/>
                <w:szCs w:val="24"/>
                <w:lang w:eastAsia="zh-CN"/>
              </w:rPr>
              <w:t>位)</w:t>
            </w:r>
            <w:r w:rsidRPr="00E33798">
              <w:rPr>
                <w:rFonts w:asciiTheme="minorEastAsia" w:hAnsiTheme="minorEastAsia"/>
                <w:bCs/>
                <w:sz w:val="24"/>
                <w:szCs w:val="24"/>
                <w:lang w:eastAsia="zh-CN"/>
              </w:rPr>
              <w:t>发生估值错误时，视为</w:t>
            </w:r>
            <w:r w:rsidRPr="00E33798">
              <w:rPr>
                <w:rFonts w:asciiTheme="minorEastAsia" w:hAnsiTheme="minorEastAsia" w:hint="eastAsia"/>
                <w:bCs/>
                <w:sz w:val="24"/>
                <w:szCs w:val="24"/>
                <w:lang w:eastAsia="zh-CN"/>
              </w:rPr>
              <w:t>该类</w:t>
            </w:r>
            <w:r w:rsidRPr="00E33798">
              <w:rPr>
                <w:rFonts w:asciiTheme="minorEastAsia" w:hAnsiTheme="minorEastAsia"/>
                <w:bCs/>
                <w:sz w:val="24"/>
                <w:szCs w:val="24"/>
                <w:lang w:eastAsia="zh-CN"/>
              </w:rPr>
              <w:t>基金份额净值错误。</w:t>
            </w:r>
          </w:p>
          <w:p w:rsidR="00E33798" w:rsidRPr="00E33798" w:rsidRDefault="00E33798" w:rsidP="00E33798">
            <w:pPr>
              <w:autoSpaceDE/>
              <w:autoSpaceDN/>
              <w:spacing w:line="360" w:lineRule="auto"/>
              <w:ind w:firstLineChars="200" w:firstLine="482"/>
              <w:rPr>
                <w:rFonts w:asciiTheme="minorEastAsia" w:hAnsiTheme="minorEastAsia"/>
                <w:bCs/>
                <w:sz w:val="24"/>
                <w:szCs w:val="24"/>
              </w:rPr>
            </w:pPr>
            <w:r w:rsidRPr="00E33798">
              <w:rPr>
                <w:rFonts w:asciiTheme="minorEastAsia" w:hAnsiTheme="minorEastAsia"/>
                <w:b/>
                <w:bCs/>
                <w:sz w:val="24"/>
                <w:szCs w:val="24"/>
              </w:rPr>
              <w:t>……</w:t>
            </w:r>
          </w:p>
        </w:tc>
      </w:tr>
    </w:tbl>
    <w:p w:rsidR="00E33798" w:rsidRPr="00E33798" w:rsidRDefault="00E33798" w:rsidP="00E33798">
      <w:pPr>
        <w:spacing w:line="360" w:lineRule="auto"/>
        <w:ind w:firstLineChars="200" w:firstLine="480"/>
        <w:rPr>
          <w:rFonts w:asciiTheme="minorEastAsia" w:hAnsiTheme="minorEastAsia"/>
          <w:bCs/>
          <w:sz w:val="24"/>
          <w:szCs w:val="24"/>
        </w:rPr>
      </w:pPr>
    </w:p>
    <w:p w:rsidR="00E33798" w:rsidRPr="00E33798" w:rsidRDefault="00E33798" w:rsidP="00E33798">
      <w:pPr>
        <w:spacing w:line="360" w:lineRule="auto"/>
        <w:ind w:firstLineChars="200" w:firstLine="480"/>
        <w:rPr>
          <w:rFonts w:asciiTheme="minorEastAsia" w:hAnsiTheme="minorEastAsia"/>
          <w:b/>
          <w:bCs/>
          <w:sz w:val="24"/>
          <w:szCs w:val="24"/>
        </w:rPr>
      </w:pPr>
      <w:r w:rsidRPr="00E33798">
        <w:rPr>
          <w:rFonts w:asciiTheme="minorEastAsia" w:hAnsiTheme="minorEastAsia" w:hint="eastAsia"/>
          <w:bCs/>
          <w:sz w:val="24"/>
          <w:szCs w:val="24"/>
        </w:rPr>
        <w:t>3.更新基金管理人相关信息</w:t>
      </w:r>
    </w:p>
    <w:tbl>
      <w:tblPr>
        <w:tblStyle w:val="aa"/>
        <w:tblW w:w="9300" w:type="dxa"/>
        <w:tblLayout w:type="fixed"/>
        <w:tblLook w:val="04A0"/>
      </w:tblPr>
      <w:tblGrid>
        <w:gridCol w:w="3100"/>
        <w:gridCol w:w="3100"/>
        <w:gridCol w:w="3100"/>
      </w:tblGrid>
      <w:tr w:rsidR="00E33798" w:rsidRPr="00E33798" w:rsidTr="00B32C39">
        <w:trPr>
          <w:trHeight w:val="280"/>
        </w:trPr>
        <w:tc>
          <w:tcPr>
            <w:tcW w:w="3100" w:type="dxa"/>
            <w:noWrap/>
            <w:vAlign w:val="center"/>
            <w:hideMark/>
          </w:tcPr>
          <w:p w:rsidR="00E33798" w:rsidRPr="00E33798" w:rsidRDefault="00E33798" w:rsidP="00E33798">
            <w:pPr>
              <w:autoSpaceDE/>
              <w:autoSpaceDN/>
              <w:spacing w:line="360" w:lineRule="auto"/>
              <w:ind w:firstLineChars="200" w:firstLine="482"/>
              <w:rPr>
                <w:rFonts w:asciiTheme="minorEastAsia" w:hAnsiTheme="minorEastAsia"/>
                <w:b/>
                <w:bCs/>
                <w:sz w:val="24"/>
                <w:szCs w:val="24"/>
              </w:rPr>
            </w:pPr>
            <w:r w:rsidRPr="00E33798">
              <w:rPr>
                <w:rFonts w:asciiTheme="minorEastAsia" w:hAnsiTheme="minorEastAsia" w:hint="eastAsia"/>
                <w:b/>
                <w:bCs/>
                <w:sz w:val="24"/>
                <w:szCs w:val="24"/>
              </w:rPr>
              <w:t>基金合同条款</w:t>
            </w:r>
          </w:p>
        </w:tc>
        <w:tc>
          <w:tcPr>
            <w:tcW w:w="3100" w:type="dxa"/>
            <w:noWrap/>
            <w:vAlign w:val="center"/>
            <w:hideMark/>
          </w:tcPr>
          <w:p w:rsidR="00E33798" w:rsidRPr="00E33798" w:rsidRDefault="00E33798" w:rsidP="00E33798">
            <w:pPr>
              <w:autoSpaceDE/>
              <w:autoSpaceDN/>
              <w:spacing w:line="360" w:lineRule="auto"/>
              <w:ind w:firstLineChars="200" w:firstLine="482"/>
              <w:rPr>
                <w:rFonts w:asciiTheme="minorEastAsia" w:hAnsiTheme="minorEastAsia"/>
                <w:b/>
                <w:bCs/>
                <w:sz w:val="24"/>
                <w:szCs w:val="24"/>
              </w:rPr>
            </w:pPr>
            <w:r w:rsidRPr="00E33798">
              <w:rPr>
                <w:rFonts w:asciiTheme="minorEastAsia" w:hAnsiTheme="minorEastAsia" w:hint="eastAsia"/>
                <w:b/>
                <w:bCs/>
                <w:sz w:val="24"/>
                <w:szCs w:val="24"/>
              </w:rPr>
              <w:t>修改前基金合同</w:t>
            </w:r>
          </w:p>
        </w:tc>
        <w:tc>
          <w:tcPr>
            <w:tcW w:w="3100" w:type="dxa"/>
            <w:noWrap/>
            <w:vAlign w:val="center"/>
            <w:hideMark/>
          </w:tcPr>
          <w:p w:rsidR="00E33798" w:rsidRPr="00E33798" w:rsidRDefault="00E33798" w:rsidP="00E33798">
            <w:pPr>
              <w:autoSpaceDE/>
              <w:autoSpaceDN/>
              <w:spacing w:line="360" w:lineRule="auto"/>
              <w:ind w:firstLineChars="200" w:firstLine="482"/>
              <w:rPr>
                <w:rFonts w:asciiTheme="minorEastAsia" w:hAnsiTheme="minorEastAsia"/>
                <w:b/>
                <w:bCs/>
                <w:sz w:val="24"/>
                <w:szCs w:val="24"/>
              </w:rPr>
            </w:pPr>
            <w:r w:rsidRPr="00E33798">
              <w:rPr>
                <w:rFonts w:asciiTheme="minorEastAsia" w:hAnsiTheme="minorEastAsia" w:hint="eastAsia"/>
                <w:b/>
                <w:bCs/>
                <w:sz w:val="24"/>
                <w:szCs w:val="24"/>
              </w:rPr>
              <w:t>修改后基金合同</w:t>
            </w:r>
          </w:p>
        </w:tc>
      </w:tr>
      <w:tr w:rsidR="00E33798" w:rsidRPr="00E33798" w:rsidTr="00B32C39">
        <w:trPr>
          <w:trHeight w:val="268"/>
        </w:trPr>
        <w:tc>
          <w:tcPr>
            <w:tcW w:w="3100" w:type="dxa"/>
          </w:tcPr>
          <w:p w:rsidR="00E33798" w:rsidRPr="00E33798" w:rsidRDefault="00E33798" w:rsidP="00E33798">
            <w:pPr>
              <w:autoSpaceDE/>
              <w:autoSpaceDN/>
              <w:spacing w:line="360" w:lineRule="auto"/>
              <w:ind w:firstLineChars="200" w:firstLine="482"/>
              <w:rPr>
                <w:rFonts w:asciiTheme="minorEastAsia" w:hAnsiTheme="minorEastAsia"/>
                <w:b/>
                <w:bCs/>
                <w:sz w:val="24"/>
                <w:szCs w:val="24"/>
                <w:lang w:eastAsia="zh-CN"/>
              </w:rPr>
            </w:pPr>
            <w:r w:rsidRPr="00E33798">
              <w:rPr>
                <w:rFonts w:asciiTheme="minorEastAsia" w:hAnsiTheme="minorEastAsia" w:hint="eastAsia"/>
                <w:b/>
                <w:bCs/>
                <w:sz w:val="24"/>
                <w:szCs w:val="24"/>
                <w:lang w:eastAsia="zh-CN"/>
              </w:rPr>
              <w:t>第八部分</w:t>
            </w:r>
            <w:r w:rsidRPr="00E33798">
              <w:rPr>
                <w:rFonts w:asciiTheme="minorEastAsia" w:hAnsiTheme="minorEastAsia"/>
                <w:b/>
                <w:bCs/>
                <w:sz w:val="24"/>
                <w:szCs w:val="24"/>
                <w:lang w:eastAsia="zh-CN"/>
              </w:rPr>
              <w:t xml:space="preserve">  </w:t>
            </w:r>
            <w:r w:rsidRPr="00E33798">
              <w:rPr>
                <w:rFonts w:asciiTheme="minorEastAsia" w:hAnsiTheme="minorEastAsia" w:hint="eastAsia"/>
                <w:b/>
                <w:bCs/>
                <w:sz w:val="24"/>
                <w:szCs w:val="24"/>
                <w:lang w:eastAsia="zh-CN"/>
              </w:rPr>
              <w:t>基金合同当事人及权利义务</w:t>
            </w:r>
          </w:p>
        </w:tc>
        <w:tc>
          <w:tcPr>
            <w:tcW w:w="3100" w:type="dxa"/>
            <w:noWrap/>
          </w:tcPr>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一、基金管理人</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（一）基金管理人简况</w:t>
            </w:r>
          </w:p>
          <w:p w:rsidR="00E33798" w:rsidRPr="00E33798" w:rsidRDefault="00E33798" w:rsidP="00E33798">
            <w:pPr>
              <w:autoSpaceDE/>
              <w:autoSpaceDN/>
              <w:spacing w:line="360" w:lineRule="auto"/>
              <w:ind w:firstLineChars="200" w:firstLine="480"/>
              <w:rPr>
                <w:rFonts w:asciiTheme="minorEastAsia" w:hAnsiTheme="minorEastAsia"/>
                <w:sz w:val="24"/>
                <w:szCs w:val="24"/>
                <w:lang w:eastAsia="zh-CN"/>
              </w:rPr>
            </w:pPr>
            <w:r w:rsidRPr="00E33798">
              <w:rPr>
                <w:rFonts w:asciiTheme="minorEastAsia" w:hAnsiTheme="minorEastAsia" w:hint="eastAsia"/>
                <w:sz w:val="24"/>
                <w:szCs w:val="24"/>
                <w:lang w:eastAsia="zh-CN"/>
              </w:rPr>
              <w:t>法定代表人：王鸿嫔</w:t>
            </w:r>
          </w:p>
          <w:p w:rsidR="00E33798" w:rsidRPr="00E33798" w:rsidRDefault="00E33798" w:rsidP="00E33798">
            <w:pPr>
              <w:autoSpaceDE/>
              <w:autoSpaceDN/>
              <w:spacing w:line="360" w:lineRule="auto"/>
              <w:ind w:firstLineChars="200" w:firstLine="480"/>
              <w:rPr>
                <w:rFonts w:asciiTheme="minorEastAsia" w:hAnsiTheme="minorEastAsia"/>
                <w:sz w:val="24"/>
                <w:szCs w:val="24"/>
                <w:lang w:eastAsia="zh-CN"/>
              </w:rPr>
            </w:pPr>
            <w:r w:rsidRPr="00E33798">
              <w:rPr>
                <w:rFonts w:asciiTheme="minorEastAsia" w:hAnsiTheme="minorEastAsia" w:hint="eastAsia"/>
                <w:sz w:val="24"/>
                <w:szCs w:val="24"/>
                <w:lang w:eastAsia="zh-CN"/>
              </w:rPr>
              <w:t>注册资本：25,000万元人民币</w:t>
            </w:r>
          </w:p>
        </w:tc>
        <w:tc>
          <w:tcPr>
            <w:tcW w:w="3100" w:type="dxa"/>
          </w:tcPr>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一、基金管理人</w:t>
            </w:r>
          </w:p>
          <w:p w:rsidR="00E33798" w:rsidRPr="00E33798" w:rsidRDefault="00E33798" w:rsidP="00E33798">
            <w:pPr>
              <w:autoSpaceDE/>
              <w:autoSpaceDN/>
              <w:spacing w:line="360" w:lineRule="auto"/>
              <w:ind w:firstLineChars="200" w:firstLine="480"/>
              <w:rPr>
                <w:rFonts w:asciiTheme="minorEastAsia" w:hAnsiTheme="minorEastAsia"/>
                <w:bCs/>
                <w:sz w:val="24"/>
                <w:szCs w:val="24"/>
                <w:lang w:eastAsia="zh-CN"/>
              </w:rPr>
            </w:pPr>
            <w:r w:rsidRPr="00E33798">
              <w:rPr>
                <w:rFonts w:asciiTheme="minorEastAsia" w:hAnsiTheme="minorEastAsia" w:hint="eastAsia"/>
                <w:bCs/>
                <w:sz w:val="24"/>
                <w:szCs w:val="24"/>
                <w:lang w:eastAsia="zh-CN"/>
              </w:rPr>
              <w:t>（一）基金管理人简况</w:t>
            </w:r>
          </w:p>
          <w:p w:rsidR="00E33798" w:rsidRPr="00E33798" w:rsidRDefault="00E33798" w:rsidP="00E33798">
            <w:pPr>
              <w:autoSpaceDE/>
              <w:autoSpaceDN/>
              <w:spacing w:line="360" w:lineRule="auto"/>
              <w:ind w:firstLineChars="200" w:firstLine="480"/>
              <w:rPr>
                <w:rFonts w:asciiTheme="minorEastAsia" w:hAnsiTheme="minorEastAsia"/>
                <w:bCs/>
                <w:sz w:val="24"/>
                <w:szCs w:val="24"/>
              </w:rPr>
            </w:pPr>
            <w:r w:rsidRPr="00E33798">
              <w:rPr>
                <w:rFonts w:asciiTheme="minorEastAsia" w:hAnsiTheme="minorEastAsia" w:hint="eastAsia"/>
                <w:bCs/>
                <w:sz w:val="24"/>
                <w:szCs w:val="24"/>
              </w:rPr>
              <w:t>法定代表人：</w:t>
            </w:r>
            <w:bookmarkStart w:id="0" w:name="_Hlk202786884"/>
            <w:r w:rsidRPr="00E33798">
              <w:rPr>
                <w:rFonts w:asciiTheme="minorEastAsia" w:hAnsiTheme="minorEastAsia" w:hint="eastAsia"/>
                <w:b/>
                <w:sz w:val="24"/>
                <w:szCs w:val="24"/>
              </w:rPr>
              <w:t>ZHOU WENTONG（周文秱）</w:t>
            </w:r>
            <w:bookmarkEnd w:id="0"/>
          </w:p>
          <w:p w:rsidR="00E33798" w:rsidRPr="00E33798" w:rsidRDefault="00E33798" w:rsidP="00E33798">
            <w:pPr>
              <w:autoSpaceDE/>
              <w:autoSpaceDN/>
              <w:spacing w:line="360" w:lineRule="auto"/>
              <w:ind w:firstLineChars="200" w:firstLine="482"/>
              <w:rPr>
                <w:rFonts w:asciiTheme="minorEastAsia" w:hAnsiTheme="minorEastAsia"/>
                <w:b/>
                <w:bCs/>
                <w:sz w:val="24"/>
                <w:szCs w:val="24"/>
                <w:lang w:eastAsia="zh-CN"/>
              </w:rPr>
            </w:pPr>
            <w:r w:rsidRPr="00E33798">
              <w:rPr>
                <w:rFonts w:asciiTheme="minorEastAsia" w:hAnsiTheme="minorEastAsia" w:hint="eastAsia"/>
                <w:b/>
                <w:bCs/>
                <w:sz w:val="24"/>
                <w:szCs w:val="24"/>
                <w:lang w:eastAsia="zh-CN"/>
              </w:rPr>
              <w:t>注册资本：95,000万元人民币</w:t>
            </w:r>
          </w:p>
        </w:tc>
      </w:tr>
    </w:tbl>
    <w:p w:rsidR="00E33798" w:rsidRPr="00E33798" w:rsidRDefault="00E33798" w:rsidP="00E33798">
      <w:pPr>
        <w:spacing w:line="360" w:lineRule="auto"/>
        <w:ind w:firstLineChars="200" w:firstLine="482"/>
        <w:rPr>
          <w:rFonts w:asciiTheme="minorEastAsia" w:hAnsiTheme="minorEastAsia"/>
          <w:b/>
          <w:bCs/>
          <w:sz w:val="24"/>
          <w:szCs w:val="24"/>
        </w:rPr>
      </w:pPr>
    </w:p>
    <w:p w:rsidR="00564A74" w:rsidRDefault="00564A74" w:rsidP="00950698">
      <w:pPr>
        <w:spacing w:line="420" w:lineRule="exact"/>
        <w:ind w:firstLine="420"/>
        <w:rPr>
          <w:rFonts w:ascii="Times New Roman" w:eastAsia="宋体" w:hAnsi="Times New Roman" w:cs="Times New Roman"/>
          <w:color w:val="000000"/>
          <w:kern w:val="0"/>
          <w:sz w:val="24"/>
          <w:szCs w:val="24"/>
        </w:rPr>
      </w:pPr>
      <w:bookmarkStart w:id="1" w:name="_Hlk144972615"/>
    </w:p>
    <w:p w:rsidR="00E33798" w:rsidRDefault="00E33798" w:rsidP="00950698">
      <w:pPr>
        <w:spacing w:line="420" w:lineRule="exact"/>
        <w:ind w:firstLine="420"/>
        <w:rPr>
          <w:rFonts w:ascii="Times New Roman" w:eastAsia="宋体" w:hAnsi="Times New Roman" w:cs="Times New Roman"/>
          <w:color w:val="000000"/>
          <w:kern w:val="0"/>
          <w:sz w:val="24"/>
          <w:szCs w:val="24"/>
        </w:rPr>
      </w:pPr>
    </w:p>
    <w:p w:rsidR="00E33798" w:rsidRPr="00564A74" w:rsidRDefault="00E33798" w:rsidP="00950698">
      <w:pPr>
        <w:spacing w:line="420" w:lineRule="exact"/>
        <w:ind w:firstLine="420"/>
        <w:rPr>
          <w:rFonts w:ascii="Times New Roman" w:eastAsia="宋体" w:hAnsi="Times New Roman" w:cs="Times New Roman"/>
          <w:color w:val="000000"/>
          <w:kern w:val="0"/>
          <w:sz w:val="24"/>
          <w:szCs w:val="24"/>
        </w:rPr>
      </w:pPr>
    </w:p>
    <w:bookmarkEnd w:id="1"/>
    <w:p w:rsidR="006C48FD" w:rsidRPr="00E45541" w:rsidRDefault="00564A74" w:rsidP="00E30A70">
      <w:pPr>
        <w:pStyle w:val="Default"/>
        <w:spacing w:line="360" w:lineRule="auto"/>
        <w:ind w:firstLineChars="200" w:firstLine="482"/>
        <w:rPr>
          <w:rFonts w:asciiTheme="minorEastAsia" w:hAnsiTheme="minorEastAsia"/>
          <w:b/>
        </w:rPr>
      </w:pPr>
      <w:r>
        <w:rPr>
          <w:rFonts w:asciiTheme="minorEastAsia" w:hAnsiTheme="minorEastAsia" w:hint="eastAsia"/>
          <w:b/>
        </w:rPr>
        <w:t>四</w:t>
      </w:r>
      <w:r w:rsidR="006C48FD" w:rsidRPr="00E45541">
        <w:rPr>
          <w:rFonts w:asciiTheme="minorEastAsia" w:hAnsiTheme="minorEastAsia" w:hint="eastAsia"/>
          <w:b/>
        </w:rPr>
        <w:t>、备查文件</w:t>
      </w:r>
    </w:p>
    <w:p w:rsidR="006C48FD" w:rsidRPr="00E30A70" w:rsidRDefault="006C48FD" w:rsidP="00E30A70">
      <w:pPr>
        <w:spacing w:line="360" w:lineRule="auto"/>
        <w:ind w:firstLineChars="200" w:firstLine="480"/>
        <w:rPr>
          <w:rFonts w:asciiTheme="minorEastAsia" w:hAnsiTheme="minorEastAsia"/>
          <w:sz w:val="24"/>
          <w:szCs w:val="24"/>
        </w:rPr>
      </w:pPr>
      <w:r w:rsidRPr="00E30A70">
        <w:rPr>
          <w:rFonts w:asciiTheme="minorEastAsia" w:hAnsiTheme="minorEastAsia"/>
          <w:sz w:val="24"/>
          <w:szCs w:val="24"/>
        </w:rPr>
        <w:t>1</w:t>
      </w:r>
      <w:r w:rsidRPr="00E30A70">
        <w:rPr>
          <w:rFonts w:asciiTheme="minorEastAsia" w:hAnsiTheme="minorEastAsia" w:hint="eastAsia"/>
          <w:sz w:val="24"/>
          <w:szCs w:val="24"/>
        </w:rPr>
        <w:t>、《</w:t>
      </w:r>
      <w:r w:rsidR="003D3ABC" w:rsidRPr="003D3ABC">
        <w:rPr>
          <w:rFonts w:asciiTheme="minorEastAsia" w:hAnsiTheme="minorEastAsia" w:hint="eastAsia"/>
          <w:sz w:val="24"/>
          <w:szCs w:val="24"/>
        </w:rPr>
        <w:t>摩根士丹利基金管理(中国)有限公司关于以通讯方式召开摩根士丹利纯债稳定</w:t>
      </w:r>
      <w:r w:rsidR="00732518">
        <w:rPr>
          <w:rFonts w:asciiTheme="minorEastAsia" w:hAnsiTheme="minorEastAsia" w:hint="eastAsia"/>
          <w:sz w:val="24"/>
          <w:szCs w:val="24"/>
        </w:rPr>
        <w:t>增利</w:t>
      </w:r>
      <w:r w:rsidR="003D3ABC" w:rsidRPr="003D3ABC">
        <w:rPr>
          <w:rFonts w:asciiTheme="minorEastAsia" w:hAnsiTheme="minorEastAsia" w:hint="eastAsia"/>
          <w:sz w:val="24"/>
          <w:szCs w:val="24"/>
        </w:rPr>
        <w:t>18个月定期开放债券型证券投资基金基金份额持有人大会的公告</w:t>
      </w:r>
      <w:r w:rsidRPr="00E30A70">
        <w:rPr>
          <w:rFonts w:asciiTheme="minorEastAsia" w:hAnsiTheme="minorEastAsia" w:hint="eastAsia"/>
          <w:sz w:val="24"/>
          <w:szCs w:val="24"/>
        </w:rPr>
        <w:t>》</w:t>
      </w:r>
    </w:p>
    <w:p w:rsidR="006C48FD" w:rsidRPr="00E30A70" w:rsidRDefault="006C48FD" w:rsidP="00E30A70">
      <w:pPr>
        <w:spacing w:line="360" w:lineRule="auto"/>
        <w:ind w:firstLineChars="200" w:firstLine="480"/>
        <w:rPr>
          <w:rFonts w:asciiTheme="minorEastAsia" w:hAnsiTheme="minorEastAsia"/>
          <w:sz w:val="24"/>
          <w:szCs w:val="24"/>
        </w:rPr>
      </w:pPr>
      <w:r w:rsidRPr="00E30A70">
        <w:rPr>
          <w:rFonts w:asciiTheme="minorEastAsia" w:hAnsiTheme="minorEastAsia"/>
          <w:sz w:val="24"/>
          <w:szCs w:val="24"/>
        </w:rPr>
        <w:t>2</w:t>
      </w:r>
      <w:r w:rsidRPr="00E30A70">
        <w:rPr>
          <w:rFonts w:asciiTheme="minorEastAsia" w:hAnsiTheme="minorEastAsia" w:hint="eastAsia"/>
          <w:sz w:val="24"/>
          <w:szCs w:val="24"/>
        </w:rPr>
        <w:t>、</w:t>
      </w:r>
      <w:r w:rsidR="00187ECA" w:rsidRPr="00E30A70">
        <w:rPr>
          <w:rFonts w:asciiTheme="minorEastAsia" w:hAnsiTheme="minorEastAsia" w:hint="eastAsia"/>
          <w:sz w:val="24"/>
          <w:szCs w:val="24"/>
        </w:rPr>
        <w:t>《</w:t>
      </w:r>
      <w:r w:rsidR="003D3ABC" w:rsidRPr="003D3ABC">
        <w:rPr>
          <w:rFonts w:asciiTheme="minorEastAsia" w:hAnsiTheme="minorEastAsia" w:hint="eastAsia"/>
          <w:sz w:val="24"/>
          <w:szCs w:val="24"/>
        </w:rPr>
        <w:t>摩根士丹利基金管理(中国)有限公司关于以通讯方式召开摩根士丹利纯债稳定</w:t>
      </w:r>
      <w:r w:rsidR="00732518">
        <w:rPr>
          <w:rFonts w:asciiTheme="minorEastAsia" w:hAnsiTheme="minorEastAsia" w:hint="eastAsia"/>
          <w:sz w:val="24"/>
          <w:szCs w:val="24"/>
        </w:rPr>
        <w:t>增利</w:t>
      </w:r>
      <w:r w:rsidR="003D3ABC" w:rsidRPr="003D3ABC">
        <w:rPr>
          <w:rFonts w:asciiTheme="minorEastAsia" w:hAnsiTheme="minorEastAsia" w:hint="eastAsia"/>
          <w:sz w:val="24"/>
          <w:szCs w:val="24"/>
        </w:rPr>
        <w:t>18个月定期开放债券型证券投资基金基金份额持有人大会的第一次提示性公告</w:t>
      </w:r>
      <w:r w:rsidRPr="00E30A70">
        <w:rPr>
          <w:rFonts w:asciiTheme="minorEastAsia" w:hAnsiTheme="minorEastAsia" w:hint="eastAsia"/>
          <w:sz w:val="24"/>
          <w:szCs w:val="24"/>
        </w:rPr>
        <w:t>》</w:t>
      </w:r>
    </w:p>
    <w:p w:rsidR="006C48FD" w:rsidRPr="00E30A70" w:rsidRDefault="006C48FD" w:rsidP="00E30A70">
      <w:pPr>
        <w:spacing w:line="360" w:lineRule="auto"/>
        <w:ind w:firstLineChars="200" w:firstLine="480"/>
        <w:rPr>
          <w:rFonts w:asciiTheme="minorEastAsia" w:hAnsiTheme="minorEastAsia"/>
          <w:sz w:val="24"/>
          <w:szCs w:val="24"/>
        </w:rPr>
      </w:pPr>
      <w:r w:rsidRPr="00E30A70">
        <w:rPr>
          <w:rFonts w:asciiTheme="minorEastAsia" w:hAnsiTheme="minorEastAsia"/>
          <w:sz w:val="24"/>
          <w:szCs w:val="24"/>
        </w:rPr>
        <w:t>3</w:t>
      </w:r>
      <w:r w:rsidRPr="00E30A70">
        <w:rPr>
          <w:rFonts w:asciiTheme="minorEastAsia" w:hAnsiTheme="minorEastAsia" w:hint="eastAsia"/>
          <w:sz w:val="24"/>
          <w:szCs w:val="24"/>
        </w:rPr>
        <w:t>、《</w:t>
      </w:r>
      <w:r w:rsidR="003D3ABC" w:rsidRPr="003D3ABC">
        <w:rPr>
          <w:rFonts w:asciiTheme="minorEastAsia" w:hAnsiTheme="minorEastAsia" w:hint="eastAsia"/>
          <w:sz w:val="24"/>
          <w:szCs w:val="24"/>
        </w:rPr>
        <w:t>摩根士丹利基金管理(中国)有限公司关于以通讯方式召开摩根士丹利纯债稳定</w:t>
      </w:r>
      <w:r w:rsidR="00732518">
        <w:rPr>
          <w:rFonts w:asciiTheme="minorEastAsia" w:hAnsiTheme="minorEastAsia" w:hint="eastAsia"/>
          <w:sz w:val="24"/>
          <w:szCs w:val="24"/>
        </w:rPr>
        <w:t>增利</w:t>
      </w:r>
      <w:r w:rsidR="003D3ABC" w:rsidRPr="003D3ABC">
        <w:rPr>
          <w:rFonts w:asciiTheme="minorEastAsia" w:hAnsiTheme="minorEastAsia" w:hint="eastAsia"/>
          <w:sz w:val="24"/>
          <w:szCs w:val="24"/>
        </w:rPr>
        <w:t>18个月定期开放债券型证券投资基金基金份额持有人大会的第二次提示性公告</w:t>
      </w:r>
      <w:r w:rsidRPr="00E30A70">
        <w:rPr>
          <w:rFonts w:asciiTheme="minorEastAsia" w:hAnsiTheme="minorEastAsia" w:hint="eastAsia"/>
          <w:sz w:val="24"/>
          <w:szCs w:val="24"/>
        </w:rPr>
        <w:t>》</w:t>
      </w:r>
    </w:p>
    <w:p w:rsidR="006C48FD" w:rsidRPr="00E30A70" w:rsidRDefault="006C48FD" w:rsidP="00E30A70">
      <w:pPr>
        <w:spacing w:line="360" w:lineRule="auto"/>
        <w:ind w:firstLineChars="200" w:firstLine="480"/>
        <w:rPr>
          <w:rFonts w:asciiTheme="minorEastAsia" w:hAnsiTheme="minorEastAsia"/>
          <w:sz w:val="24"/>
          <w:szCs w:val="24"/>
        </w:rPr>
      </w:pPr>
      <w:r w:rsidRPr="00E30A70">
        <w:rPr>
          <w:rFonts w:asciiTheme="minorEastAsia" w:hAnsiTheme="minorEastAsia" w:hint="eastAsia"/>
          <w:sz w:val="24"/>
          <w:szCs w:val="24"/>
        </w:rPr>
        <w:t>4、</w:t>
      </w:r>
      <w:r w:rsidR="003D3ABC" w:rsidRPr="00663084">
        <w:rPr>
          <w:rFonts w:asciiTheme="minorEastAsia" w:hAnsiTheme="minorEastAsia"/>
          <w:sz w:val="24"/>
          <w:szCs w:val="24"/>
        </w:rPr>
        <w:t>深圳市深圳公证处</w:t>
      </w:r>
      <w:r w:rsidRPr="00E30A70">
        <w:rPr>
          <w:rFonts w:asciiTheme="minorEastAsia" w:hAnsiTheme="minorEastAsia" w:hint="eastAsia"/>
          <w:sz w:val="24"/>
          <w:szCs w:val="24"/>
        </w:rPr>
        <w:t>出具的公证书</w:t>
      </w:r>
    </w:p>
    <w:p w:rsidR="006C48FD" w:rsidRPr="00E30A70" w:rsidRDefault="006C48FD" w:rsidP="00E30A70">
      <w:pPr>
        <w:spacing w:line="360" w:lineRule="auto"/>
        <w:ind w:firstLineChars="200" w:firstLine="480"/>
        <w:rPr>
          <w:rFonts w:asciiTheme="minorEastAsia" w:hAnsiTheme="minorEastAsia"/>
          <w:sz w:val="24"/>
          <w:szCs w:val="24"/>
        </w:rPr>
      </w:pPr>
      <w:r w:rsidRPr="00E30A70">
        <w:rPr>
          <w:rFonts w:asciiTheme="minorEastAsia" w:hAnsiTheme="minorEastAsia" w:hint="eastAsia"/>
          <w:sz w:val="24"/>
          <w:szCs w:val="24"/>
        </w:rPr>
        <w:t>5、</w:t>
      </w:r>
      <w:r w:rsidR="003D3ABC" w:rsidRPr="00663084">
        <w:rPr>
          <w:rFonts w:asciiTheme="minorEastAsia" w:hAnsiTheme="minorEastAsia"/>
          <w:sz w:val="24"/>
          <w:szCs w:val="24"/>
        </w:rPr>
        <w:t>上海市通力律师事务所</w:t>
      </w:r>
      <w:r w:rsidRPr="00E30A70">
        <w:rPr>
          <w:rFonts w:asciiTheme="minorEastAsia" w:hAnsiTheme="minorEastAsia" w:hint="eastAsia"/>
          <w:sz w:val="24"/>
          <w:szCs w:val="24"/>
        </w:rPr>
        <w:t>出具的法律意见</w:t>
      </w:r>
    </w:p>
    <w:p w:rsidR="006C48FD" w:rsidRPr="007D10BA" w:rsidRDefault="006C48FD" w:rsidP="00950698">
      <w:pPr>
        <w:spacing w:line="420" w:lineRule="exact"/>
        <w:ind w:firstLine="420"/>
        <w:rPr>
          <w:rFonts w:asciiTheme="minorEastAsia" w:hAnsiTheme="minorEastAsia" w:cs="宋体"/>
          <w:color w:val="000000"/>
          <w:kern w:val="0"/>
          <w:sz w:val="24"/>
          <w:szCs w:val="24"/>
        </w:rPr>
      </w:pPr>
    </w:p>
    <w:p w:rsidR="006C48FD" w:rsidRPr="00E30A70" w:rsidRDefault="006C48FD" w:rsidP="001D07EE">
      <w:pPr>
        <w:spacing w:line="360" w:lineRule="auto"/>
        <w:ind w:firstLineChars="200" w:firstLine="480"/>
        <w:rPr>
          <w:rFonts w:asciiTheme="minorEastAsia" w:hAnsiTheme="minorEastAsia"/>
          <w:sz w:val="24"/>
          <w:szCs w:val="24"/>
        </w:rPr>
      </w:pPr>
      <w:r w:rsidRPr="00E30A70">
        <w:rPr>
          <w:rFonts w:asciiTheme="minorEastAsia" w:hAnsiTheme="minorEastAsia" w:hint="eastAsia"/>
          <w:sz w:val="24"/>
          <w:szCs w:val="24"/>
        </w:rPr>
        <w:t>特此公告。</w:t>
      </w:r>
    </w:p>
    <w:p w:rsidR="006C48FD" w:rsidRPr="007D10BA" w:rsidRDefault="006C48FD" w:rsidP="00950698">
      <w:pPr>
        <w:spacing w:line="420" w:lineRule="exact"/>
        <w:ind w:firstLine="420"/>
        <w:rPr>
          <w:rFonts w:asciiTheme="minorEastAsia" w:hAnsiTheme="minorEastAsia" w:cs="宋体"/>
          <w:color w:val="000000"/>
          <w:kern w:val="0"/>
          <w:sz w:val="24"/>
          <w:szCs w:val="24"/>
        </w:rPr>
      </w:pPr>
    </w:p>
    <w:p w:rsidR="003A31E7" w:rsidRDefault="003A31E7" w:rsidP="00E30A70">
      <w:pPr>
        <w:spacing w:line="420" w:lineRule="exact"/>
        <w:ind w:firstLine="420"/>
        <w:jc w:val="right"/>
        <w:rPr>
          <w:rFonts w:asciiTheme="minorEastAsia" w:hAnsiTheme="minorEastAsia" w:cs="宋体"/>
          <w:color w:val="000000"/>
          <w:kern w:val="0"/>
          <w:sz w:val="24"/>
          <w:szCs w:val="24"/>
        </w:rPr>
      </w:pPr>
      <w:r w:rsidRPr="003A31E7">
        <w:rPr>
          <w:rFonts w:asciiTheme="minorEastAsia" w:hAnsiTheme="minorEastAsia" w:cs="宋体" w:hint="eastAsia"/>
          <w:color w:val="000000"/>
          <w:kern w:val="0"/>
          <w:sz w:val="24"/>
          <w:szCs w:val="24"/>
        </w:rPr>
        <w:t>摩根士丹利基金管理 (中国) 有限公司</w:t>
      </w:r>
    </w:p>
    <w:p w:rsidR="006C48FD" w:rsidRDefault="001D07EE" w:rsidP="00E30A70">
      <w:pPr>
        <w:spacing w:line="420" w:lineRule="exact"/>
        <w:ind w:firstLine="420"/>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202</w:t>
      </w:r>
      <w:r w:rsidR="00E33798">
        <w:rPr>
          <w:rFonts w:asciiTheme="minorEastAsia" w:hAnsiTheme="minorEastAsia" w:cs="宋体" w:hint="eastAsia"/>
          <w:color w:val="000000"/>
          <w:kern w:val="0"/>
          <w:sz w:val="24"/>
          <w:szCs w:val="24"/>
        </w:rPr>
        <w:t>5</w:t>
      </w:r>
      <w:r w:rsidR="006C48FD" w:rsidRPr="007D10BA">
        <w:rPr>
          <w:rFonts w:asciiTheme="minorEastAsia" w:hAnsiTheme="minorEastAsia" w:cs="宋体"/>
          <w:color w:val="000000"/>
          <w:kern w:val="0"/>
          <w:sz w:val="24"/>
          <w:szCs w:val="24"/>
        </w:rPr>
        <w:t>年</w:t>
      </w:r>
      <w:r w:rsidR="00E33798">
        <w:rPr>
          <w:rFonts w:asciiTheme="minorEastAsia" w:hAnsiTheme="minorEastAsia" w:cs="宋体" w:hint="eastAsia"/>
          <w:color w:val="000000"/>
          <w:kern w:val="0"/>
          <w:sz w:val="24"/>
          <w:szCs w:val="24"/>
        </w:rPr>
        <w:t>11</w:t>
      </w:r>
      <w:r w:rsidR="006C48FD" w:rsidRPr="007D10BA">
        <w:rPr>
          <w:rFonts w:asciiTheme="minorEastAsia" w:hAnsiTheme="minorEastAsia" w:cs="宋体"/>
          <w:color w:val="000000"/>
          <w:kern w:val="0"/>
          <w:sz w:val="24"/>
          <w:szCs w:val="24"/>
        </w:rPr>
        <w:t>月</w:t>
      </w:r>
      <w:r w:rsidR="00E33798">
        <w:rPr>
          <w:rFonts w:asciiTheme="minorEastAsia" w:hAnsiTheme="minorEastAsia" w:cs="宋体" w:hint="eastAsia"/>
          <w:color w:val="000000"/>
          <w:kern w:val="0"/>
          <w:sz w:val="24"/>
          <w:szCs w:val="24"/>
        </w:rPr>
        <w:t>1</w:t>
      </w:r>
      <w:r w:rsidR="006C48FD" w:rsidRPr="007D10BA">
        <w:rPr>
          <w:rFonts w:asciiTheme="minorEastAsia" w:hAnsiTheme="minorEastAsia" w:cs="宋体"/>
          <w:color w:val="000000"/>
          <w:kern w:val="0"/>
          <w:sz w:val="24"/>
          <w:szCs w:val="24"/>
        </w:rPr>
        <w:t>日</w:t>
      </w:r>
    </w:p>
    <w:p w:rsidR="00B84069" w:rsidRDefault="00B84069" w:rsidP="00E30A70">
      <w:pPr>
        <w:spacing w:line="420" w:lineRule="exact"/>
        <w:ind w:firstLine="420"/>
        <w:jc w:val="right"/>
        <w:rPr>
          <w:rFonts w:asciiTheme="minorEastAsia" w:hAnsiTheme="minorEastAsia" w:cs="宋体"/>
          <w:color w:val="000000"/>
          <w:kern w:val="0"/>
          <w:sz w:val="24"/>
          <w:szCs w:val="24"/>
        </w:rPr>
      </w:pPr>
    </w:p>
    <w:p w:rsidR="00B84069" w:rsidRDefault="00B84069" w:rsidP="00E30A70">
      <w:pPr>
        <w:spacing w:line="420" w:lineRule="exact"/>
        <w:ind w:firstLine="420"/>
        <w:jc w:val="right"/>
        <w:rPr>
          <w:rFonts w:asciiTheme="minorEastAsia" w:hAnsiTheme="minorEastAsia" w:cs="宋体"/>
          <w:color w:val="000000"/>
          <w:kern w:val="0"/>
          <w:sz w:val="24"/>
          <w:szCs w:val="24"/>
        </w:rPr>
      </w:pPr>
    </w:p>
    <w:p w:rsidR="00B84069" w:rsidRDefault="00B84069" w:rsidP="00E30A70">
      <w:pPr>
        <w:spacing w:line="420" w:lineRule="exact"/>
        <w:ind w:firstLine="420"/>
        <w:jc w:val="right"/>
        <w:rPr>
          <w:rFonts w:asciiTheme="minorEastAsia" w:hAnsiTheme="minorEastAsia" w:cs="宋体"/>
          <w:color w:val="000000"/>
          <w:kern w:val="0"/>
          <w:sz w:val="24"/>
          <w:szCs w:val="24"/>
        </w:rPr>
      </w:pPr>
    </w:p>
    <w:p w:rsidR="00B84069" w:rsidRDefault="00B84069" w:rsidP="00E30A70">
      <w:pPr>
        <w:spacing w:line="420" w:lineRule="exact"/>
        <w:ind w:firstLine="420"/>
        <w:jc w:val="right"/>
        <w:rPr>
          <w:rFonts w:asciiTheme="minorEastAsia" w:hAnsiTheme="minorEastAsia" w:cs="宋体"/>
          <w:color w:val="000000"/>
          <w:kern w:val="0"/>
          <w:sz w:val="24"/>
          <w:szCs w:val="24"/>
        </w:rPr>
      </w:pPr>
    </w:p>
    <w:p w:rsidR="00B84069" w:rsidRDefault="00B84069" w:rsidP="00E30A70">
      <w:pPr>
        <w:spacing w:line="420" w:lineRule="exact"/>
        <w:ind w:firstLine="420"/>
        <w:jc w:val="right"/>
        <w:rPr>
          <w:rFonts w:asciiTheme="minorEastAsia" w:hAnsiTheme="minorEastAsia" w:cs="宋体"/>
          <w:color w:val="000000"/>
          <w:kern w:val="0"/>
          <w:sz w:val="24"/>
          <w:szCs w:val="24"/>
        </w:rPr>
      </w:pPr>
    </w:p>
    <w:p w:rsidR="00B84069" w:rsidRDefault="00B84069" w:rsidP="00E30A70">
      <w:pPr>
        <w:spacing w:line="420" w:lineRule="exact"/>
        <w:ind w:firstLine="420"/>
        <w:jc w:val="right"/>
        <w:rPr>
          <w:rFonts w:asciiTheme="minorEastAsia" w:hAnsiTheme="minorEastAsia" w:cs="宋体"/>
          <w:color w:val="000000"/>
          <w:kern w:val="0"/>
          <w:sz w:val="24"/>
          <w:szCs w:val="24"/>
        </w:rPr>
      </w:pPr>
    </w:p>
    <w:p w:rsidR="00B84069" w:rsidRDefault="00B84069" w:rsidP="00E30A70">
      <w:pPr>
        <w:spacing w:line="420" w:lineRule="exact"/>
        <w:ind w:firstLine="420"/>
        <w:jc w:val="right"/>
        <w:rPr>
          <w:rFonts w:asciiTheme="minorEastAsia" w:hAnsiTheme="minorEastAsia" w:cs="宋体"/>
          <w:color w:val="000000"/>
          <w:kern w:val="0"/>
          <w:sz w:val="24"/>
          <w:szCs w:val="24"/>
        </w:rPr>
      </w:pPr>
    </w:p>
    <w:p w:rsidR="00B84069" w:rsidRDefault="00B84069" w:rsidP="00E30A70">
      <w:pPr>
        <w:spacing w:line="420" w:lineRule="exact"/>
        <w:ind w:firstLine="420"/>
        <w:jc w:val="right"/>
        <w:rPr>
          <w:rFonts w:asciiTheme="minorEastAsia" w:hAnsiTheme="minorEastAsia" w:cs="宋体"/>
          <w:color w:val="000000"/>
          <w:kern w:val="0"/>
          <w:sz w:val="24"/>
          <w:szCs w:val="24"/>
        </w:rPr>
      </w:pPr>
    </w:p>
    <w:p w:rsidR="00B84069" w:rsidRDefault="00B84069" w:rsidP="00E30A70">
      <w:pPr>
        <w:spacing w:line="420" w:lineRule="exact"/>
        <w:ind w:firstLine="420"/>
        <w:jc w:val="right"/>
        <w:rPr>
          <w:rFonts w:asciiTheme="minorEastAsia" w:hAnsiTheme="minorEastAsia" w:cs="宋体"/>
          <w:color w:val="000000"/>
          <w:kern w:val="0"/>
          <w:sz w:val="24"/>
          <w:szCs w:val="24"/>
        </w:rPr>
      </w:pPr>
    </w:p>
    <w:p w:rsidR="00B84069" w:rsidRDefault="00B84069" w:rsidP="00E30A70">
      <w:pPr>
        <w:spacing w:line="420" w:lineRule="exact"/>
        <w:ind w:firstLine="420"/>
        <w:jc w:val="right"/>
        <w:rPr>
          <w:rFonts w:asciiTheme="minorEastAsia" w:hAnsiTheme="minorEastAsia" w:cs="宋体"/>
          <w:color w:val="000000"/>
          <w:kern w:val="0"/>
          <w:sz w:val="24"/>
          <w:szCs w:val="24"/>
        </w:rPr>
      </w:pPr>
    </w:p>
    <w:p w:rsidR="00B84069" w:rsidRDefault="00B84069" w:rsidP="00E30A70">
      <w:pPr>
        <w:spacing w:line="420" w:lineRule="exact"/>
        <w:ind w:firstLine="420"/>
        <w:jc w:val="right"/>
        <w:rPr>
          <w:rFonts w:asciiTheme="minorEastAsia" w:hAnsiTheme="minorEastAsia" w:cs="宋体"/>
          <w:color w:val="000000"/>
          <w:kern w:val="0"/>
          <w:sz w:val="24"/>
          <w:szCs w:val="24"/>
        </w:rPr>
      </w:pPr>
    </w:p>
    <w:p w:rsidR="00B84069" w:rsidRDefault="00B84069" w:rsidP="00E30A70">
      <w:pPr>
        <w:spacing w:line="420" w:lineRule="exact"/>
        <w:ind w:firstLine="420"/>
        <w:jc w:val="right"/>
        <w:rPr>
          <w:rFonts w:asciiTheme="minorEastAsia" w:hAnsiTheme="minorEastAsia" w:cs="宋体"/>
          <w:color w:val="000000"/>
          <w:kern w:val="0"/>
          <w:sz w:val="24"/>
          <w:szCs w:val="24"/>
        </w:rPr>
      </w:pPr>
    </w:p>
    <w:p w:rsidR="00B84069" w:rsidRDefault="00B84069" w:rsidP="00E30A70">
      <w:pPr>
        <w:spacing w:line="420" w:lineRule="exact"/>
        <w:ind w:firstLine="420"/>
        <w:jc w:val="right"/>
        <w:rPr>
          <w:rFonts w:asciiTheme="minorEastAsia" w:hAnsiTheme="minorEastAsia" w:cs="宋体"/>
          <w:color w:val="000000"/>
          <w:kern w:val="0"/>
          <w:sz w:val="24"/>
          <w:szCs w:val="24"/>
        </w:rPr>
      </w:pPr>
    </w:p>
    <w:p w:rsidR="00B84069" w:rsidRDefault="00B84069" w:rsidP="00E30A70">
      <w:pPr>
        <w:spacing w:line="420" w:lineRule="exact"/>
        <w:ind w:firstLine="420"/>
        <w:jc w:val="right"/>
        <w:rPr>
          <w:rFonts w:asciiTheme="minorEastAsia" w:hAnsiTheme="minorEastAsia" w:cs="宋体"/>
          <w:color w:val="000000"/>
          <w:kern w:val="0"/>
          <w:sz w:val="24"/>
          <w:szCs w:val="24"/>
        </w:rPr>
      </w:pPr>
    </w:p>
    <w:p w:rsidR="00B84069" w:rsidRDefault="00B84069" w:rsidP="00E30A70">
      <w:pPr>
        <w:spacing w:line="420" w:lineRule="exact"/>
        <w:ind w:firstLine="420"/>
        <w:jc w:val="right"/>
        <w:rPr>
          <w:rFonts w:asciiTheme="minorEastAsia" w:hAnsiTheme="minorEastAsia" w:cs="宋体"/>
          <w:color w:val="000000"/>
          <w:kern w:val="0"/>
          <w:sz w:val="24"/>
          <w:szCs w:val="24"/>
        </w:rPr>
      </w:pPr>
    </w:p>
    <w:p w:rsidR="002957B3" w:rsidRDefault="002957B3" w:rsidP="002957B3">
      <w:pPr>
        <w:widowControl/>
        <w:jc w:val="left"/>
        <w:rPr>
          <w:rFonts w:asciiTheme="minorEastAsia" w:hAnsiTheme="minorEastAsia" w:cs="宋体"/>
          <w:color w:val="000000"/>
          <w:kern w:val="0"/>
          <w:sz w:val="24"/>
          <w:szCs w:val="24"/>
        </w:rPr>
      </w:pPr>
    </w:p>
    <w:p w:rsidR="002957B3" w:rsidRDefault="002957B3" w:rsidP="002957B3">
      <w:pPr>
        <w:widowControl/>
        <w:jc w:val="left"/>
        <w:rPr>
          <w:rFonts w:asciiTheme="minorEastAsia" w:hAnsiTheme="minorEastAsia" w:cs="宋体"/>
          <w:color w:val="000000"/>
          <w:kern w:val="0"/>
          <w:sz w:val="24"/>
          <w:szCs w:val="24"/>
        </w:rPr>
      </w:pPr>
    </w:p>
    <w:p w:rsidR="002957B3" w:rsidRDefault="002957B3" w:rsidP="002957B3">
      <w:pPr>
        <w:widowControl/>
        <w:jc w:val="left"/>
        <w:rPr>
          <w:rFonts w:asciiTheme="minorEastAsia" w:hAnsiTheme="minorEastAsia" w:cs="宋体"/>
          <w:color w:val="000000"/>
          <w:kern w:val="0"/>
          <w:sz w:val="24"/>
          <w:szCs w:val="24"/>
        </w:rPr>
      </w:pPr>
    </w:p>
    <w:p w:rsidR="002957B3" w:rsidRDefault="002957B3" w:rsidP="002957B3">
      <w:pPr>
        <w:widowControl/>
        <w:jc w:val="left"/>
        <w:rPr>
          <w:rFonts w:asciiTheme="minorEastAsia" w:hAnsiTheme="minorEastAsia" w:cs="宋体"/>
          <w:color w:val="000000"/>
          <w:kern w:val="0"/>
          <w:sz w:val="24"/>
          <w:szCs w:val="24"/>
        </w:rPr>
      </w:pPr>
    </w:p>
    <w:p w:rsidR="002957B3" w:rsidRDefault="002957B3" w:rsidP="002957B3">
      <w:pPr>
        <w:widowControl/>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附件：公证书</w:t>
      </w:r>
    </w:p>
    <w:p w:rsidR="002957B3" w:rsidRDefault="002957B3" w:rsidP="002957B3">
      <w:pPr>
        <w:widowControl/>
        <w:jc w:val="left"/>
        <w:rPr>
          <w:rFonts w:asciiTheme="minorEastAsia" w:hAnsiTheme="minorEastAsia" w:cs="宋体"/>
          <w:color w:val="000000"/>
          <w:kern w:val="0"/>
          <w:sz w:val="24"/>
          <w:szCs w:val="24"/>
        </w:rPr>
      </w:pPr>
      <w:r>
        <w:rPr>
          <w:noProof/>
        </w:rPr>
        <w:drawing>
          <wp:inline distT="0" distB="0" distL="0" distR="0">
            <wp:extent cx="5274310" cy="7164705"/>
            <wp:effectExtent l="0" t="0" r="2540" b="0"/>
            <wp:docPr id="9510005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00502" name=""/>
                    <pic:cNvPicPr/>
                  </pic:nvPicPr>
                  <pic:blipFill>
                    <a:blip r:embed="rId6" cstate="print"/>
                    <a:stretch>
                      <a:fillRect/>
                    </a:stretch>
                  </pic:blipFill>
                  <pic:spPr>
                    <a:xfrm>
                      <a:off x="0" y="0"/>
                      <a:ext cx="5274310" cy="7164705"/>
                    </a:xfrm>
                    <a:prstGeom prst="rect">
                      <a:avLst/>
                    </a:prstGeom>
                  </pic:spPr>
                </pic:pic>
              </a:graphicData>
            </a:graphic>
          </wp:inline>
        </w:drawing>
      </w:r>
    </w:p>
    <w:p w:rsidR="002957B3" w:rsidRDefault="002957B3" w:rsidP="002957B3">
      <w:pPr>
        <w:widowControl/>
        <w:jc w:val="left"/>
        <w:rPr>
          <w:rFonts w:asciiTheme="minorEastAsia" w:hAnsiTheme="minorEastAsia" w:cs="宋体"/>
          <w:color w:val="000000"/>
          <w:kern w:val="0"/>
          <w:sz w:val="24"/>
          <w:szCs w:val="24"/>
        </w:rPr>
      </w:pPr>
    </w:p>
    <w:p w:rsidR="002957B3" w:rsidRDefault="002957B3" w:rsidP="002957B3">
      <w:pPr>
        <w:widowControl/>
        <w:jc w:val="left"/>
        <w:rPr>
          <w:rFonts w:asciiTheme="minorEastAsia" w:hAnsiTheme="minorEastAsia" w:cs="宋体"/>
          <w:color w:val="000000"/>
          <w:kern w:val="0"/>
          <w:sz w:val="24"/>
          <w:szCs w:val="24"/>
        </w:rPr>
      </w:pPr>
    </w:p>
    <w:p w:rsidR="002957B3" w:rsidRDefault="002957B3" w:rsidP="002957B3">
      <w:pPr>
        <w:widowControl/>
        <w:jc w:val="left"/>
        <w:rPr>
          <w:rFonts w:asciiTheme="minorEastAsia" w:hAnsiTheme="minorEastAsia" w:cs="宋体"/>
          <w:color w:val="000000"/>
          <w:kern w:val="0"/>
          <w:sz w:val="24"/>
          <w:szCs w:val="24"/>
        </w:rPr>
      </w:pPr>
    </w:p>
    <w:p w:rsidR="002957B3" w:rsidRDefault="002957B3" w:rsidP="002957B3">
      <w:pPr>
        <w:widowControl/>
        <w:jc w:val="left"/>
        <w:rPr>
          <w:rFonts w:asciiTheme="minorEastAsia" w:hAnsiTheme="minorEastAsia" w:cs="宋体"/>
          <w:color w:val="000000"/>
          <w:kern w:val="0"/>
          <w:sz w:val="24"/>
          <w:szCs w:val="24"/>
        </w:rPr>
      </w:pPr>
    </w:p>
    <w:p w:rsidR="002957B3" w:rsidRDefault="002957B3" w:rsidP="002957B3">
      <w:pPr>
        <w:widowControl/>
        <w:jc w:val="left"/>
        <w:rPr>
          <w:rFonts w:asciiTheme="minorEastAsia" w:hAnsiTheme="minorEastAsia" w:cs="宋体"/>
          <w:color w:val="000000"/>
          <w:kern w:val="0"/>
          <w:sz w:val="24"/>
          <w:szCs w:val="24"/>
        </w:rPr>
      </w:pPr>
    </w:p>
    <w:p w:rsidR="002957B3" w:rsidRDefault="002957B3" w:rsidP="002957B3">
      <w:pPr>
        <w:widowControl/>
        <w:jc w:val="left"/>
        <w:rPr>
          <w:rFonts w:asciiTheme="minorEastAsia" w:hAnsiTheme="minorEastAsia" w:cs="宋体"/>
          <w:color w:val="000000"/>
          <w:kern w:val="0"/>
          <w:sz w:val="24"/>
          <w:szCs w:val="24"/>
        </w:rPr>
      </w:pPr>
    </w:p>
    <w:p w:rsidR="002957B3" w:rsidRDefault="002957B3" w:rsidP="002957B3">
      <w:pPr>
        <w:widowControl/>
        <w:jc w:val="left"/>
        <w:rPr>
          <w:rFonts w:asciiTheme="minorEastAsia" w:hAnsiTheme="minorEastAsia" w:cs="宋体"/>
          <w:color w:val="000000"/>
          <w:kern w:val="0"/>
          <w:sz w:val="24"/>
          <w:szCs w:val="24"/>
        </w:rPr>
      </w:pPr>
      <w:r>
        <w:rPr>
          <w:noProof/>
        </w:rPr>
        <w:drawing>
          <wp:inline distT="0" distB="0" distL="0" distR="0">
            <wp:extent cx="5454478" cy="8159750"/>
            <wp:effectExtent l="0" t="0" r="0" b="0"/>
            <wp:docPr id="585407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0763" name=""/>
                    <pic:cNvPicPr/>
                  </pic:nvPicPr>
                  <pic:blipFill>
                    <a:blip r:embed="rId7" cstate="print"/>
                    <a:stretch>
                      <a:fillRect/>
                    </a:stretch>
                  </pic:blipFill>
                  <pic:spPr>
                    <a:xfrm>
                      <a:off x="0" y="0"/>
                      <a:ext cx="5462237" cy="8171357"/>
                    </a:xfrm>
                    <a:prstGeom prst="rect">
                      <a:avLst/>
                    </a:prstGeom>
                  </pic:spPr>
                </pic:pic>
              </a:graphicData>
            </a:graphic>
          </wp:inline>
        </w:drawing>
      </w:r>
    </w:p>
    <w:p w:rsidR="002957B3" w:rsidRDefault="002957B3" w:rsidP="002957B3">
      <w:pPr>
        <w:widowControl/>
        <w:jc w:val="left"/>
        <w:rPr>
          <w:rFonts w:asciiTheme="minorEastAsia" w:hAnsiTheme="minorEastAsia" w:cs="宋体"/>
          <w:color w:val="000000"/>
          <w:kern w:val="0"/>
          <w:sz w:val="24"/>
          <w:szCs w:val="24"/>
        </w:rPr>
      </w:pPr>
    </w:p>
    <w:p w:rsidR="002957B3" w:rsidRDefault="002957B3" w:rsidP="002957B3">
      <w:pPr>
        <w:widowControl/>
        <w:jc w:val="left"/>
        <w:rPr>
          <w:rFonts w:asciiTheme="minorEastAsia" w:hAnsiTheme="minorEastAsia" w:cs="宋体"/>
          <w:color w:val="000000"/>
          <w:kern w:val="0"/>
          <w:sz w:val="24"/>
          <w:szCs w:val="24"/>
        </w:rPr>
      </w:pPr>
    </w:p>
    <w:p w:rsidR="002957B3" w:rsidRPr="007D10BA" w:rsidRDefault="002957B3" w:rsidP="002957B3">
      <w:pPr>
        <w:widowControl/>
        <w:jc w:val="left"/>
        <w:rPr>
          <w:rFonts w:asciiTheme="minorEastAsia" w:hAnsiTheme="minorEastAsia" w:cs="宋体"/>
          <w:color w:val="000000"/>
          <w:kern w:val="0"/>
          <w:sz w:val="24"/>
          <w:szCs w:val="24"/>
        </w:rPr>
      </w:pPr>
      <w:r w:rsidRPr="002957B3">
        <w:rPr>
          <w:noProof/>
        </w:rPr>
        <w:drawing>
          <wp:inline distT="0" distB="0" distL="0" distR="0">
            <wp:extent cx="5400366" cy="7181850"/>
            <wp:effectExtent l="0" t="0" r="0" b="0"/>
            <wp:docPr id="13968018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01802" name=""/>
                    <pic:cNvPicPr/>
                  </pic:nvPicPr>
                  <pic:blipFill>
                    <a:blip r:embed="rId8" cstate="print"/>
                    <a:stretch>
                      <a:fillRect/>
                    </a:stretch>
                  </pic:blipFill>
                  <pic:spPr>
                    <a:xfrm>
                      <a:off x="0" y="0"/>
                      <a:ext cx="5401288" cy="7183076"/>
                    </a:xfrm>
                    <a:prstGeom prst="rect">
                      <a:avLst/>
                    </a:prstGeom>
                  </pic:spPr>
                </pic:pic>
              </a:graphicData>
            </a:graphic>
          </wp:inline>
        </w:drawing>
      </w:r>
    </w:p>
    <w:sectPr w:rsidR="002957B3" w:rsidRPr="007D10BA" w:rsidSect="00D769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5F5" w:rsidRDefault="00FC25F5" w:rsidP="00131DD2">
      <w:r>
        <w:separator/>
      </w:r>
    </w:p>
  </w:endnote>
  <w:endnote w:type="continuationSeparator" w:id="0">
    <w:p w:rsidR="00FC25F5" w:rsidRDefault="00FC25F5" w:rsidP="00131D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5F5" w:rsidRDefault="00FC25F5" w:rsidP="00131DD2">
      <w:r>
        <w:separator/>
      </w:r>
    </w:p>
  </w:footnote>
  <w:footnote w:type="continuationSeparator" w:id="0">
    <w:p w:rsidR="00FC25F5" w:rsidRDefault="00FC25F5" w:rsidP="00131D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7F42"/>
    <w:rsid w:val="000145E6"/>
    <w:rsid w:val="00016968"/>
    <w:rsid w:val="00041C7D"/>
    <w:rsid w:val="00045F60"/>
    <w:rsid w:val="00046370"/>
    <w:rsid w:val="0005677D"/>
    <w:rsid w:val="00071A92"/>
    <w:rsid w:val="00075876"/>
    <w:rsid w:val="00083885"/>
    <w:rsid w:val="000A707F"/>
    <w:rsid w:val="000B4EDB"/>
    <w:rsid w:val="000C5D02"/>
    <w:rsid w:val="000D27EB"/>
    <w:rsid w:val="000F5371"/>
    <w:rsid w:val="0010528D"/>
    <w:rsid w:val="00105FF4"/>
    <w:rsid w:val="00107E13"/>
    <w:rsid w:val="001213DC"/>
    <w:rsid w:val="00131DD2"/>
    <w:rsid w:val="0013416A"/>
    <w:rsid w:val="00142DE9"/>
    <w:rsid w:val="001508B7"/>
    <w:rsid w:val="0017157C"/>
    <w:rsid w:val="00185195"/>
    <w:rsid w:val="00187ECA"/>
    <w:rsid w:val="00191B67"/>
    <w:rsid w:val="001A5E6B"/>
    <w:rsid w:val="001C5470"/>
    <w:rsid w:val="001D07EE"/>
    <w:rsid w:val="001D16E2"/>
    <w:rsid w:val="001D45A1"/>
    <w:rsid w:val="001E16C8"/>
    <w:rsid w:val="001E27FB"/>
    <w:rsid w:val="001F0EA9"/>
    <w:rsid w:val="001F38B7"/>
    <w:rsid w:val="00203788"/>
    <w:rsid w:val="00223668"/>
    <w:rsid w:val="00227DB8"/>
    <w:rsid w:val="002344E6"/>
    <w:rsid w:val="00253F32"/>
    <w:rsid w:val="00264DA0"/>
    <w:rsid w:val="002666FD"/>
    <w:rsid w:val="00275754"/>
    <w:rsid w:val="002812F4"/>
    <w:rsid w:val="00294429"/>
    <w:rsid w:val="002957B3"/>
    <w:rsid w:val="002A7431"/>
    <w:rsid w:val="002B03FA"/>
    <w:rsid w:val="002B26E7"/>
    <w:rsid w:val="002C06F6"/>
    <w:rsid w:val="002D3D62"/>
    <w:rsid w:val="00302D6F"/>
    <w:rsid w:val="00337ED6"/>
    <w:rsid w:val="00340D5F"/>
    <w:rsid w:val="00352C79"/>
    <w:rsid w:val="00363F91"/>
    <w:rsid w:val="00380940"/>
    <w:rsid w:val="003A31E7"/>
    <w:rsid w:val="003A3EE8"/>
    <w:rsid w:val="003B1204"/>
    <w:rsid w:val="003D3ABC"/>
    <w:rsid w:val="003E6941"/>
    <w:rsid w:val="00403AFF"/>
    <w:rsid w:val="00422446"/>
    <w:rsid w:val="00433F47"/>
    <w:rsid w:val="00444047"/>
    <w:rsid w:val="00457083"/>
    <w:rsid w:val="00464732"/>
    <w:rsid w:val="00477128"/>
    <w:rsid w:val="004835B2"/>
    <w:rsid w:val="00484C75"/>
    <w:rsid w:val="00486365"/>
    <w:rsid w:val="00486B9D"/>
    <w:rsid w:val="004C4F85"/>
    <w:rsid w:val="004F79BE"/>
    <w:rsid w:val="004F7EDC"/>
    <w:rsid w:val="0050664B"/>
    <w:rsid w:val="00511A80"/>
    <w:rsid w:val="005171F8"/>
    <w:rsid w:val="00530DE2"/>
    <w:rsid w:val="00532036"/>
    <w:rsid w:val="00543ACA"/>
    <w:rsid w:val="00564A74"/>
    <w:rsid w:val="005711E2"/>
    <w:rsid w:val="00584FDD"/>
    <w:rsid w:val="005922D2"/>
    <w:rsid w:val="00592369"/>
    <w:rsid w:val="0059353D"/>
    <w:rsid w:val="005B2FF2"/>
    <w:rsid w:val="005B60CE"/>
    <w:rsid w:val="005D59A4"/>
    <w:rsid w:val="005E1EBF"/>
    <w:rsid w:val="005E2703"/>
    <w:rsid w:val="00601675"/>
    <w:rsid w:val="006024FA"/>
    <w:rsid w:val="00604CF3"/>
    <w:rsid w:val="0060500D"/>
    <w:rsid w:val="006125E8"/>
    <w:rsid w:val="00613687"/>
    <w:rsid w:val="00617A19"/>
    <w:rsid w:val="00663084"/>
    <w:rsid w:val="006649EB"/>
    <w:rsid w:val="00686501"/>
    <w:rsid w:val="006A3D52"/>
    <w:rsid w:val="006A7973"/>
    <w:rsid w:val="006B0FDB"/>
    <w:rsid w:val="006C1D50"/>
    <w:rsid w:val="006C48FD"/>
    <w:rsid w:val="006D123A"/>
    <w:rsid w:val="006D2009"/>
    <w:rsid w:val="006D230D"/>
    <w:rsid w:val="006D2675"/>
    <w:rsid w:val="006F3F2E"/>
    <w:rsid w:val="007174D6"/>
    <w:rsid w:val="00720F51"/>
    <w:rsid w:val="00730491"/>
    <w:rsid w:val="00732518"/>
    <w:rsid w:val="007372ED"/>
    <w:rsid w:val="00772C16"/>
    <w:rsid w:val="00791D21"/>
    <w:rsid w:val="00793C54"/>
    <w:rsid w:val="00797FCE"/>
    <w:rsid w:val="007A7B64"/>
    <w:rsid w:val="007D3329"/>
    <w:rsid w:val="007E24A5"/>
    <w:rsid w:val="007E75C3"/>
    <w:rsid w:val="007E78D1"/>
    <w:rsid w:val="00803EBA"/>
    <w:rsid w:val="0081094B"/>
    <w:rsid w:val="00830845"/>
    <w:rsid w:val="00836698"/>
    <w:rsid w:val="0084372D"/>
    <w:rsid w:val="008557E9"/>
    <w:rsid w:val="00863F70"/>
    <w:rsid w:val="00877842"/>
    <w:rsid w:val="00882F1F"/>
    <w:rsid w:val="00890851"/>
    <w:rsid w:val="00894EA7"/>
    <w:rsid w:val="00895DE7"/>
    <w:rsid w:val="00895E59"/>
    <w:rsid w:val="008A3311"/>
    <w:rsid w:val="008A596C"/>
    <w:rsid w:val="008B660C"/>
    <w:rsid w:val="008B7B9E"/>
    <w:rsid w:val="008C2E71"/>
    <w:rsid w:val="008C4E82"/>
    <w:rsid w:val="008D1E13"/>
    <w:rsid w:val="008D23B4"/>
    <w:rsid w:val="008F0131"/>
    <w:rsid w:val="008F1B56"/>
    <w:rsid w:val="0092251A"/>
    <w:rsid w:val="009313DE"/>
    <w:rsid w:val="00931A5E"/>
    <w:rsid w:val="0093410F"/>
    <w:rsid w:val="00944A8A"/>
    <w:rsid w:val="00950698"/>
    <w:rsid w:val="0096370F"/>
    <w:rsid w:val="0097304D"/>
    <w:rsid w:val="00981400"/>
    <w:rsid w:val="009939A9"/>
    <w:rsid w:val="009A3064"/>
    <w:rsid w:val="009A5DAB"/>
    <w:rsid w:val="009B017A"/>
    <w:rsid w:val="009F4C59"/>
    <w:rsid w:val="00A034D2"/>
    <w:rsid w:val="00A11824"/>
    <w:rsid w:val="00A1464F"/>
    <w:rsid w:val="00A20E11"/>
    <w:rsid w:val="00A44959"/>
    <w:rsid w:val="00A56E2A"/>
    <w:rsid w:val="00A614CB"/>
    <w:rsid w:val="00A75F56"/>
    <w:rsid w:val="00A871C6"/>
    <w:rsid w:val="00A87F42"/>
    <w:rsid w:val="00A91888"/>
    <w:rsid w:val="00A9621C"/>
    <w:rsid w:val="00AA0A6B"/>
    <w:rsid w:val="00AA7CCA"/>
    <w:rsid w:val="00AB799A"/>
    <w:rsid w:val="00AC1C1D"/>
    <w:rsid w:val="00AF3C8A"/>
    <w:rsid w:val="00B1035E"/>
    <w:rsid w:val="00B227F6"/>
    <w:rsid w:val="00B26955"/>
    <w:rsid w:val="00B41408"/>
    <w:rsid w:val="00B84069"/>
    <w:rsid w:val="00B90B92"/>
    <w:rsid w:val="00B93CCB"/>
    <w:rsid w:val="00B97D8B"/>
    <w:rsid w:val="00BA2C9C"/>
    <w:rsid w:val="00BA5C13"/>
    <w:rsid w:val="00BB0FA2"/>
    <w:rsid w:val="00BB53B8"/>
    <w:rsid w:val="00BB68B2"/>
    <w:rsid w:val="00BC214C"/>
    <w:rsid w:val="00BC46C4"/>
    <w:rsid w:val="00BE76B0"/>
    <w:rsid w:val="00BF2639"/>
    <w:rsid w:val="00C00664"/>
    <w:rsid w:val="00C06939"/>
    <w:rsid w:val="00C10DA2"/>
    <w:rsid w:val="00C12DE4"/>
    <w:rsid w:val="00C20768"/>
    <w:rsid w:val="00C41869"/>
    <w:rsid w:val="00C462C3"/>
    <w:rsid w:val="00C62354"/>
    <w:rsid w:val="00C65C8F"/>
    <w:rsid w:val="00C76199"/>
    <w:rsid w:val="00C83A58"/>
    <w:rsid w:val="00C83F54"/>
    <w:rsid w:val="00C90DC1"/>
    <w:rsid w:val="00CB135D"/>
    <w:rsid w:val="00CB2F66"/>
    <w:rsid w:val="00CB58D5"/>
    <w:rsid w:val="00CC72F9"/>
    <w:rsid w:val="00CD7E4B"/>
    <w:rsid w:val="00CE16D3"/>
    <w:rsid w:val="00CE5A02"/>
    <w:rsid w:val="00CE6386"/>
    <w:rsid w:val="00D009D9"/>
    <w:rsid w:val="00D05076"/>
    <w:rsid w:val="00D10709"/>
    <w:rsid w:val="00D21639"/>
    <w:rsid w:val="00D321F4"/>
    <w:rsid w:val="00D5510F"/>
    <w:rsid w:val="00D6054C"/>
    <w:rsid w:val="00D62181"/>
    <w:rsid w:val="00D72531"/>
    <w:rsid w:val="00D75C55"/>
    <w:rsid w:val="00D769F7"/>
    <w:rsid w:val="00D84A7E"/>
    <w:rsid w:val="00D867EC"/>
    <w:rsid w:val="00D90A41"/>
    <w:rsid w:val="00DA650F"/>
    <w:rsid w:val="00DB24CF"/>
    <w:rsid w:val="00DB4303"/>
    <w:rsid w:val="00DB5E17"/>
    <w:rsid w:val="00DB5E9A"/>
    <w:rsid w:val="00DB78B6"/>
    <w:rsid w:val="00DC0A58"/>
    <w:rsid w:val="00DE2FF5"/>
    <w:rsid w:val="00DF4661"/>
    <w:rsid w:val="00E06F78"/>
    <w:rsid w:val="00E13101"/>
    <w:rsid w:val="00E27A5B"/>
    <w:rsid w:val="00E30A70"/>
    <w:rsid w:val="00E33798"/>
    <w:rsid w:val="00E504C7"/>
    <w:rsid w:val="00E617DA"/>
    <w:rsid w:val="00E65530"/>
    <w:rsid w:val="00E73503"/>
    <w:rsid w:val="00E93305"/>
    <w:rsid w:val="00E97372"/>
    <w:rsid w:val="00EB5C4B"/>
    <w:rsid w:val="00EC3270"/>
    <w:rsid w:val="00ED1DBF"/>
    <w:rsid w:val="00ED64DF"/>
    <w:rsid w:val="00EF1212"/>
    <w:rsid w:val="00EF6640"/>
    <w:rsid w:val="00F15509"/>
    <w:rsid w:val="00F15B09"/>
    <w:rsid w:val="00F22881"/>
    <w:rsid w:val="00F233F4"/>
    <w:rsid w:val="00F43559"/>
    <w:rsid w:val="00F5642F"/>
    <w:rsid w:val="00F84B93"/>
    <w:rsid w:val="00FA0929"/>
    <w:rsid w:val="00FC25F5"/>
    <w:rsid w:val="00FD3B4C"/>
    <w:rsid w:val="00FD6396"/>
    <w:rsid w:val="00FF16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4DF"/>
    <w:pPr>
      <w:widowControl w:val="0"/>
      <w:jc w:val="both"/>
    </w:pPr>
  </w:style>
  <w:style w:type="paragraph" w:styleId="2">
    <w:name w:val="heading 2"/>
    <w:basedOn w:val="a"/>
    <w:next w:val="a"/>
    <w:link w:val="2Char"/>
    <w:uiPriority w:val="9"/>
    <w:semiHidden/>
    <w:unhideWhenUsed/>
    <w:qFormat/>
    <w:rsid w:val="00AA7CC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link w:val="5Char"/>
    <w:uiPriority w:val="9"/>
    <w:qFormat/>
    <w:rsid w:val="00564A74"/>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1D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1DD2"/>
    <w:rPr>
      <w:sz w:val="18"/>
      <w:szCs w:val="18"/>
    </w:rPr>
  </w:style>
  <w:style w:type="paragraph" w:styleId="a4">
    <w:name w:val="footer"/>
    <w:basedOn w:val="a"/>
    <w:link w:val="Char0"/>
    <w:uiPriority w:val="99"/>
    <w:unhideWhenUsed/>
    <w:rsid w:val="00131DD2"/>
    <w:pPr>
      <w:tabs>
        <w:tab w:val="center" w:pos="4153"/>
        <w:tab w:val="right" w:pos="8306"/>
      </w:tabs>
      <w:snapToGrid w:val="0"/>
      <w:jc w:val="left"/>
    </w:pPr>
    <w:rPr>
      <w:sz w:val="18"/>
      <w:szCs w:val="18"/>
    </w:rPr>
  </w:style>
  <w:style w:type="character" w:customStyle="1" w:styleId="Char0">
    <w:name w:val="页脚 Char"/>
    <w:basedOn w:val="a0"/>
    <w:link w:val="a4"/>
    <w:uiPriority w:val="99"/>
    <w:rsid w:val="00131DD2"/>
    <w:rPr>
      <w:sz w:val="18"/>
      <w:szCs w:val="18"/>
    </w:rPr>
  </w:style>
  <w:style w:type="character" w:styleId="a5">
    <w:name w:val="annotation reference"/>
    <w:basedOn w:val="a0"/>
    <w:uiPriority w:val="99"/>
    <w:semiHidden/>
    <w:unhideWhenUsed/>
    <w:rsid w:val="00131DD2"/>
    <w:rPr>
      <w:sz w:val="21"/>
      <w:szCs w:val="21"/>
    </w:rPr>
  </w:style>
  <w:style w:type="paragraph" w:styleId="a6">
    <w:name w:val="annotation text"/>
    <w:basedOn w:val="a"/>
    <w:link w:val="Char1"/>
    <w:uiPriority w:val="99"/>
    <w:semiHidden/>
    <w:unhideWhenUsed/>
    <w:rsid w:val="00131DD2"/>
    <w:pPr>
      <w:jc w:val="left"/>
    </w:pPr>
  </w:style>
  <w:style w:type="character" w:customStyle="1" w:styleId="Char1">
    <w:name w:val="批注文字 Char"/>
    <w:basedOn w:val="a0"/>
    <w:link w:val="a6"/>
    <w:uiPriority w:val="99"/>
    <w:semiHidden/>
    <w:rsid w:val="00131DD2"/>
  </w:style>
  <w:style w:type="paragraph" w:styleId="a7">
    <w:name w:val="annotation subject"/>
    <w:basedOn w:val="a6"/>
    <w:next w:val="a6"/>
    <w:link w:val="Char2"/>
    <w:uiPriority w:val="99"/>
    <w:semiHidden/>
    <w:unhideWhenUsed/>
    <w:rsid w:val="00131DD2"/>
    <w:rPr>
      <w:b/>
      <w:bCs/>
    </w:rPr>
  </w:style>
  <w:style w:type="character" w:customStyle="1" w:styleId="Char2">
    <w:name w:val="批注主题 Char"/>
    <w:basedOn w:val="Char1"/>
    <w:link w:val="a7"/>
    <w:uiPriority w:val="99"/>
    <w:semiHidden/>
    <w:rsid w:val="00131DD2"/>
    <w:rPr>
      <w:b/>
      <w:bCs/>
    </w:rPr>
  </w:style>
  <w:style w:type="paragraph" w:styleId="a8">
    <w:name w:val="Balloon Text"/>
    <w:basedOn w:val="a"/>
    <w:link w:val="Char3"/>
    <w:uiPriority w:val="99"/>
    <w:semiHidden/>
    <w:unhideWhenUsed/>
    <w:rsid w:val="00131DD2"/>
    <w:rPr>
      <w:sz w:val="18"/>
      <w:szCs w:val="18"/>
    </w:rPr>
  </w:style>
  <w:style w:type="character" w:customStyle="1" w:styleId="Char3">
    <w:name w:val="批注框文本 Char"/>
    <w:basedOn w:val="a0"/>
    <w:link w:val="a8"/>
    <w:uiPriority w:val="99"/>
    <w:semiHidden/>
    <w:rsid w:val="00131DD2"/>
    <w:rPr>
      <w:sz w:val="18"/>
      <w:szCs w:val="18"/>
    </w:rPr>
  </w:style>
  <w:style w:type="paragraph" w:styleId="a9">
    <w:name w:val="Revision"/>
    <w:hidden/>
    <w:uiPriority w:val="99"/>
    <w:semiHidden/>
    <w:rsid w:val="00E504C7"/>
  </w:style>
  <w:style w:type="paragraph" w:customStyle="1" w:styleId="Default">
    <w:name w:val="Default"/>
    <w:qFormat/>
    <w:rsid w:val="00950698"/>
    <w:pPr>
      <w:widowControl w:val="0"/>
      <w:autoSpaceDE w:val="0"/>
      <w:autoSpaceDN w:val="0"/>
      <w:adjustRightInd w:val="0"/>
    </w:pPr>
    <w:rPr>
      <w:rFonts w:ascii="宋体" w:eastAsia="宋体" w:cs="宋体"/>
      <w:color w:val="000000"/>
      <w:kern w:val="0"/>
      <w:sz w:val="24"/>
      <w:szCs w:val="24"/>
    </w:rPr>
  </w:style>
  <w:style w:type="character" w:customStyle="1" w:styleId="5Char">
    <w:name w:val="标题 5 Char"/>
    <w:basedOn w:val="a0"/>
    <w:link w:val="5"/>
    <w:uiPriority w:val="9"/>
    <w:rsid w:val="00564A74"/>
    <w:rPr>
      <w:rFonts w:ascii="宋体" w:eastAsia="宋体" w:hAnsi="宋体" w:cs="宋体"/>
      <w:b/>
      <w:bCs/>
      <w:kern w:val="0"/>
      <w:sz w:val="20"/>
      <w:szCs w:val="20"/>
    </w:rPr>
  </w:style>
  <w:style w:type="character" w:customStyle="1" w:styleId="2Char">
    <w:name w:val="标题 2 Char"/>
    <w:basedOn w:val="a0"/>
    <w:link w:val="2"/>
    <w:uiPriority w:val="9"/>
    <w:semiHidden/>
    <w:rsid w:val="00AA7CCA"/>
    <w:rPr>
      <w:rFonts w:asciiTheme="majorHAnsi" w:eastAsiaTheme="majorEastAsia" w:hAnsiTheme="majorHAnsi" w:cstheme="majorBidi"/>
      <w:b/>
      <w:bCs/>
      <w:sz w:val="32"/>
      <w:szCs w:val="32"/>
    </w:rPr>
  </w:style>
  <w:style w:type="table" w:styleId="aa">
    <w:name w:val="Table Grid"/>
    <w:basedOn w:val="a1"/>
    <w:uiPriority w:val="39"/>
    <w:rsid w:val="00AA7CCA"/>
    <w:pPr>
      <w:widowControl w:val="0"/>
      <w:autoSpaceDE w:val="0"/>
      <w:autoSpaceDN w:val="0"/>
    </w:pPr>
    <w:rPr>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ate"/>
    <w:basedOn w:val="a"/>
    <w:next w:val="a"/>
    <w:link w:val="Char4"/>
    <w:uiPriority w:val="99"/>
    <w:semiHidden/>
    <w:unhideWhenUsed/>
    <w:rsid w:val="00B84069"/>
    <w:pPr>
      <w:ind w:leftChars="2500" w:left="100"/>
    </w:pPr>
  </w:style>
  <w:style w:type="character" w:customStyle="1" w:styleId="Char4">
    <w:name w:val="日期 Char"/>
    <w:basedOn w:val="a0"/>
    <w:link w:val="ab"/>
    <w:uiPriority w:val="99"/>
    <w:semiHidden/>
    <w:rsid w:val="00B84069"/>
  </w:style>
</w:styles>
</file>

<file path=word/webSettings.xml><?xml version="1.0" encoding="utf-8"?>
<w:webSettings xmlns:r="http://schemas.openxmlformats.org/officeDocument/2006/relationships" xmlns:w="http://schemas.openxmlformats.org/wordprocessingml/2006/main">
  <w:divs>
    <w:div w:id="277762648">
      <w:bodyDiv w:val="1"/>
      <w:marLeft w:val="0"/>
      <w:marRight w:val="0"/>
      <w:marTop w:val="0"/>
      <w:marBottom w:val="0"/>
      <w:divBdr>
        <w:top w:val="none" w:sz="0" w:space="0" w:color="auto"/>
        <w:left w:val="none" w:sz="0" w:space="0" w:color="auto"/>
        <w:bottom w:val="none" w:sz="0" w:space="0" w:color="auto"/>
        <w:right w:val="none" w:sz="0" w:space="0" w:color="auto"/>
      </w:divBdr>
    </w:div>
    <w:div w:id="40488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3597</Characters>
  <Application>Microsoft Office Word</Application>
  <DocSecurity>4</DocSecurity>
  <Lines>29</Lines>
  <Paragraphs>8</Paragraphs>
  <ScaleCrop>false</ScaleCrop>
  <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黄文逸</dc:creator>
  <cp:keywords/>
  <dc:description/>
  <cp:lastModifiedBy>ZHONGM</cp:lastModifiedBy>
  <cp:revision>2</cp:revision>
  <cp:lastPrinted>2023-09-08T07:51:00Z</cp:lastPrinted>
  <dcterms:created xsi:type="dcterms:W3CDTF">2025-10-31T16:00:00Z</dcterms:created>
  <dcterms:modified xsi:type="dcterms:W3CDTF">2025-10-31T16:00:00Z</dcterms:modified>
</cp:coreProperties>
</file>