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0507D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B0507D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浙商基金管理有限公司</w:t>
      </w:r>
    </w:p>
    <w:p w:rsidR="00000000" w:rsidRDefault="00B0507D">
      <w:pPr>
        <w:jc w:val="center"/>
      </w:pPr>
      <w:r>
        <w:rPr>
          <w:rFonts w:cs="Times New Roman" w:hint="eastAsia"/>
          <w:b/>
          <w:sz w:val="48"/>
          <w:szCs w:val="48"/>
        </w:rPr>
        <w:t>旗下基金改聘会计师事务所公告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B0507D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10</w:t>
      </w:r>
      <w:r>
        <w:rPr>
          <w:rFonts w:hint="eastAsia"/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31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B0507D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512519480"/>
      <w:bookmarkStart w:id="3" w:name="_Toc481075046"/>
      <w:bookmarkStart w:id="4" w:name="_Toc513295846"/>
      <w:bookmarkStart w:id="5" w:name="_Toc17897936"/>
      <w:bookmarkStart w:id="6" w:name="_Toc513295892"/>
      <w:bookmarkStart w:id="7" w:name="_Toc490050000"/>
      <w:bookmarkStart w:id="8" w:name="_Toc438646451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40"/>
        <w:gridCol w:w="1421"/>
        <w:gridCol w:w="1420"/>
        <w:gridCol w:w="2841"/>
      </w:tblGrid>
      <w:tr w:rsidR="00000000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基金管理人名称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浙商基金管理有限公司</w:t>
            </w:r>
          </w:p>
        </w:tc>
      </w:tr>
      <w:tr w:rsidR="00000000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公告依据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《公开募集证券投资基金信息披露管理办法》、《基金合同》、《招募说明书》等法律文件</w:t>
            </w:r>
          </w:p>
        </w:tc>
      </w:tr>
      <w:tr w:rsidR="00000000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改聘日期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2025</w:t>
            </w:r>
            <w:r>
              <w:rPr>
                <w:rFonts w:cs="Times New Roman" w:hint="eastAsia"/>
                <w:szCs w:val="21"/>
              </w:rPr>
              <w:t>年</w:t>
            </w:r>
            <w:r>
              <w:rPr>
                <w:rFonts w:cs="Times New Roman"/>
                <w:szCs w:val="21"/>
              </w:rPr>
              <w:t>10</w:t>
            </w:r>
            <w:r>
              <w:rPr>
                <w:rFonts w:cs="Times New Roman" w:hint="eastAsia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2</w:t>
            </w:r>
            <w:r>
              <w:rPr>
                <w:rFonts w:cs="Times New Roman"/>
                <w:szCs w:val="21"/>
              </w:rPr>
              <w:t>9</w:t>
            </w:r>
            <w:r>
              <w:rPr>
                <w:rFonts w:cs="Times New Roman" w:hint="eastAsia"/>
                <w:szCs w:val="21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改聘前会计师事务所名称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毕马威华振会计师事务所（</w:t>
            </w:r>
            <w:r>
              <w:rPr>
                <w:rFonts w:cs="Times New Roman"/>
                <w:szCs w:val="21"/>
              </w:rPr>
              <w:t>特</w:t>
            </w:r>
            <w:r>
              <w:rPr>
                <w:rFonts w:cs="Times New Roman" w:hint="eastAsia"/>
                <w:szCs w:val="21"/>
              </w:rPr>
              <w:t>殊普通合伙）</w:t>
            </w:r>
          </w:p>
        </w:tc>
      </w:tr>
      <w:tr w:rsidR="00000000">
        <w:trPr>
          <w:jc w:val="center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改聘后会计师事务所名称</w:t>
            </w:r>
            <w:r>
              <w:rPr>
                <w:rFonts w:cs="Times New Roman" w:hint="eastAsia"/>
                <w:szCs w:val="21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安永华明会计师事务所（特殊普通合伙）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jc w:val="center"/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基金名称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jc w:val="center"/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基金简称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jc w:val="center"/>
              <w:rPr>
                <w:rFonts w:hint="eastAsia"/>
              </w:rPr>
            </w:pPr>
            <w:r>
              <w:rPr>
                <w:rFonts w:cs="Times New Roman" w:hint="eastAsia"/>
                <w:szCs w:val="21"/>
              </w:rPr>
              <w:t>基金主代码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浙商中证</w:t>
            </w:r>
            <w:r>
              <w:t>500</w:t>
            </w:r>
            <w:r>
              <w:t>指数增强型证券投资基金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浙商中证</w:t>
            </w:r>
            <w:r>
              <w:t>500</w:t>
            </w:r>
            <w:r>
              <w:t>增强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002076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hint="eastAsia"/>
              </w:rPr>
              <w:t>浙商中证</w:t>
            </w:r>
            <w:r>
              <w:t>1000</w:t>
            </w:r>
            <w:r>
              <w:t>指数增强型证券投资基金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rPr>
                <w:rFonts w:hint="eastAsia"/>
              </w:rPr>
              <w:t>浙商中证</w:t>
            </w:r>
            <w:r>
              <w:t>1000</w:t>
            </w:r>
            <w:r>
              <w:t>指数增强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hint="eastAsia"/>
              </w:rPr>
            </w:pPr>
            <w:r>
              <w:t>018233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浙商中短债债券型证券投资基金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浙商中短债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008505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浙商智选新兴产业混合型证券投资基金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浙商智选新兴产业混合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015373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浙商智选先锋一年持有期混合型证券投资基金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浙商智选先锋一年持有期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010876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浙商智选领航三年持有期混合型证券投资基金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浙商智选领航三年持有期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010552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浙商智选经济动能混合型证券投资基金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浙商智选经济动能混合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010148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浙商智选价值混合型证券投资基金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浙商智选价值混合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010381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浙商智能行业优选混合型发起式证券投资基金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浙商智能行业优选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007177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浙商智多盈债券型证券投资基金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浙商智多盈债券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013231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浙商智多兴稳健回报一年持有期混合型证券投资基金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浙商智多兴稳健一年持有期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009181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浙商智多享稳健混合型发起式证券投资基金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浙商智多享稳健混合型发起式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012268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浙商智多金稳健一年持有期混合型证券投资基金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浙商智多金稳健一年持有期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010539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浙商智多宝</w:t>
            </w:r>
            <w:r>
              <w:rPr>
                <w:rFonts w:hint="eastAsia"/>
              </w:rPr>
              <w:t>稳健一年持有期混合型证券投资基金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浙商智多宝稳健一年持有期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009568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浙商兴永纯债三个月定期开放债券型发起式证券投资基金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浙商兴永三个月定期开放债券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006284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浙商兴盈</w:t>
            </w:r>
            <w:r>
              <w:t>6</w:t>
            </w:r>
            <w:r>
              <w:t>个月定期开放债券型证券投资基金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浙商兴盈</w:t>
            </w:r>
            <w:r>
              <w:t>6</w:t>
            </w:r>
            <w:r>
              <w:t>个月定开债券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014896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浙商日添利货币市场基金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浙商日添利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002077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lastRenderedPageBreak/>
              <w:t>浙商日添金货币市场基金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浙商日添金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003874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浙商全景消费混合型证券投资基金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浙商全景消费混合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005335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浙商科技创新一个月滚动持有混合型证券投资基金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浙商科创一个月滚动持有混合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009353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浙商聚盈纯债债券型证券投资基金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浙商聚盈纯债债券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686868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浙商聚潮新思维混合型证券投资基金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浙商聚潮新思维混合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166801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浙商聚潮产业成长混合型证券投资基金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浙商聚潮产业成长混合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688888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浙商惠裕纯债债券型证券投资基金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浙商惠裕纯债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003549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浙商惠盈纯债债券型证券投资基金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浙商惠盈纯债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002279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浙商惠睿纯债债券型证券投资基金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浙商惠睿纯债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007459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浙商惠泉</w:t>
            </w:r>
            <w:r>
              <w:t>3</w:t>
            </w:r>
            <w:r>
              <w:t>个月定期开放债券型证券投资基金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浙商惠泉</w:t>
            </w:r>
            <w:r>
              <w:t>3</w:t>
            </w:r>
            <w:r>
              <w:t>个月定开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007224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浙商惠南纯债债券型证券投资基金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</w:t>
            </w:r>
            <w:r>
              <w:rPr>
                <w:rFonts w:hint="eastAsia"/>
              </w:rPr>
              <w:t>惠南纯债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003314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浙商惠隆</w:t>
            </w:r>
            <w:r>
              <w:t>39</w:t>
            </w:r>
            <w:r>
              <w:t>个月定期开放债券型证券投资基金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浙商惠隆</w:t>
            </w:r>
            <w:r>
              <w:t>39</w:t>
            </w:r>
            <w:r>
              <w:t>个月定开债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009679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浙商惠利纯债债券型证券投资基金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浙商惠利纯债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003220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浙商沪深</w:t>
            </w:r>
            <w:r>
              <w:t>300</w:t>
            </w:r>
            <w:r>
              <w:t>指数增强型证券投资基金</w:t>
            </w:r>
            <w:r>
              <w:t>(LOF)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浙商沪深</w:t>
            </w:r>
            <w:r>
              <w:t>300</w:t>
            </w:r>
            <w:r>
              <w:t>指数增强</w:t>
            </w:r>
            <w:r>
              <w:t>(LOF)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166802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浙商沪港深精选混合型证券投资基金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浙商沪港深混合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007368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浙商港股通中华交易服务预期高股息指数增强型证券投资基金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浙商中华预期高股息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007178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浙商丰裕纯债债券型证券投资基金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浙商丰裕纯债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007587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浙商丰顺纯债债券型证券</w:t>
            </w:r>
            <w:r>
              <w:rPr>
                <w:rFonts w:hint="eastAsia"/>
              </w:rPr>
              <w:t>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浙商丰顺纯债债券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007179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浙商丰利增强债券型证券投资基金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浙商丰利增强债券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006102</w:t>
            </w:r>
          </w:p>
        </w:tc>
      </w:tr>
      <w:tr w:rsidR="00000000">
        <w:trPr>
          <w:trHeight w:val="480"/>
          <w:jc w:val="center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浙商大数据智选消费灵活配置混合型证券投资基金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rPr>
                <w:rFonts w:hint="eastAsia"/>
              </w:rPr>
              <w:t>浙商大数据智选消费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0507D">
            <w:pPr>
              <w:rPr>
                <w:rFonts w:cs="Times New Roman" w:hint="eastAsia"/>
                <w:szCs w:val="21"/>
              </w:rPr>
            </w:pPr>
            <w:r>
              <w:t>002967</w:t>
            </w:r>
          </w:p>
        </w:tc>
      </w:tr>
    </w:tbl>
    <w:p w:rsidR="00000000" w:rsidRDefault="00B0507D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hAnsi="宋体"/>
          <w:szCs w:val="24"/>
        </w:rPr>
      </w:pPr>
      <w:bookmarkStart w:id="13" w:name="_Toc17898228"/>
      <w:bookmarkStart w:id="14" w:name="_Toc490050049"/>
      <w:bookmarkStart w:id="15" w:name="_Toc438646481"/>
      <w:bookmarkStart w:id="16" w:name="_Toc513295878"/>
      <w:bookmarkStart w:id="17" w:name="_Toc513295941"/>
      <w:bookmarkStart w:id="18" w:name="_Toc481075097"/>
      <w:bookmarkStart w:id="19" w:name="_Toc512519529"/>
      <w:bookmarkStart w:id="20" w:name="_Toc34322063"/>
      <w:bookmarkStart w:id="21" w:name="_Toc17897969"/>
      <w:bookmarkStart w:id="22" w:name="m201_01"/>
    </w:p>
    <w:p w:rsidR="00000000" w:rsidRDefault="00B0507D">
      <w:pPr>
        <w:pStyle w:val="XBRLTitle1"/>
        <w:numPr>
          <w:ilvl w:val="0"/>
          <w:numId w:val="0"/>
        </w:numPr>
        <w:spacing w:before="156" w:line="360" w:lineRule="auto"/>
        <w:jc w:val="left"/>
        <w:rPr>
          <w:rFonts w:hAnsi="宋体"/>
          <w:szCs w:val="24"/>
        </w:rPr>
      </w:pPr>
    </w:p>
    <w:p w:rsidR="00000000" w:rsidRDefault="00B0507D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000000" w:rsidRDefault="00B0507D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根据相关法律法规的规定及基金合同的约定，上述事项已经公司董事会审议通过，并已通知基金托管人。</w:t>
      </w: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000000" w:rsidRDefault="00B0507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浙商基金管理有限公司</w:t>
      </w:r>
    </w:p>
    <w:bookmarkEnd w:id="22"/>
    <w:p w:rsidR="00000000" w:rsidRDefault="00B0507D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10</w:t>
      </w:r>
      <w:r>
        <w:rPr>
          <w:rFonts w:hint="eastAsia"/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31</w:t>
      </w:r>
      <w:r>
        <w:rPr>
          <w:rFonts w:hint="eastAsia"/>
          <w:b/>
          <w:bCs/>
          <w:sz w:val="24"/>
          <w:szCs w:val="30"/>
        </w:rPr>
        <w:t>日</w:t>
      </w:r>
    </w:p>
    <w:sectPr w:rsidR="00000000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0507D">
      <w:r>
        <w:separator/>
      </w:r>
    </w:p>
  </w:endnote>
  <w:endnote w:type="continuationSeparator" w:id="0">
    <w:p w:rsidR="00000000" w:rsidRDefault="00B0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07D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0507D">
      <w:r>
        <w:separator/>
      </w:r>
    </w:p>
  </w:footnote>
  <w:footnote w:type="continuationSeparator" w:id="0">
    <w:p w:rsidR="00000000" w:rsidRDefault="00B05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07D">
    <w:pPr>
      <w:pStyle w:val="a8"/>
      <w:jc w:val="right"/>
      <w:rPr>
        <w:rFonts w:hint="eastAsia"/>
      </w:rPr>
    </w:pPr>
    <w:r>
      <w:rPr>
        <w:rFonts w:hint="eastAsia"/>
      </w:rPr>
      <w:t>浙商基金管理有限公司旗下基金改聘会计师事务所公告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540"/>
    <w:rsid w:val="000B4184"/>
    <w:rsid w:val="000D7B05"/>
    <w:rsid w:val="001E7BA5"/>
    <w:rsid w:val="001F0692"/>
    <w:rsid w:val="002169D3"/>
    <w:rsid w:val="00296ADB"/>
    <w:rsid w:val="002B1930"/>
    <w:rsid w:val="002B5214"/>
    <w:rsid w:val="002E2DDF"/>
    <w:rsid w:val="0030080B"/>
    <w:rsid w:val="003D029E"/>
    <w:rsid w:val="003E4711"/>
    <w:rsid w:val="00422540"/>
    <w:rsid w:val="005F1D17"/>
    <w:rsid w:val="005F4F04"/>
    <w:rsid w:val="006A592E"/>
    <w:rsid w:val="00742DEF"/>
    <w:rsid w:val="00753F4D"/>
    <w:rsid w:val="00783DC8"/>
    <w:rsid w:val="00796D24"/>
    <w:rsid w:val="007D68DD"/>
    <w:rsid w:val="0086090C"/>
    <w:rsid w:val="008720BF"/>
    <w:rsid w:val="008B6BF0"/>
    <w:rsid w:val="008E5060"/>
    <w:rsid w:val="008F2394"/>
    <w:rsid w:val="0098029E"/>
    <w:rsid w:val="009B706F"/>
    <w:rsid w:val="009D20FA"/>
    <w:rsid w:val="00A375AD"/>
    <w:rsid w:val="00A77786"/>
    <w:rsid w:val="00B04D68"/>
    <w:rsid w:val="00B0507D"/>
    <w:rsid w:val="00C03DAC"/>
    <w:rsid w:val="00CE43E5"/>
    <w:rsid w:val="00CF490B"/>
    <w:rsid w:val="00DA5515"/>
    <w:rsid w:val="00DF4FBA"/>
    <w:rsid w:val="00E93057"/>
    <w:rsid w:val="00ED42B7"/>
    <w:rsid w:val="00EF7BDB"/>
    <w:rsid w:val="00F61C01"/>
    <w:rsid w:val="00F8143B"/>
    <w:rsid w:val="00FA2815"/>
    <w:rsid w:val="5769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1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rPr>
      <w:rFonts w:cs="宋体"/>
      <w:kern w:val="2"/>
      <w:sz w:val="21"/>
    </w:rPr>
  </w:style>
  <w:style w:type="paragraph" w:styleId="30">
    <w:name w:val="toc 3"/>
    <w:basedOn w:val="a"/>
    <w:next w:val="a"/>
    <w:uiPriority w:val="39"/>
    <w:unhideWhenUsed/>
  </w:style>
  <w:style w:type="paragraph" w:styleId="a5">
    <w:name w:val="Date"/>
    <w:basedOn w:val="a"/>
    <w:next w:val="a"/>
    <w:link w:val="Char10"/>
    <w:rPr>
      <w:sz w:val="32"/>
    </w:rPr>
  </w:style>
  <w:style w:type="character" w:customStyle="1" w:styleId="Char10">
    <w:name w:val="日期 Char1"/>
    <w:link w:val="a5"/>
    <w:locked/>
    <w:rPr>
      <w:rFonts w:ascii="宋体" w:eastAsia="宋体" w:hAnsi="宋体" w:hint="eastAsia"/>
      <w:kern w:val="2"/>
      <w:sz w:val="32"/>
    </w:rPr>
  </w:style>
  <w:style w:type="paragraph" w:styleId="a6">
    <w:name w:val="Balloon Text"/>
    <w:basedOn w:val="a"/>
    <w:link w:val="Char11"/>
    <w:uiPriority w:val="99"/>
    <w:unhideWhenUsed/>
    <w:rPr>
      <w:sz w:val="18"/>
      <w:szCs w:val="18"/>
    </w:rPr>
  </w:style>
  <w:style w:type="character" w:customStyle="1" w:styleId="Char11">
    <w:name w:val="批注框文本 Char1"/>
    <w:link w:val="a6"/>
    <w:uiPriority w:val="99"/>
    <w:semiHidden/>
    <w:locked/>
    <w:rPr>
      <w:kern w:val="2"/>
      <w:sz w:val="18"/>
      <w:szCs w:val="18"/>
    </w:rPr>
  </w:style>
  <w:style w:type="paragraph" w:styleId="a7">
    <w:name w:val="footer"/>
    <w:basedOn w:val="a"/>
    <w:link w:val="Char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2">
    <w:name w:val="页脚 Char1"/>
    <w:link w:val="a7"/>
    <w:uiPriority w:val="99"/>
    <w:locked/>
    <w:rPr>
      <w:kern w:val="2"/>
      <w:sz w:val="18"/>
      <w:szCs w:val="18"/>
    </w:rPr>
  </w:style>
  <w:style w:type="paragraph" w:styleId="a8">
    <w:name w:val="header"/>
    <w:basedOn w:val="a"/>
    <w:link w:val="Char1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3">
    <w:name w:val="页眉 Char1"/>
    <w:link w:val="a8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9">
    <w:name w:val="Subtitle"/>
    <w:basedOn w:val="2"/>
    <w:next w:val="3"/>
    <w:link w:val="Char14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14">
    <w:name w:val="副标题 Char1"/>
    <w:link w:val="a9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paragraph" w:styleId="aa">
    <w:name w:val="footnote text"/>
    <w:basedOn w:val="a"/>
    <w:link w:val="Char15"/>
    <w:pPr>
      <w:snapToGrid w:val="0"/>
      <w:jc w:val="left"/>
    </w:pPr>
    <w:rPr>
      <w:sz w:val="18"/>
      <w:szCs w:val="18"/>
    </w:rPr>
  </w:style>
  <w:style w:type="character" w:customStyle="1" w:styleId="Char15">
    <w:name w:val="脚注文本 Char1"/>
    <w:link w:val="aa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6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16">
    <w:name w:val="标题 Char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unhideWhenUsed/>
    <w:rPr>
      <w:b/>
      <w:bCs/>
    </w:rPr>
  </w:style>
  <w:style w:type="character" w:customStyle="1" w:styleId="Char0">
    <w:name w:val="批注主题 Char"/>
    <w:link w:val="ad"/>
    <w:uiPriority w:val="99"/>
    <w:semiHidden/>
    <w:rPr>
      <w:rFonts w:cs="宋体"/>
      <w:b/>
      <w:bCs/>
      <w:kern w:val="2"/>
      <w:sz w:val="21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2">
    <w:name w:val="脚注文本 Char"/>
    <w:link w:val="aa"/>
    <w:locked/>
    <w:rPr>
      <w:kern w:val="2"/>
      <w:sz w:val="18"/>
      <w:szCs w:val="18"/>
    </w:rPr>
  </w:style>
  <w:style w:type="character" w:customStyle="1" w:styleId="Char3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4">
    <w:name w:val="页脚 Char"/>
    <w:link w:val="a7"/>
    <w:uiPriority w:val="99"/>
    <w:locked/>
    <w:rPr>
      <w:kern w:val="2"/>
      <w:sz w:val="18"/>
      <w:szCs w:val="18"/>
    </w:rPr>
  </w:style>
  <w:style w:type="character" w:customStyle="1" w:styleId="Char5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6">
    <w:name w:val="副标题 Char"/>
    <w:link w:val="a9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7">
    <w:name w:val="日期 Char"/>
    <w:link w:val="a5"/>
    <w:locked/>
    <w:rPr>
      <w:kern w:val="2"/>
      <w:sz w:val="21"/>
    </w:rPr>
  </w:style>
  <w:style w:type="character" w:customStyle="1" w:styleId="Char8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link w:val="a6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3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a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4">
    <w:name w:val="脚注文本 字符"/>
    <w:link w:val="aa"/>
    <w:locked/>
    <w:rPr>
      <w:kern w:val="2"/>
      <w:sz w:val="18"/>
      <w:szCs w:val="18"/>
    </w:rPr>
  </w:style>
  <w:style w:type="character" w:customStyle="1" w:styleId="af5">
    <w:name w:val="页眉 字符"/>
    <w:link w:val="a8"/>
    <w:locked/>
    <w:rPr>
      <w:kern w:val="2"/>
      <w:sz w:val="18"/>
      <w:szCs w:val="18"/>
    </w:rPr>
  </w:style>
  <w:style w:type="character" w:customStyle="1" w:styleId="af6">
    <w:name w:val="页脚 字符"/>
    <w:link w:val="a7"/>
    <w:uiPriority w:val="99"/>
    <w:locked/>
    <w:rPr>
      <w:kern w:val="2"/>
      <w:sz w:val="18"/>
      <w:szCs w:val="18"/>
    </w:rPr>
  </w:style>
  <w:style w:type="character" w:customStyle="1" w:styleId="af7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8">
    <w:name w:val="副标题 字符"/>
    <w:link w:val="a9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9">
    <w:name w:val="日期 字符"/>
    <w:link w:val="a5"/>
    <w:locked/>
    <w:rPr>
      <w:kern w:val="2"/>
      <w:sz w:val="21"/>
    </w:rPr>
  </w:style>
  <w:style w:type="character" w:customStyle="1" w:styleId="afa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b">
    <w:name w:val="批注框文本 字符"/>
    <w:link w:val="a6"/>
    <w:uiPriority w:val="99"/>
    <w:semiHidden/>
    <w:locked/>
    <w:rPr>
      <w:kern w:val="2"/>
      <w:sz w:val="18"/>
      <w:szCs w:val="18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2025-10-29T07:31:00Z</cp:lastPrinted>
  <dcterms:created xsi:type="dcterms:W3CDTF">2025-10-30T16:03:00Z</dcterms:created>
  <dcterms:modified xsi:type="dcterms:W3CDTF">2025-10-30T16:03:00Z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59BC6DE381244DED9A5A1C919F8CF1C4_13</vt:lpwstr>
  </property>
</Properties>
</file>