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290" w:rsidRPr="001F5EB9" w:rsidRDefault="00D35290">
      <w:pPr>
        <w:jc w:val="center"/>
        <w:rPr>
          <w:rFonts w:eastAsia="宋体"/>
          <w:b/>
          <w:color w:val="000000"/>
          <w:sz w:val="36"/>
          <w:szCs w:val="36"/>
        </w:rPr>
      </w:pPr>
      <w:r w:rsidRPr="001F5EB9">
        <w:rPr>
          <w:rFonts w:eastAsia="宋体"/>
          <w:b/>
          <w:color w:val="000000"/>
          <w:sz w:val="36"/>
          <w:szCs w:val="36"/>
        </w:rPr>
        <w:t>民生加银鑫喜灵活配置混合型证券投资基金</w:t>
      </w:r>
    </w:p>
    <w:p w:rsidR="003B3DC5" w:rsidRPr="001F5EB9" w:rsidRDefault="003B3DC5">
      <w:pPr>
        <w:jc w:val="center"/>
        <w:rPr>
          <w:rFonts w:eastAsia="宋体"/>
          <w:b/>
          <w:color w:val="000000"/>
          <w:sz w:val="36"/>
          <w:szCs w:val="36"/>
        </w:rPr>
      </w:pPr>
      <w:r w:rsidRPr="001F5EB9">
        <w:rPr>
          <w:rFonts w:eastAsia="宋体"/>
          <w:b/>
          <w:color w:val="000000"/>
          <w:sz w:val="36"/>
          <w:szCs w:val="36"/>
        </w:rPr>
        <w:t>202</w:t>
      </w:r>
      <w:r w:rsidR="0014688C" w:rsidRPr="001F5EB9">
        <w:rPr>
          <w:rFonts w:eastAsia="宋体"/>
          <w:b/>
          <w:color w:val="000000"/>
          <w:sz w:val="36"/>
          <w:szCs w:val="36"/>
        </w:rPr>
        <w:t>5</w:t>
      </w:r>
      <w:r w:rsidRPr="001F5EB9">
        <w:rPr>
          <w:rFonts w:eastAsia="宋体"/>
          <w:b/>
          <w:color w:val="000000"/>
          <w:sz w:val="36"/>
          <w:szCs w:val="36"/>
        </w:rPr>
        <w:t>年</w:t>
      </w:r>
      <w:r w:rsidR="00D35290" w:rsidRPr="001F5EB9">
        <w:rPr>
          <w:rFonts w:eastAsia="宋体"/>
          <w:b/>
          <w:color w:val="000000"/>
          <w:sz w:val="36"/>
          <w:szCs w:val="36"/>
        </w:rPr>
        <w:t>第</w:t>
      </w:r>
      <w:r w:rsidR="00D35290" w:rsidRPr="001F5EB9">
        <w:rPr>
          <w:rFonts w:eastAsia="宋体"/>
          <w:b/>
          <w:color w:val="000000"/>
          <w:sz w:val="36"/>
          <w:szCs w:val="36"/>
        </w:rPr>
        <w:t>1</w:t>
      </w:r>
      <w:r w:rsidRPr="001F5EB9">
        <w:rPr>
          <w:rFonts w:eastAsia="宋体"/>
          <w:b/>
          <w:color w:val="000000"/>
          <w:sz w:val="36"/>
          <w:szCs w:val="36"/>
        </w:rPr>
        <w:t>次分红公告</w:t>
      </w:r>
    </w:p>
    <w:p w:rsidR="003B3DC5" w:rsidRPr="001F5EB9" w:rsidRDefault="003B3DC5">
      <w:pPr>
        <w:spacing w:line="560" w:lineRule="exact"/>
        <w:jc w:val="center"/>
        <w:rPr>
          <w:rFonts w:eastAsia="宋体"/>
          <w:color w:val="000000"/>
          <w:sz w:val="24"/>
        </w:rPr>
      </w:pPr>
      <w:r w:rsidRPr="001F5EB9">
        <w:rPr>
          <w:rFonts w:eastAsia="宋体"/>
          <w:color w:val="000000"/>
          <w:sz w:val="24"/>
        </w:rPr>
        <w:t>公告送出日期：</w:t>
      </w:r>
      <w:r w:rsidR="00D35290" w:rsidRPr="001F5EB9">
        <w:rPr>
          <w:rFonts w:eastAsia="宋体"/>
          <w:color w:val="000000"/>
          <w:sz w:val="24"/>
        </w:rPr>
        <w:t>2025</w:t>
      </w:r>
      <w:r w:rsidR="00D35290" w:rsidRPr="001F5EB9">
        <w:rPr>
          <w:rFonts w:eastAsia="宋体"/>
          <w:color w:val="000000"/>
          <w:sz w:val="24"/>
        </w:rPr>
        <w:t>年</w:t>
      </w:r>
      <w:r w:rsidR="00D35290" w:rsidRPr="001F5EB9">
        <w:rPr>
          <w:rFonts w:eastAsia="宋体"/>
          <w:color w:val="000000"/>
          <w:sz w:val="24"/>
        </w:rPr>
        <w:t>10</w:t>
      </w:r>
      <w:r w:rsidR="0014688C" w:rsidRPr="001F5EB9">
        <w:rPr>
          <w:rFonts w:eastAsia="宋体"/>
          <w:color w:val="000000"/>
          <w:sz w:val="24"/>
        </w:rPr>
        <w:t>月</w:t>
      </w:r>
      <w:r w:rsidR="00D35290" w:rsidRPr="001F5EB9">
        <w:rPr>
          <w:rFonts w:eastAsia="宋体"/>
          <w:color w:val="000000"/>
          <w:sz w:val="24"/>
        </w:rPr>
        <w:t>31</w:t>
      </w:r>
      <w:r w:rsidR="0014688C" w:rsidRPr="001F5EB9">
        <w:rPr>
          <w:rFonts w:eastAsia="宋体"/>
          <w:color w:val="000000"/>
          <w:sz w:val="24"/>
        </w:rPr>
        <w:t>日</w:t>
      </w:r>
    </w:p>
    <w:p w:rsidR="003B3DC5" w:rsidRPr="001F5EB9" w:rsidRDefault="003B3DC5" w:rsidP="000B5653">
      <w:pPr>
        <w:pStyle w:val="2"/>
        <w:spacing w:after="120" w:line="560" w:lineRule="exact"/>
        <w:rPr>
          <w:rFonts w:ascii="Times New Roman" w:eastAsia="宋体" w:hAnsi="Times New Roman"/>
          <w:bCs w:val="0"/>
          <w:color w:val="000000"/>
          <w:sz w:val="24"/>
          <w:szCs w:val="24"/>
        </w:rPr>
      </w:pPr>
      <w:bookmarkStart w:id="0" w:name="_Toc275961418"/>
      <w:r w:rsidRPr="001F5EB9">
        <w:rPr>
          <w:rFonts w:ascii="Times New Roman" w:eastAsia="宋体" w:hAnsi="Times New Roman"/>
          <w:bCs w:val="0"/>
          <w:color w:val="000000"/>
          <w:sz w:val="24"/>
          <w:szCs w:val="24"/>
        </w:rPr>
        <w:t xml:space="preserve">1 </w:t>
      </w:r>
      <w:r w:rsidRPr="001F5EB9">
        <w:rPr>
          <w:rFonts w:ascii="Times New Roman" w:eastAsia="宋体" w:hAnsi="Times New Roman"/>
          <w:bCs w:val="0"/>
          <w:color w:val="000000"/>
          <w:sz w:val="24"/>
          <w:szCs w:val="24"/>
        </w:rPr>
        <w:t>公告基本信息</w:t>
      </w:r>
      <w:bookmarkEnd w:id="0"/>
    </w:p>
    <w:tbl>
      <w:tblPr>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85"/>
        <w:gridCol w:w="2268"/>
        <w:gridCol w:w="2835"/>
        <w:gridCol w:w="2501"/>
      </w:tblGrid>
      <w:tr w:rsidR="003B3DC5" w:rsidRPr="001F5EB9" w:rsidTr="0093190B">
        <w:trPr>
          <w:trHeight w:val="454"/>
          <w:jc w:val="center"/>
        </w:trPr>
        <w:tc>
          <w:tcPr>
            <w:tcW w:w="3553" w:type="dxa"/>
            <w:gridSpan w:val="2"/>
            <w:vAlign w:val="center"/>
          </w:tcPr>
          <w:p w:rsidR="003B3DC5" w:rsidRPr="001F5EB9" w:rsidRDefault="003B3DC5" w:rsidP="0014688C">
            <w:pPr>
              <w:snapToGrid w:val="0"/>
              <w:rPr>
                <w:rFonts w:eastAsia="宋体"/>
                <w:color w:val="000000"/>
                <w:sz w:val="24"/>
                <w:szCs w:val="24"/>
              </w:rPr>
            </w:pPr>
            <w:r w:rsidRPr="001F5EB9">
              <w:rPr>
                <w:rFonts w:eastAsia="宋体"/>
                <w:color w:val="000000"/>
                <w:sz w:val="24"/>
                <w:szCs w:val="24"/>
              </w:rPr>
              <w:t>基金名称</w:t>
            </w:r>
          </w:p>
        </w:tc>
        <w:tc>
          <w:tcPr>
            <w:tcW w:w="5336" w:type="dxa"/>
            <w:gridSpan w:val="2"/>
            <w:vAlign w:val="center"/>
          </w:tcPr>
          <w:p w:rsidR="009E2D98" w:rsidRPr="001F5EB9" w:rsidRDefault="00D35290" w:rsidP="009E2D98">
            <w:pPr>
              <w:pStyle w:val="Default"/>
              <w:snapToGrid w:val="0"/>
              <w:ind w:leftChars="11" w:left="515" w:hanging="480"/>
              <w:jc w:val="both"/>
              <w:rPr>
                <w:rFonts w:ascii="Times New Roman" w:cs="Times New Roman"/>
              </w:rPr>
            </w:pPr>
            <w:r w:rsidRPr="001F5EB9">
              <w:rPr>
                <w:rFonts w:ascii="Times New Roman" w:cs="Times New Roman"/>
              </w:rPr>
              <w:t>民生加银鑫喜灵活配置混合型证券投资基金</w:t>
            </w:r>
          </w:p>
          <w:p w:rsidR="003B3DC5" w:rsidRPr="001F5EB9" w:rsidRDefault="00D35290" w:rsidP="0093190B">
            <w:pPr>
              <w:pStyle w:val="Default"/>
              <w:snapToGrid w:val="0"/>
              <w:jc w:val="both"/>
              <w:rPr>
                <w:rFonts w:ascii="Times New Roman" w:cs="Times New Roman"/>
              </w:rPr>
            </w:pPr>
            <w:r w:rsidRPr="001F5EB9">
              <w:rPr>
                <w:rFonts w:ascii="Times New Roman" w:cs="Times New Roman"/>
              </w:rPr>
              <w:t>（以下简称</w:t>
            </w:r>
            <w:r w:rsidRPr="001F5EB9">
              <w:rPr>
                <w:rFonts w:ascii="Times New Roman" w:cs="Times New Roman"/>
              </w:rPr>
              <w:t>“</w:t>
            </w:r>
            <w:r w:rsidRPr="001F5EB9">
              <w:rPr>
                <w:rFonts w:ascii="Times New Roman" w:cs="Times New Roman"/>
              </w:rPr>
              <w:t>本基金</w:t>
            </w:r>
            <w:r w:rsidRPr="001F5EB9">
              <w:rPr>
                <w:rFonts w:ascii="Times New Roman" w:cs="Times New Roman"/>
              </w:rPr>
              <w:t>”</w:t>
            </w:r>
            <w:r w:rsidRPr="001F5EB9">
              <w:rPr>
                <w:rFonts w:ascii="Times New Roman" w:cs="Times New Roman"/>
              </w:rPr>
              <w:t>）</w:t>
            </w:r>
          </w:p>
        </w:tc>
      </w:tr>
      <w:tr w:rsidR="003B3DC5" w:rsidRPr="001F5EB9" w:rsidTr="0093190B">
        <w:trPr>
          <w:trHeight w:val="454"/>
          <w:jc w:val="center"/>
        </w:trPr>
        <w:tc>
          <w:tcPr>
            <w:tcW w:w="3553" w:type="dxa"/>
            <w:gridSpan w:val="2"/>
            <w:vAlign w:val="center"/>
          </w:tcPr>
          <w:p w:rsidR="003B3DC5" w:rsidRPr="001F5EB9" w:rsidRDefault="003B3DC5" w:rsidP="0014688C">
            <w:pPr>
              <w:snapToGrid w:val="0"/>
              <w:rPr>
                <w:rFonts w:eastAsia="宋体"/>
                <w:color w:val="000000"/>
                <w:sz w:val="24"/>
                <w:szCs w:val="24"/>
              </w:rPr>
            </w:pPr>
            <w:r w:rsidRPr="001F5EB9">
              <w:rPr>
                <w:rFonts w:eastAsia="宋体"/>
                <w:color w:val="000000"/>
                <w:sz w:val="24"/>
                <w:szCs w:val="24"/>
              </w:rPr>
              <w:t>基金简称</w:t>
            </w:r>
          </w:p>
        </w:tc>
        <w:tc>
          <w:tcPr>
            <w:tcW w:w="5336" w:type="dxa"/>
            <w:gridSpan w:val="2"/>
            <w:vAlign w:val="center"/>
          </w:tcPr>
          <w:p w:rsidR="003B3DC5" w:rsidRPr="001F5EB9" w:rsidRDefault="00D35290" w:rsidP="0014688C">
            <w:pPr>
              <w:pStyle w:val="Default"/>
              <w:snapToGrid w:val="0"/>
              <w:ind w:leftChars="11" w:left="515" w:hanging="480"/>
              <w:jc w:val="both"/>
              <w:rPr>
                <w:rFonts w:ascii="Times New Roman" w:cs="Times New Roman"/>
              </w:rPr>
            </w:pPr>
            <w:r w:rsidRPr="001F5EB9">
              <w:rPr>
                <w:rFonts w:ascii="Times New Roman" w:cs="Times New Roman"/>
              </w:rPr>
              <w:t>民生加银鑫喜混合</w:t>
            </w:r>
          </w:p>
        </w:tc>
      </w:tr>
      <w:tr w:rsidR="003B3DC5" w:rsidRPr="001F5EB9" w:rsidTr="0093190B">
        <w:trPr>
          <w:trHeight w:val="454"/>
          <w:jc w:val="center"/>
        </w:trPr>
        <w:tc>
          <w:tcPr>
            <w:tcW w:w="3553" w:type="dxa"/>
            <w:gridSpan w:val="2"/>
            <w:vAlign w:val="center"/>
          </w:tcPr>
          <w:p w:rsidR="003B3DC5" w:rsidRPr="001F5EB9" w:rsidRDefault="003B3DC5" w:rsidP="0014688C">
            <w:pPr>
              <w:snapToGrid w:val="0"/>
              <w:rPr>
                <w:rFonts w:eastAsia="宋体"/>
                <w:color w:val="000000"/>
                <w:sz w:val="24"/>
                <w:szCs w:val="24"/>
              </w:rPr>
            </w:pPr>
            <w:r w:rsidRPr="001F5EB9">
              <w:rPr>
                <w:rFonts w:eastAsia="宋体"/>
                <w:color w:val="000000"/>
                <w:sz w:val="24"/>
                <w:szCs w:val="24"/>
              </w:rPr>
              <w:t>基金主代码</w:t>
            </w:r>
          </w:p>
        </w:tc>
        <w:tc>
          <w:tcPr>
            <w:tcW w:w="5336" w:type="dxa"/>
            <w:gridSpan w:val="2"/>
            <w:vAlign w:val="center"/>
          </w:tcPr>
          <w:p w:rsidR="003B3DC5" w:rsidRPr="001F5EB9" w:rsidRDefault="00D35290" w:rsidP="0014688C">
            <w:pPr>
              <w:pStyle w:val="Default"/>
              <w:snapToGrid w:val="0"/>
              <w:ind w:leftChars="11" w:left="515" w:hanging="480"/>
              <w:jc w:val="both"/>
              <w:rPr>
                <w:rFonts w:ascii="Times New Roman" w:cs="Times New Roman"/>
              </w:rPr>
            </w:pPr>
            <w:r w:rsidRPr="001F5EB9">
              <w:rPr>
                <w:rFonts w:ascii="Times New Roman" w:cs="Times New Roman"/>
              </w:rPr>
              <w:t>002455</w:t>
            </w:r>
          </w:p>
        </w:tc>
      </w:tr>
      <w:tr w:rsidR="003B3DC5" w:rsidRPr="001F5EB9" w:rsidTr="0093190B">
        <w:trPr>
          <w:trHeight w:val="454"/>
          <w:jc w:val="center"/>
        </w:trPr>
        <w:tc>
          <w:tcPr>
            <w:tcW w:w="3553" w:type="dxa"/>
            <w:gridSpan w:val="2"/>
            <w:vAlign w:val="center"/>
          </w:tcPr>
          <w:p w:rsidR="003B3DC5" w:rsidRPr="001F5EB9" w:rsidRDefault="003B3DC5" w:rsidP="0014688C">
            <w:pPr>
              <w:snapToGrid w:val="0"/>
              <w:rPr>
                <w:rFonts w:eastAsia="宋体"/>
                <w:color w:val="000000"/>
                <w:sz w:val="24"/>
                <w:szCs w:val="24"/>
              </w:rPr>
            </w:pPr>
            <w:r w:rsidRPr="001F5EB9">
              <w:rPr>
                <w:rFonts w:eastAsia="宋体"/>
                <w:color w:val="000000"/>
                <w:sz w:val="24"/>
                <w:szCs w:val="24"/>
              </w:rPr>
              <w:t>基金合同生效日</w:t>
            </w:r>
          </w:p>
        </w:tc>
        <w:tc>
          <w:tcPr>
            <w:tcW w:w="5336" w:type="dxa"/>
            <w:gridSpan w:val="2"/>
            <w:vAlign w:val="center"/>
          </w:tcPr>
          <w:p w:rsidR="003B3DC5" w:rsidRPr="001F5EB9" w:rsidRDefault="00D35290" w:rsidP="0014688C">
            <w:pPr>
              <w:pStyle w:val="Default"/>
              <w:snapToGrid w:val="0"/>
              <w:ind w:leftChars="11" w:left="515" w:hanging="480"/>
              <w:jc w:val="both"/>
              <w:rPr>
                <w:rFonts w:ascii="Times New Roman" w:cs="Times New Roman"/>
              </w:rPr>
            </w:pPr>
            <w:r w:rsidRPr="001F5EB9">
              <w:rPr>
                <w:rFonts w:ascii="Times New Roman" w:cs="Times New Roman"/>
              </w:rPr>
              <w:t>2016</w:t>
            </w:r>
            <w:r w:rsidRPr="001F5EB9">
              <w:rPr>
                <w:rFonts w:ascii="Times New Roman" w:cs="Times New Roman"/>
              </w:rPr>
              <w:t>年</w:t>
            </w:r>
            <w:r w:rsidRPr="001F5EB9">
              <w:rPr>
                <w:rFonts w:ascii="Times New Roman" w:cs="Times New Roman"/>
              </w:rPr>
              <w:t>12</w:t>
            </w:r>
            <w:r w:rsidRPr="001F5EB9">
              <w:rPr>
                <w:rFonts w:ascii="Times New Roman" w:cs="Times New Roman"/>
              </w:rPr>
              <w:t>月</w:t>
            </w:r>
            <w:r w:rsidRPr="001F5EB9">
              <w:rPr>
                <w:rFonts w:ascii="Times New Roman" w:cs="Times New Roman"/>
              </w:rPr>
              <w:t>9</w:t>
            </w:r>
            <w:r w:rsidRPr="001F5EB9">
              <w:rPr>
                <w:rFonts w:ascii="Times New Roman" w:cs="Times New Roman"/>
              </w:rPr>
              <w:t>日</w:t>
            </w:r>
          </w:p>
        </w:tc>
      </w:tr>
      <w:tr w:rsidR="003B3DC5" w:rsidRPr="001F5EB9" w:rsidTr="0093190B">
        <w:trPr>
          <w:trHeight w:val="454"/>
          <w:jc w:val="center"/>
        </w:trPr>
        <w:tc>
          <w:tcPr>
            <w:tcW w:w="3553" w:type="dxa"/>
            <w:gridSpan w:val="2"/>
            <w:vAlign w:val="center"/>
          </w:tcPr>
          <w:p w:rsidR="003B3DC5" w:rsidRPr="001F5EB9" w:rsidRDefault="003B3DC5" w:rsidP="0014688C">
            <w:pPr>
              <w:snapToGrid w:val="0"/>
              <w:rPr>
                <w:rFonts w:eastAsia="宋体"/>
                <w:color w:val="000000"/>
                <w:sz w:val="24"/>
                <w:szCs w:val="24"/>
              </w:rPr>
            </w:pPr>
            <w:r w:rsidRPr="001F5EB9">
              <w:rPr>
                <w:rFonts w:eastAsia="宋体"/>
                <w:color w:val="000000"/>
                <w:sz w:val="24"/>
                <w:szCs w:val="24"/>
              </w:rPr>
              <w:t>基金管理人名称</w:t>
            </w:r>
          </w:p>
        </w:tc>
        <w:tc>
          <w:tcPr>
            <w:tcW w:w="5336" w:type="dxa"/>
            <w:gridSpan w:val="2"/>
            <w:vAlign w:val="center"/>
          </w:tcPr>
          <w:p w:rsidR="003B3DC5" w:rsidRPr="001F5EB9" w:rsidRDefault="003B3DC5" w:rsidP="0014688C">
            <w:pPr>
              <w:pStyle w:val="Default"/>
              <w:snapToGrid w:val="0"/>
              <w:ind w:leftChars="11" w:left="515" w:hanging="480"/>
              <w:jc w:val="both"/>
              <w:rPr>
                <w:rFonts w:ascii="Times New Roman" w:cs="Times New Roman"/>
              </w:rPr>
            </w:pPr>
            <w:r w:rsidRPr="001F5EB9">
              <w:rPr>
                <w:rFonts w:ascii="Times New Roman" w:cs="Times New Roman"/>
              </w:rPr>
              <w:t>民生加银基金管理有限公司</w:t>
            </w:r>
          </w:p>
        </w:tc>
      </w:tr>
      <w:tr w:rsidR="003B3DC5" w:rsidRPr="001F5EB9" w:rsidTr="0093190B">
        <w:trPr>
          <w:trHeight w:val="454"/>
          <w:jc w:val="center"/>
        </w:trPr>
        <w:tc>
          <w:tcPr>
            <w:tcW w:w="3553" w:type="dxa"/>
            <w:gridSpan w:val="2"/>
            <w:vAlign w:val="center"/>
          </w:tcPr>
          <w:p w:rsidR="003B3DC5" w:rsidRPr="001F5EB9" w:rsidRDefault="003B3DC5" w:rsidP="0014688C">
            <w:pPr>
              <w:snapToGrid w:val="0"/>
              <w:rPr>
                <w:rFonts w:eastAsia="宋体"/>
                <w:color w:val="000000"/>
                <w:sz w:val="24"/>
                <w:szCs w:val="24"/>
              </w:rPr>
            </w:pPr>
            <w:r w:rsidRPr="001F5EB9">
              <w:rPr>
                <w:rFonts w:eastAsia="宋体"/>
                <w:color w:val="000000"/>
                <w:sz w:val="24"/>
                <w:szCs w:val="24"/>
              </w:rPr>
              <w:t>基金托管人名称</w:t>
            </w:r>
          </w:p>
        </w:tc>
        <w:tc>
          <w:tcPr>
            <w:tcW w:w="5336" w:type="dxa"/>
            <w:gridSpan w:val="2"/>
            <w:tcBorders>
              <w:bottom w:val="single" w:sz="4" w:space="0" w:color="auto"/>
            </w:tcBorders>
            <w:vAlign w:val="center"/>
          </w:tcPr>
          <w:p w:rsidR="003B3DC5" w:rsidRPr="001F5EB9" w:rsidRDefault="003B3DC5" w:rsidP="0014688C">
            <w:pPr>
              <w:pStyle w:val="Default"/>
              <w:snapToGrid w:val="0"/>
              <w:ind w:leftChars="11" w:left="515" w:hanging="480"/>
              <w:jc w:val="both"/>
              <w:rPr>
                <w:rFonts w:ascii="Times New Roman" w:cs="Times New Roman"/>
              </w:rPr>
            </w:pPr>
            <w:r w:rsidRPr="001F5EB9">
              <w:rPr>
                <w:rFonts w:ascii="Times New Roman" w:cs="Times New Roman"/>
              </w:rPr>
              <w:t>中国建设银行股份有限公司</w:t>
            </w:r>
          </w:p>
        </w:tc>
      </w:tr>
      <w:tr w:rsidR="003B3DC5" w:rsidRPr="001F5EB9" w:rsidTr="0093190B">
        <w:trPr>
          <w:jc w:val="center"/>
        </w:trPr>
        <w:tc>
          <w:tcPr>
            <w:tcW w:w="3553" w:type="dxa"/>
            <w:gridSpan w:val="2"/>
            <w:vAlign w:val="center"/>
          </w:tcPr>
          <w:p w:rsidR="003B3DC5" w:rsidRPr="001F5EB9" w:rsidRDefault="003B3DC5" w:rsidP="000B5653">
            <w:pPr>
              <w:rPr>
                <w:rFonts w:eastAsia="宋体"/>
                <w:color w:val="000000"/>
                <w:kern w:val="0"/>
                <w:sz w:val="24"/>
                <w:szCs w:val="24"/>
              </w:rPr>
            </w:pPr>
            <w:r w:rsidRPr="001F5EB9">
              <w:rPr>
                <w:rFonts w:eastAsia="宋体"/>
                <w:color w:val="000000"/>
                <w:kern w:val="0"/>
                <w:sz w:val="24"/>
                <w:szCs w:val="24"/>
              </w:rPr>
              <w:t>公告依据</w:t>
            </w:r>
          </w:p>
        </w:tc>
        <w:tc>
          <w:tcPr>
            <w:tcW w:w="5336" w:type="dxa"/>
            <w:gridSpan w:val="2"/>
            <w:shd w:val="clear" w:color="auto" w:fill="auto"/>
            <w:vAlign w:val="center"/>
          </w:tcPr>
          <w:p w:rsidR="003B3DC5" w:rsidRPr="001F5EB9" w:rsidRDefault="003B3DC5" w:rsidP="000B5653">
            <w:pPr>
              <w:rPr>
                <w:rFonts w:eastAsia="宋体"/>
                <w:color w:val="000000"/>
                <w:sz w:val="24"/>
                <w:szCs w:val="24"/>
              </w:rPr>
            </w:pPr>
            <w:r w:rsidRPr="001F5EB9">
              <w:rPr>
                <w:rFonts w:eastAsia="宋体"/>
                <w:color w:val="000000"/>
                <w:sz w:val="24"/>
                <w:szCs w:val="24"/>
              </w:rPr>
              <w:t>《中华人民共和国证券投资基金法》、《公开募集证券投资基金运作管理办法》、《公开募集证券投资基金信息披露管理办法》、</w:t>
            </w:r>
            <w:r w:rsidR="00D35290" w:rsidRPr="001F5EB9">
              <w:rPr>
                <w:rFonts w:eastAsia="宋体"/>
                <w:color w:val="000000"/>
                <w:sz w:val="24"/>
                <w:szCs w:val="24"/>
              </w:rPr>
              <w:t>《民生加银鑫喜灵活配置混合型证券投资基金基金合同》、《民生加银鑫喜灵活配置混合型证券投资基金招募说明书》</w:t>
            </w:r>
            <w:r w:rsidRPr="001F5EB9">
              <w:rPr>
                <w:rFonts w:eastAsia="宋体"/>
                <w:color w:val="000000"/>
                <w:sz w:val="24"/>
                <w:szCs w:val="24"/>
              </w:rPr>
              <w:t>及其更新</w:t>
            </w:r>
          </w:p>
        </w:tc>
      </w:tr>
      <w:tr w:rsidR="003B3DC5" w:rsidRPr="001F5EB9" w:rsidTr="0093190B">
        <w:trPr>
          <w:trHeight w:val="454"/>
          <w:jc w:val="center"/>
        </w:trPr>
        <w:tc>
          <w:tcPr>
            <w:tcW w:w="3553" w:type="dxa"/>
            <w:gridSpan w:val="2"/>
            <w:vAlign w:val="center"/>
          </w:tcPr>
          <w:p w:rsidR="003B3DC5" w:rsidRPr="001F5EB9" w:rsidRDefault="003B3DC5" w:rsidP="007A7A22">
            <w:pPr>
              <w:rPr>
                <w:rFonts w:eastAsia="宋体"/>
                <w:color w:val="000000"/>
                <w:sz w:val="24"/>
                <w:szCs w:val="24"/>
              </w:rPr>
            </w:pPr>
            <w:r w:rsidRPr="001F5EB9">
              <w:rPr>
                <w:rFonts w:eastAsia="宋体"/>
                <w:color w:val="000000"/>
                <w:sz w:val="24"/>
                <w:szCs w:val="24"/>
              </w:rPr>
              <w:t>收益分配基准日</w:t>
            </w:r>
          </w:p>
        </w:tc>
        <w:tc>
          <w:tcPr>
            <w:tcW w:w="5336" w:type="dxa"/>
            <w:gridSpan w:val="2"/>
            <w:vAlign w:val="center"/>
          </w:tcPr>
          <w:p w:rsidR="003B3DC5" w:rsidRPr="001F5EB9" w:rsidRDefault="00D35290" w:rsidP="00D35290">
            <w:pPr>
              <w:pStyle w:val="Default"/>
              <w:ind w:leftChars="11" w:left="515" w:hanging="480"/>
              <w:jc w:val="both"/>
              <w:rPr>
                <w:rFonts w:ascii="Times New Roman" w:cs="Times New Roman"/>
              </w:rPr>
            </w:pPr>
            <w:r w:rsidRPr="001F5EB9">
              <w:rPr>
                <w:rFonts w:ascii="Times New Roman" w:cs="Times New Roman"/>
              </w:rPr>
              <w:t>2025</w:t>
            </w:r>
            <w:r w:rsidRPr="001F5EB9">
              <w:rPr>
                <w:rFonts w:ascii="Times New Roman" w:cs="Times New Roman"/>
              </w:rPr>
              <w:t>年</w:t>
            </w:r>
            <w:r w:rsidRPr="001F5EB9">
              <w:rPr>
                <w:rFonts w:ascii="Times New Roman" w:cs="Times New Roman"/>
              </w:rPr>
              <w:t>10</w:t>
            </w:r>
            <w:r w:rsidR="00A82FB3" w:rsidRPr="001F5EB9">
              <w:rPr>
                <w:rFonts w:ascii="Times New Roman" w:cs="Times New Roman"/>
              </w:rPr>
              <w:t>月</w:t>
            </w:r>
            <w:r w:rsidRPr="001F5EB9">
              <w:rPr>
                <w:rFonts w:ascii="Times New Roman" w:cs="Times New Roman"/>
              </w:rPr>
              <w:t>27</w:t>
            </w:r>
            <w:r w:rsidR="00A82FB3" w:rsidRPr="001F5EB9">
              <w:rPr>
                <w:rFonts w:ascii="Times New Roman" w:cs="Times New Roman"/>
              </w:rPr>
              <w:t>日</w:t>
            </w:r>
          </w:p>
        </w:tc>
      </w:tr>
      <w:tr w:rsidR="003B3DC5" w:rsidRPr="001F5EB9" w:rsidTr="0093190B">
        <w:trPr>
          <w:trHeight w:val="454"/>
          <w:jc w:val="center"/>
        </w:trPr>
        <w:tc>
          <w:tcPr>
            <w:tcW w:w="3553" w:type="dxa"/>
            <w:gridSpan w:val="2"/>
            <w:vAlign w:val="center"/>
          </w:tcPr>
          <w:p w:rsidR="003B3DC5" w:rsidRPr="001F5EB9" w:rsidRDefault="003B3DC5" w:rsidP="000B5653">
            <w:pPr>
              <w:rPr>
                <w:rFonts w:eastAsia="宋体"/>
                <w:color w:val="000000"/>
                <w:sz w:val="24"/>
                <w:szCs w:val="24"/>
              </w:rPr>
            </w:pPr>
            <w:r w:rsidRPr="001F5EB9">
              <w:rPr>
                <w:rFonts w:eastAsia="宋体"/>
                <w:color w:val="000000"/>
                <w:sz w:val="24"/>
                <w:szCs w:val="24"/>
              </w:rPr>
              <w:t>有关年度分红次数的说明</w:t>
            </w:r>
          </w:p>
        </w:tc>
        <w:tc>
          <w:tcPr>
            <w:tcW w:w="5336" w:type="dxa"/>
            <w:gridSpan w:val="2"/>
            <w:vAlign w:val="center"/>
          </w:tcPr>
          <w:p w:rsidR="003B3DC5" w:rsidRPr="001F5EB9" w:rsidRDefault="003B3DC5" w:rsidP="00771DDE">
            <w:pPr>
              <w:pStyle w:val="Default"/>
              <w:ind w:leftChars="11" w:left="515" w:hanging="480"/>
              <w:jc w:val="both"/>
              <w:rPr>
                <w:rFonts w:ascii="Times New Roman" w:cs="Times New Roman"/>
              </w:rPr>
            </w:pPr>
            <w:r w:rsidRPr="001F5EB9">
              <w:rPr>
                <w:rFonts w:ascii="Times New Roman" w:cs="Times New Roman"/>
              </w:rPr>
              <w:t>本次分红为</w:t>
            </w:r>
            <w:r w:rsidR="000C144E" w:rsidRPr="001F5EB9">
              <w:rPr>
                <w:rFonts w:ascii="Times New Roman" w:cs="Times New Roman"/>
              </w:rPr>
              <w:t>本基金</w:t>
            </w:r>
            <w:r w:rsidRPr="001F5EB9">
              <w:rPr>
                <w:rFonts w:ascii="Times New Roman" w:cs="Times New Roman"/>
              </w:rPr>
              <w:t>202</w:t>
            </w:r>
            <w:r w:rsidR="0014688C" w:rsidRPr="001F5EB9">
              <w:rPr>
                <w:rFonts w:ascii="Times New Roman" w:cs="Times New Roman"/>
              </w:rPr>
              <w:t>5</w:t>
            </w:r>
            <w:r w:rsidRPr="001F5EB9">
              <w:rPr>
                <w:rFonts w:ascii="Times New Roman" w:cs="Times New Roman"/>
              </w:rPr>
              <w:t>年度的</w:t>
            </w:r>
            <w:r w:rsidR="00771DDE" w:rsidRPr="001F5EB9">
              <w:rPr>
                <w:rFonts w:ascii="Times New Roman" w:cs="Times New Roman"/>
              </w:rPr>
              <w:t>第</w:t>
            </w:r>
            <w:r w:rsidR="00771DDE" w:rsidRPr="001F5EB9">
              <w:rPr>
                <w:rFonts w:ascii="Times New Roman" w:cs="Times New Roman"/>
              </w:rPr>
              <w:t>1</w:t>
            </w:r>
            <w:r w:rsidRPr="001F5EB9">
              <w:rPr>
                <w:rFonts w:ascii="Times New Roman" w:cs="Times New Roman"/>
              </w:rPr>
              <w:t>次分红</w:t>
            </w:r>
          </w:p>
        </w:tc>
      </w:tr>
      <w:tr w:rsidR="00771DDE" w:rsidRPr="001F5EB9" w:rsidTr="0093190B">
        <w:trPr>
          <w:trHeight w:val="627"/>
          <w:jc w:val="center"/>
        </w:trPr>
        <w:tc>
          <w:tcPr>
            <w:tcW w:w="3553" w:type="dxa"/>
            <w:gridSpan w:val="2"/>
            <w:vAlign w:val="center"/>
          </w:tcPr>
          <w:p w:rsidR="00771DDE" w:rsidRPr="001F5EB9" w:rsidRDefault="00771DDE" w:rsidP="00771DDE">
            <w:pPr>
              <w:rPr>
                <w:rFonts w:eastAsia="宋体"/>
                <w:color w:val="000000"/>
                <w:sz w:val="24"/>
                <w:szCs w:val="24"/>
              </w:rPr>
            </w:pPr>
            <w:r w:rsidRPr="001F5EB9">
              <w:rPr>
                <w:rFonts w:eastAsia="宋体"/>
                <w:color w:val="000000"/>
                <w:sz w:val="24"/>
                <w:szCs w:val="24"/>
              </w:rPr>
              <w:t>下属分级基金的基金简称</w:t>
            </w:r>
          </w:p>
        </w:tc>
        <w:tc>
          <w:tcPr>
            <w:tcW w:w="2835" w:type="dxa"/>
            <w:vAlign w:val="center"/>
          </w:tcPr>
          <w:p w:rsidR="00771DDE" w:rsidRPr="001F5EB9" w:rsidRDefault="00771DDE" w:rsidP="00771DDE">
            <w:pPr>
              <w:rPr>
                <w:rFonts w:eastAsia="宋体"/>
                <w:color w:val="000000"/>
                <w:sz w:val="24"/>
                <w:szCs w:val="24"/>
              </w:rPr>
            </w:pPr>
            <w:r w:rsidRPr="001F5EB9">
              <w:rPr>
                <w:rFonts w:eastAsia="宋体"/>
                <w:sz w:val="24"/>
                <w:szCs w:val="24"/>
              </w:rPr>
              <w:t>民生加银鑫喜混合</w:t>
            </w:r>
            <w:r w:rsidRPr="001F5EB9">
              <w:rPr>
                <w:rFonts w:eastAsia="宋体"/>
                <w:sz w:val="24"/>
                <w:szCs w:val="24"/>
              </w:rPr>
              <w:t>A</w:t>
            </w:r>
          </w:p>
        </w:tc>
        <w:tc>
          <w:tcPr>
            <w:tcW w:w="2501" w:type="dxa"/>
            <w:vAlign w:val="center"/>
          </w:tcPr>
          <w:p w:rsidR="00771DDE" w:rsidRPr="001F5EB9" w:rsidRDefault="00771DDE" w:rsidP="00771DDE">
            <w:pPr>
              <w:rPr>
                <w:rFonts w:eastAsia="宋体"/>
                <w:color w:val="000000"/>
                <w:sz w:val="24"/>
                <w:szCs w:val="24"/>
              </w:rPr>
            </w:pPr>
            <w:bookmarkStart w:id="1" w:name="t_6_1_1_fj_0011B_a1_fm1"/>
            <w:bookmarkStart w:id="2" w:name="t_6_1_1_fj_0011C_a1_fm1"/>
            <w:bookmarkEnd w:id="1"/>
            <w:bookmarkEnd w:id="2"/>
            <w:r w:rsidRPr="001F5EB9">
              <w:rPr>
                <w:rFonts w:eastAsia="宋体"/>
                <w:sz w:val="24"/>
                <w:szCs w:val="24"/>
              </w:rPr>
              <w:t>民生加银鑫喜混合</w:t>
            </w:r>
            <w:r w:rsidRPr="001F5EB9">
              <w:rPr>
                <w:rFonts w:eastAsia="宋体"/>
                <w:sz w:val="24"/>
                <w:szCs w:val="24"/>
              </w:rPr>
              <w:t>C</w:t>
            </w:r>
          </w:p>
        </w:tc>
      </w:tr>
      <w:tr w:rsidR="00771DDE" w:rsidRPr="001F5EB9" w:rsidTr="0093190B">
        <w:trPr>
          <w:trHeight w:val="454"/>
          <w:jc w:val="center"/>
        </w:trPr>
        <w:tc>
          <w:tcPr>
            <w:tcW w:w="3553" w:type="dxa"/>
            <w:gridSpan w:val="2"/>
            <w:vAlign w:val="center"/>
          </w:tcPr>
          <w:p w:rsidR="00771DDE" w:rsidRPr="001F5EB9" w:rsidRDefault="00771DDE" w:rsidP="00771DDE">
            <w:pPr>
              <w:rPr>
                <w:rFonts w:eastAsia="宋体"/>
                <w:color w:val="000000"/>
                <w:sz w:val="24"/>
                <w:szCs w:val="24"/>
              </w:rPr>
            </w:pPr>
            <w:r w:rsidRPr="001F5EB9">
              <w:rPr>
                <w:rFonts w:eastAsia="宋体"/>
                <w:color w:val="000000"/>
                <w:sz w:val="24"/>
                <w:szCs w:val="24"/>
              </w:rPr>
              <w:t>下属分级基金的交易代码</w:t>
            </w:r>
          </w:p>
        </w:tc>
        <w:tc>
          <w:tcPr>
            <w:tcW w:w="2835" w:type="dxa"/>
          </w:tcPr>
          <w:p w:rsidR="00771DDE" w:rsidRPr="001F5EB9" w:rsidRDefault="00771DDE" w:rsidP="00771DDE">
            <w:pPr>
              <w:pStyle w:val="Default"/>
              <w:ind w:leftChars="11" w:left="515" w:hanging="480"/>
              <w:jc w:val="both"/>
              <w:rPr>
                <w:rFonts w:ascii="Times New Roman" w:cs="Times New Roman"/>
              </w:rPr>
            </w:pPr>
            <w:r w:rsidRPr="001F5EB9">
              <w:rPr>
                <w:rFonts w:ascii="Times New Roman" w:cs="Times New Roman"/>
              </w:rPr>
              <w:t>002455</w:t>
            </w:r>
          </w:p>
        </w:tc>
        <w:tc>
          <w:tcPr>
            <w:tcW w:w="2501" w:type="dxa"/>
          </w:tcPr>
          <w:p w:rsidR="00771DDE" w:rsidRPr="001F5EB9" w:rsidRDefault="00771DDE" w:rsidP="00771DDE">
            <w:pPr>
              <w:pStyle w:val="Default"/>
              <w:ind w:leftChars="11" w:left="515" w:hanging="480"/>
              <w:jc w:val="both"/>
              <w:rPr>
                <w:rFonts w:ascii="Times New Roman" w:cs="Times New Roman"/>
              </w:rPr>
            </w:pPr>
            <w:bookmarkStart w:id="3" w:name="t_1_1_fj_0012B_a1_fm1"/>
            <w:bookmarkStart w:id="4" w:name="t_1_1_fj_0012C_a1_fm1"/>
            <w:bookmarkEnd w:id="3"/>
            <w:bookmarkEnd w:id="4"/>
            <w:r w:rsidRPr="001F5EB9">
              <w:rPr>
                <w:rFonts w:ascii="Times New Roman" w:cs="Times New Roman"/>
              </w:rPr>
              <w:t>025049</w:t>
            </w:r>
          </w:p>
        </w:tc>
      </w:tr>
      <w:tr w:rsidR="00771DDE" w:rsidRPr="001F5EB9" w:rsidTr="0093190B">
        <w:trPr>
          <w:jc w:val="center"/>
        </w:trPr>
        <w:tc>
          <w:tcPr>
            <w:tcW w:w="1285" w:type="dxa"/>
            <w:vMerge w:val="restart"/>
            <w:vAlign w:val="center"/>
          </w:tcPr>
          <w:p w:rsidR="00771DDE" w:rsidRPr="001F5EB9" w:rsidRDefault="00771DDE" w:rsidP="000B5653">
            <w:pPr>
              <w:rPr>
                <w:rFonts w:eastAsia="宋体"/>
                <w:color w:val="000000"/>
                <w:sz w:val="24"/>
                <w:szCs w:val="24"/>
              </w:rPr>
            </w:pPr>
            <w:r w:rsidRPr="001F5EB9">
              <w:rPr>
                <w:rFonts w:eastAsia="宋体"/>
                <w:color w:val="000000"/>
                <w:sz w:val="24"/>
                <w:szCs w:val="24"/>
              </w:rPr>
              <w:t>截止基准日下属分级基金的相关指标</w:t>
            </w:r>
          </w:p>
        </w:tc>
        <w:tc>
          <w:tcPr>
            <w:tcW w:w="2268" w:type="dxa"/>
            <w:vAlign w:val="center"/>
          </w:tcPr>
          <w:p w:rsidR="00771DDE" w:rsidRPr="001F5EB9" w:rsidRDefault="00771DDE" w:rsidP="000B5653">
            <w:pPr>
              <w:rPr>
                <w:rFonts w:eastAsia="宋体"/>
                <w:color w:val="000000"/>
                <w:kern w:val="0"/>
                <w:sz w:val="24"/>
                <w:szCs w:val="24"/>
              </w:rPr>
            </w:pPr>
            <w:r w:rsidRPr="001F5EB9">
              <w:rPr>
                <w:rFonts w:eastAsia="宋体"/>
                <w:color w:val="000000"/>
                <w:kern w:val="0"/>
                <w:sz w:val="24"/>
                <w:szCs w:val="24"/>
              </w:rPr>
              <w:t>基准日下属分级基金份额净值（单位：人民币元）</w:t>
            </w:r>
          </w:p>
        </w:tc>
        <w:tc>
          <w:tcPr>
            <w:tcW w:w="2835" w:type="dxa"/>
            <w:vAlign w:val="center"/>
          </w:tcPr>
          <w:p w:rsidR="00771DDE" w:rsidRPr="001F5EB9" w:rsidRDefault="00771DDE" w:rsidP="000B5653">
            <w:pPr>
              <w:pStyle w:val="Default"/>
              <w:ind w:leftChars="11" w:left="515" w:hanging="480"/>
              <w:jc w:val="both"/>
              <w:rPr>
                <w:rFonts w:ascii="Times New Roman" w:cs="Times New Roman"/>
              </w:rPr>
            </w:pPr>
            <w:r w:rsidRPr="001F5EB9">
              <w:rPr>
                <w:rFonts w:ascii="Times New Roman" w:cs="Times New Roman"/>
              </w:rPr>
              <w:t>1.1691</w:t>
            </w:r>
          </w:p>
        </w:tc>
        <w:tc>
          <w:tcPr>
            <w:tcW w:w="2501" w:type="dxa"/>
            <w:vAlign w:val="center"/>
          </w:tcPr>
          <w:p w:rsidR="00771DDE" w:rsidRPr="001F5EB9" w:rsidRDefault="00771DDE" w:rsidP="000B5653">
            <w:pPr>
              <w:rPr>
                <w:rFonts w:eastAsia="宋体"/>
                <w:sz w:val="24"/>
                <w:szCs w:val="24"/>
              </w:rPr>
            </w:pPr>
            <w:r w:rsidRPr="001F5EB9">
              <w:rPr>
                <w:rFonts w:eastAsia="宋体"/>
                <w:sz w:val="24"/>
                <w:szCs w:val="24"/>
              </w:rPr>
              <w:t>1.1681</w:t>
            </w:r>
          </w:p>
        </w:tc>
      </w:tr>
      <w:tr w:rsidR="00771DDE" w:rsidRPr="001F5EB9" w:rsidTr="0093190B">
        <w:trPr>
          <w:trHeight w:val="968"/>
          <w:jc w:val="center"/>
        </w:trPr>
        <w:tc>
          <w:tcPr>
            <w:tcW w:w="1285" w:type="dxa"/>
            <w:vMerge/>
            <w:vAlign w:val="center"/>
          </w:tcPr>
          <w:p w:rsidR="00771DDE" w:rsidRPr="001F5EB9" w:rsidRDefault="00771DDE">
            <w:pPr>
              <w:rPr>
                <w:rFonts w:eastAsia="宋体"/>
                <w:sz w:val="24"/>
                <w:szCs w:val="24"/>
              </w:rPr>
            </w:pPr>
          </w:p>
        </w:tc>
        <w:tc>
          <w:tcPr>
            <w:tcW w:w="2268" w:type="dxa"/>
            <w:vAlign w:val="center"/>
          </w:tcPr>
          <w:p w:rsidR="00771DDE" w:rsidRPr="001F5EB9" w:rsidRDefault="00771DDE" w:rsidP="000B5653">
            <w:pPr>
              <w:rPr>
                <w:rFonts w:eastAsia="宋体"/>
                <w:color w:val="000000"/>
                <w:sz w:val="24"/>
                <w:szCs w:val="24"/>
              </w:rPr>
            </w:pPr>
            <w:r w:rsidRPr="001F5EB9">
              <w:rPr>
                <w:rFonts w:eastAsia="宋体"/>
                <w:color w:val="000000"/>
                <w:sz w:val="24"/>
                <w:szCs w:val="24"/>
              </w:rPr>
              <w:t>基准日下属分级基金可供分配利润（单位：</w:t>
            </w:r>
            <w:r w:rsidRPr="001F5EB9">
              <w:rPr>
                <w:rFonts w:eastAsia="宋体"/>
                <w:color w:val="000000"/>
                <w:kern w:val="0"/>
                <w:sz w:val="24"/>
                <w:szCs w:val="24"/>
              </w:rPr>
              <w:t>人民币</w:t>
            </w:r>
            <w:r w:rsidRPr="001F5EB9">
              <w:rPr>
                <w:rFonts w:eastAsia="宋体"/>
                <w:color w:val="000000"/>
                <w:sz w:val="24"/>
                <w:szCs w:val="24"/>
              </w:rPr>
              <w:t>元）</w:t>
            </w:r>
          </w:p>
        </w:tc>
        <w:tc>
          <w:tcPr>
            <w:tcW w:w="2835" w:type="dxa"/>
            <w:vAlign w:val="center"/>
          </w:tcPr>
          <w:p w:rsidR="00771DDE" w:rsidRPr="001F5EB9" w:rsidRDefault="00771DDE" w:rsidP="000B5653">
            <w:pPr>
              <w:rPr>
                <w:rFonts w:eastAsia="宋体"/>
                <w:color w:val="000000"/>
                <w:sz w:val="24"/>
                <w:szCs w:val="24"/>
              </w:rPr>
            </w:pPr>
            <w:r w:rsidRPr="001F5EB9">
              <w:rPr>
                <w:rFonts w:eastAsia="宋体"/>
                <w:color w:val="000000"/>
                <w:sz w:val="24"/>
                <w:szCs w:val="24"/>
              </w:rPr>
              <w:t>30,810,011.55</w:t>
            </w:r>
          </w:p>
        </w:tc>
        <w:tc>
          <w:tcPr>
            <w:tcW w:w="2501" w:type="dxa"/>
            <w:vAlign w:val="center"/>
          </w:tcPr>
          <w:p w:rsidR="00771DDE" w:rsidRPr="001F5EB9" w:rsidRDefault="00771DDE" w:rsidP="000B5653">
            <w:pPr>
              <w:rPr>
                <w:rFonts w:eastAsia="宋体"/>
                <w:sz w:val="24"/>
                <w:szCs w:val="24"/>
              </w:rPr>
            </w:pPr>
            <w:r w:rsidRPr="001F5EB9">
              <w:rPr>
                <w:rFonts w:eastAsia="宋体"/>
                <w:color w:val="000000"/>
                <w:sz w:val="24"/>
                <w:szCs w:val="24"/>
              </w:rPr>
              <w:t>5,283.66</w:t>
            </w:r>
          </w:p>
        </w:tc>
      </w:tr>
      <w:tr w:rsidR="00771DDE" w:rsidRPr="001F5EB9" w:rsidTr="0093190B">
        <w:trPr>
          <w:jc w:val="center"/>
        </w:trPr>
        <w:tc>
          <w:tcPr>
            <w:tcW w:w="3553" w:type="dxa"/>
            <w:gridSpan w:val="2"/>
            <w:vAlign w:val="center"/>
          </w:tcPr>
          <w:p w:rsidR="00771DDE" w:rsidRPr="001F5EB9" w:rsidRDefault="00771DDE" w:rsidP="000B5653">
            <w:pPr>
              <w:rPr>
                <w:rFonts w:eastAsia="宋体"/>
                <w:color w:val="000000"/>
                <w:sz w:val="24"/>
                <w:szCs w:val="24"/>
              </w:rPr>
            </w:pPr>
            <w:r w:rsidRPr="001F5EB9">
              <w:rPr>
                <w:rFonts w:eastAsia="宋体"/>
                <w:color w:val="000000"/>
                <w:sz w:val="24"/>
                <w:szCs w:val="24"/>
              </w:rPr>
              <w:t>本次下属分级基金分红方案（单位：元</w:t>
            </w:r>
            <w:r w:rsidRPr="001F5EB9">
              <w:rPr>
                <w:rFonts w:eastAsia="宋体"/>
                <w:color w:val="000000"/>
                <w:sz w:val="24"/>
                <w:szCs w:val="24"/>
              </w:rPr>
              <w:t>/10</w:t>
            </w:r>
            <w:r w:rsidRPr="001F5EB9">
              <w:rPr>
                <w:rFonts w:eastAsia="宋体"/>
                <w:color w:val="000000"/>
                <w:sz w:val="24"/>
                <w:szCs w:val="24"/>
              </w:rPr>
              <w:t>份基金份额）</w:t>
            </w:r>
          </w:p>
        </w:tc>
        <w:tc>
          <w:tcPr>
            <w:tcW w:w="2835" w:type="dxa"/>
            <w:vAlign w:val="center"/>
          </w:tcPr>
          <w:p w:rsidR="00771DDE" w:rsidRPr="001F5EB9" w:rsidRDefault="00771DDE" w:rsidP="00A82FB3">
            <w:pPr>
              <w:rPr>
                <w:rFonts w:eastAsia="宋体"/>
                <w:color w:val="000000"/>
                <w:sz w:val="24"/>
                <w:szCs w:val="24"/>
              </w:rPr>
            </w:pPr>
            <w:r w:rsidRPr="001F5EB9">
              <w:rPr>
                <w:rFonts w:eastAsia="宋体"/>
                <w:color w:val="000000"/>
                <w:sz w:val="24"/>
                <w:szCs w:val="24"/>
              </w:rPr>
              <w:t>1</w:t>
            </w:r>
            <w:r w:rsidR="00A82153" w:rsidRPr="001F5EB9">
              <w:rPr>
                <w:rFonts w:eastAsia="宋体"/>
                <w:color w:val="000000"/>
                <w:sz w:val="24"/>
                <w:szCs w:val="24"/>
              </w:rPr>
              <w:t>.00</w:t>
            </w:r>
          </w:p>
        </w:tc>
        <w:tc>
          <w:tcPr>
            <w:tcW w:w="2501" w:type="dxa"/>
            <w:vAlign w:val="center"/>
          </w:tcPr>
          <w:p w:rsidR="00771DDE" w:rsidRPr="001F5EB9" w:rsidRDefault="00771DDE" w:rsidP="00771DDE">
            <w:pPr>
              <w:rPr>
                <w:rFonts w:eastAsia="宋体"/>
                <w:color w:val="000000"/>
                <w:sz w:val="24"/>
                <w:szCs w:val="24"/>
              </w:rPr>
            </w:pPr>
            <w:r w:rsidRPr="001F5EB9">
              <w:rPr>
                <w:rFonts w:eastAsia="宋体"/>
                <w:color w:val="000000"/>
                <w:sz w:val="24"/>
                <w:szCs w:val="24"/>
              </w:rPr>
              <w:t>1</w:t>
            </w:r>
            <w:r w:rsidR="00A82153" w:rsidRPr="001F5EB9">
              <w:rPr>
                <w:rFonts w:eastAsia="宋体"/>
                <w:color w:val="000000"/>
                <w:sz w:val="24"/>
                <w:szCs w:val="24"/>
              </w:rPr>
              <w:t>.00</w:t>
            </w:r>
          </w:p>
        </w:tc>
      </w:tr>
    </w:tbl>
    <w:p w:rsidR="0001427E" w:rsidRPr="001F5EB9" w:rsidRDefault="003B3DC5" w:rsidP="001F5EB9">
      <w:pPr>
        <w:spacing w:line="360" w:lineRule="auto"/>
        <w:jc w:val="left"/>
        <w:rPr>
          <w:rFonts w:eastAsia="宋体"/>
          <w:sz w:val="24"/>
          <w:szCs w:val="24"/>
        </w:rPr>
      </w:pPr>
      <w:bookmarkStart w:id="5" w:name="_Toc275961419"/>
      <w:bookmarkStart w:id="6" w:name="t_6_1_3_fj_2645_a1_fm1"/>
      <w:r w:rsidRPr="001F5EB9">
        <w:rPr>
          <w:rFonts w:eastAsia="宋体"/>
          <w:sz w:val="24"/>
          <w:szCs w:val="24"/>
        </w:rPr>
        <w:t>注：</w:t>
      </w:r>
      <w:bookmarkEnd w:id="6"/>
      <w:r w:rsidRPr="001F5EB9">
        <w:rPr>
          <w:rFonts w:eastAsia="宋体"/>
          <w:sz w:val="24"/>
          <w:szCs w:val="24"/>
        </w:rPr>
        <w:t>1</w:t>
      </w:r>
      <w:r w:rsidRPr="001F5EB9">
        <w:rPr>
          <w:rFonts w:eastAsia="宋体"/>
          <w:sz w:val="24"/>
          <w:szCs w:val="24"/>
        </w:rPr>
        <w:t>、</w:t>
      </w:r>
      <w:r w:rsidR="00B60D61" w:rsidRPr="001F5EB9">
        <w:rPr>
          <w:rFonts w:eastAsia="宋体"/>
          <w:sz w:val="24"/>
          <w:szCs w:val="24"/>
        </w:rPr>
        <w:t>本</w:t>
      </w:r>
      <w:r w:rsidR="0001427E" w:rsidRPr="001F5EB9">
        <w:rPr>
          <w:rFonts w:eastAsia="宋体"/>
          <w:sz w:val="24"/>
          <w:szCs w:val="24"/>
        </w:rPr>
        <w:t>基金于</w:t>
      </w:r>
      <w:r w:rsidR="0001427E" w:rsidRPr="001F5EB9">
        <w:rPr>
          <w:rFonts w:eastAsia="宋体"/>
          <w:sz w:val="24"/>
          <w:szCs w:val="24"/>
        </w:rPr>
        <w:t>2016</w:t>
      </w:r>
      <w:r w:rsidR="0001427E" w:rsidRPr="001F5EB9">
        <w:rPr>
          <w:rFonts w:eastAsia="宋体"/>
          <w:sz w:val="24"/>
          <w:szCs w:val="24"/>
        </w:rPr>
        <w:t>年</w:t>
      </w:r>
      <w:r w:rsidR="0001427E" w:rsidRPr="001F5EB9">
        <w:rPr>
          <w:rFonts w:eastAsia="宋体"/>
          <w:sz w:val="24"/>
          <w:szCs w:val="24"/>
        </w:rPr>
        <w:t>12</w:t>
      </w:r>
      <w:r w:rsidR="0001427E" w:rsidRPr="001F5EB9">
        <w:rPr>
          <w:rFonts w:eastAsia="宋体"/>
          <w:sz w:val="24"/>
          <w:szCs w:val="24"/>
        </w:rPr>
        <w:t>月</w:t>
      </w:r>
      <w:r w:rsidR="0001427E" w:rsidRPr="001F5EB9">
        <w:rPr>
          <w:rFonts w:eastAsia="宋体"/>
          <w:sz w:val="24"/>
          <w:szCs w:val="24"/>
        </w:rPr>
        <w:t>9</w:t>
      </w:r>
      <w:r w:rsidR="0001427E" w:rsidRPr="001F5EB9">
        <w:rPr>
          <w:rFonts w:eastAsia="宋体"/>
          <w:sz w:val="24"/>
          <w:szCs w:val="24"/>
        </w:rPr>
        <w:t>日成立，后经《关于准予民生加银鑫喜灵活配置混合型证券投资基金变更注册的批复》（证监许可【</w:t>
      </w:r>
      <w:r w:rsidR="0001427E" w:rsidRPr="001F5EB9">
        <w:rPr>
          <w:rFonts w:eastAsia="宋体"/>
          <w:sz w:val="24"/>
          <w:szCs w:val="24"/>
        </w:rPr>
        <w:t>2021</w:t>
      </w:r>
      <w:r w:rsidR="0001427E" w:rsidRPr="001F5EB9">
        <w:rPr>
          <w:rFonts w:eastAsia="宋体"/>
          <w:sz w:val="24"/>
          <w:szCs w:val="24"/>
        </w:rPr>
        <w:t>】</w:t>
      </w:r>
      <w:r w:rsidR="0001427E" w:rsidRPr="001F5EB9">
        <w:rPr>
          <w:rFonts w:eastAsia="宋体"/>
          <w:sz w:val="24"/>
          <w:szCs w:val="24"/>
        </w:rPr>
        <w:t>1286</w:t>
      </w:r>
      <w:r w:rsidR="0001427E" w:rsidRPr="001F5EB9">
        <w:rPr>
          <w:rFonts w:eastAsia="宋体"/>
          <w:sz w:val="24"/>
          <w:szCs w:val="24"/>
        </w:rPr>
        <w:t>号）变更注册，并经份额持有人大会表决于</w:t>
      </w:r>
      <w:r w:rsidR="0001427E" w:rsidRPr="001F5EB9">
        <w:rPr>
          <w:rFonts w:eastAsia="宋体"/>
          <w:sz w:val="24"/>
          <w:szCs w:val="24"/>
        </w:rPr>
        <w:t>2021</w:t>
      </w:r>
      <w:r w:rsidR="0001427E" w:rsidRPr="001F5EB9">
        <w:rPr>
          <w:rFonts w:eastAsia="宋体"/>
          <w:sz w:val="24"/>
          <w:szCs w:val="24"/>
        </w:rPr>
        <w:t>年</w:t>
      </w:r>
      <w:r w:rsidR="0001427E" w:rsidRPr="001F5EB9">
        <w:rPr>
          <w:rFonts w:eastAsia="宋体"/>
          <w:sz w:val="24"/>
          <w:szCs w:val="24"/>
        </w:rPr>
        <w:t>6</w:t>
      </w:r>
      <w:r w:rsidR="0001427E" w:rsidRPr="001F5EB9">
        <w:rPr>
          <w:rFonts w:eastAsia="宋体"/>
          <w:sz w:val="24"/>
          <w:szCs w:val="24"/>
        </w:rPr>
        <w:t>月</w:t>
      </w:r>
      <w:r w:rsidR="0001427E" w:rsidRPr="001F5EB9">
        <w:rPr>
          <w:rFonts w:eastAsia="宋体"/>
          <w:sz w:val="24"/>
          <w:szCs w:val="24"/>
        </w:rPr>
        <w:t>1</w:t>
      </w:r>
      <w:r w:rsidR="0001427E" w:rsidRPr="001F5EB9">
        <w:rPr>
          <w:rFonts w:eastAsia="宋体"/>
          <w:sz w:val="24"/>
          <w:szCs w:val="24"/>
        </w:rPr>
        <w:t>日通过了《关于民生加银鑫喜灵活配置混合型证券投资基金更换基金托管人并修改基金合同有关事项的议案》，修改</w:t>
      </w:r>
      <w:r w:rsidR="0001427E" w:rsidRPr="001F5EB9">
        <w:rPr>
          <w:rFonts w:eastAsia="宋体"/>
          <w:sz w:val="24"/>
          <w:szCs w:val="24"/>
        </w:rPr>
        <w:lastRenderedPageBreak/>
        <w:t>后的《民生加银鑫喜灵活配置混合型证券投资基金基金合同》自</w:t>
      </w:r>
      <w:r w:rsidR="0001427E" w:rsidRPr="001F5EB9">
        <w:rPr>
          <w:rFonts w:eastAsia="宋体"/>
          <w:sz w:val="24"/>
          <w:szCs w:val="24"/>
        </w:rPr>
        <w:t>2021</w:t>
      </w:r>
      <w:r w:rsidR="0001427E" w:rsidRPr="001F5EB9">
        <w:rPr>
          <w:rFonts w:eastAsia="宋体"/>
          <w:sz w:val="24"/>
          <w:szCs w:val="24"/>
        </w:rPr>
        <w:t>年</w:t>
      </w:r>
      <w:r w:rsidR="0001427E" w:rsidRPr="001F5EB9">
        <w:rPr>
          <w:rFonts w:eastAsia="宋体"/>
          <w:sz w:val="24"/>
          <w:szCs w:val="24"/>
        </w:rPr>
        <w:t>6</w:t>
      </w:r>
      <w:r w:rsidR="0001427E" w:rsidRPr="001F5EB9">
        <w:rPr>
          <w:rFonts w:eastAsia="宋体"/>
          <w:sz w:val="24"/>
          <w:szCs w:val="24"/>
        </w:rPr>
        <w:t>月</w:t>
      </w:r>
      <w:r w:rsidR="0001427E" w:rsidRPr="001F5EB9">
        <w:rPr>
          <w:rFonts w:eastAsia="宋体"/>
          <w:sz w:val="24"/>
          <w:szCs w:val="24"/>
        </w:rPr>
        <w:t>2</w:t>
      </w:r>
      <w:r w:rsidR="0001427E" w:rsidRPr="001F5EB9">
        <w:rPr>
          <w:rFonts w:eastAsia="宋体"/>
          <w:sz w:val="24"/>
          <w:szCs w:val="24"/>
        </w:rPr>
        <w:t>日起生效。</w:t>
      </w:r>
    </w:p>
    <w:p w:rsidR="0001427E" w:rsidRPr="001F5EB9" w:rsidRDefault="0001427E" w:rsidP="001F5EB9">
      <w:pPr>
        <w:spacing w:line="360" w:lineRule="auto"/>
        <w:jc w:val="left"/>
        <w:rPr>
          <w:rFonts w:eastAsia="宋体"/>
          <w:sz w:val="24"/>
          <w:szCs w:val="24"/>
        </w:rPr>
      </w:pPr>
      <w:r w:rsidRPr="001F5EB9">
        <w:rPr>
          <w:rFonts w:eastAsia="宋体"/>
          <w:sz w:val="24"/>
          <w:szCs w:val="24"/>
        </w:rPr>
        <w:t>2</w:t>
      </w:r>
      <w:r w:rsidRPr="001F5EB9">
        <w:rPr>
          <w:rFonts w:eastAsia="宋体"/>
          <w:sz w:val="24"/>
          <w:szCs w:val="24"/>
        </w:rPr>
        <w:t>、本基金自</w:t>
      </w:r>
      <w:r w:rsidRPr="001F5EB9">
        <w:rPr>
          <w:rFonts w:eastAsia="宋体"/>
          <w:sz w:val="24"/>
          <w:szCs w:val="24"/>
        </w:rPr>
        <w:t>2025</w:t>
      </w:r>
      <w:r w:rsidRPr="001F5EB9">
        <w:rPr>
          <w:rFonts w:eastAsia="宋体"/>
          <w:sz w:val="24"/>
          <w:szCs w:val="24"/>
        </w:rPr>
        <w:t>年</w:t>
      </w:r>
      <w:r w:rsidRPr="001F5EB9">
        <w:rPr>
          <w:rFonts w:eastAsia="宋体"/>
          <w:sz w:val="24"/>
          <w:szCs w:val="24"/>
        </w:rPr>
        <w:t>8</w:t>
      </w:r>
      <w:r w:rsidRPr="001F5EB9">
        <w:rPr>
          <w:rFonts w:eastAsia="宋体"/>
          <w:sz w:val="24"/>
          <w:szCs w:val="24"/>
        </w:rPr>
        <w:t>月</w:t>
      </w:r>
      <w:r w:rsidRPr="001F5EB9">
        <w:rPr>
          <w:rFonts w:eastAsia="宋体"/>
          <w:sz w:val="24"/>
          <w:szCs w:val="24"/>
        </w:rPr>
        <w:t>4</w:t>
      </w:r>
      <w:r w:rsidRPr="001F5EB9">
        <w:rPr>
          <w:rFonts w:eastAsia="宋体"/>
          <w:sz w:val="24"/>
          <w:szCs w:val="24"/>
        </w:rPr>
        <w:t>日起新增</w:t>
      </w:r>
      <w:r w:rsidRPr="001F5EB9">
        <w:rPr>
          <w:rFonts w:eastAsia="宋体"/>
          <w:sz w:val="24"/>
          <w:szCs w:val="24"/>
        </w:rPr>
        <w:t>C</w:t>
      </w:r>
      <w:r w:rsidRPr="001F5EB9">
        <w:rPr>
          <w:rFonts w:eastAsia="宋体"/>
          <w:sz w:val="24"/>
          <w:szCs w:val="24"/>
        </w:rPr>
        <w:t>类基金份额类别。</w:t>
      </w:r>
    </w:p>
    <w:p w:rsidR="0001427E" w:rsidRPr="001F5EB9" w:rsidRDefault="0001427E" w:rsidP="001F5EB9">
      <w:pPr>
        <w:spacing w:line="360" w:lineRule="auto"/>
        <w:jc w:val="left"/>
        <w:rPr>
          <w:rFonts w:eastAsia="宋体"/>
          <w:sz w:val="24"/>
          <w:szCs w:val="24"/>
        </w:rPr>
      </w:pPr>
      <w:r w:rsidRPr="001F5EB9">
        <w:rPr>
          <w:rFonts w:eastAsia="宋体"/>
          <w:sz w:val="24"/>
          <w:szCs w:val="24"/>
        </w:rPr>
        <w:t>3</w:t>
      </w:r>
      <w:r w:rsidRPr="001F5EB9">
        <w:rPr>
          <w:rFonts w:eastAsia="宋体"/>
          <w:sz w:val="24"/>
          <w:szCs w:val="24"/>
        </w:rPr>
        <w:t>、根据《民生加银鑫喜灵活配置混合型证券投资基金基金合同》的规定，在符合有关基金分红条件的前提下，基金管理人可以根据实际情况进行收益分配，具体分配方案以公告为准，若《基金合同》生效不满</w:t>
      </w:r>
      <w:r w:rsidRPr="001F5EB9">
        <w:rPr>
          <w:rFonts w:eastAsia="宋体"/>
          <w:sz w:val="24"/>
          <w:szCs w:val="24"/>
        </w:rPr>
        <w:t>3</w:t>
      </w:r>
      <w:r w:rsidRPr="001F5EB9">
        <w:rPr>
          <w:rFonts w:eastAsia="宋体"/>
          <w:sz w:val="24"/>
          <w:szCs w:val="24"/>
        </w:rPr>
        <w:t>个月可不进行收益分配。</w:t>
      </w:r>
    </w:p>
    <w:p w:rsidR="003B3DC5" w:rsidRPr="001F5EB9" w:rsidRDefault="003B3DC5" w:rsidP="000B5653">
      <w:pPr>
        <w:pStyle w:val="2"/>
        <w:spacing w:after="120" w:line="560" w:lineRule="exact"/>
        <w:rPr>
          <w:rFonts w:ascii="Times New Roman" w:eastAsia="宋体" w:hAnsi="Times New Roman"/>
          <w:bCs w:val="0"/>
          <w:color w:val="000000"/>
          <w:sz w:val="24"/>
          <w:szCs w:val="24"/>
        </w:rPr>
      </w:pPr>
      <w:r w:rsidRPr="001F5EB9">
        <w:rPr>
          <w:rFonts w:ascii="Times New Roman" w:eastAsia="宋体" w:hAnsi="Times New Roman"/>
          <w:bCs w:val="0"/>
          <w:color w:val="000000"/>
          <w:sz w:val="24"/>
          <w:szCs w:val="24"/>
        </w:rPr>
        <w:t xml:space="preserve">2 </w:t>
      </w:r>
      <w:r w:rsidRPr="001F5EB9">
        <w:rPr>
          <w:rFonts w:ascii="Times New Roman" w:eastAsia="宋体" w:hAnsi="Times New Roman"/>
          <w:bCs w:val="0"/>
          <w:color w:val="000000"/>
          <w:sz w:val="24"/>
          <w:szCs w:val="24"/>
        </w:rPr>
        <w:t>与分红相关的其他信息</w:t>
      </w:r>
      <w:bookmarkEnd w:id="5"/>
    </w:p>
    <w:tbl>
      <w:tblPr>
        <w:tblW w:w="4906" w:type="pct"/>
        <w:jc w:val="center"/>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51"/>
        <w:gridCol w:w="5411"/>
      </w:tblGrid>
      <w:tr w:rsidR="003B3DC5" w:rsidRPr="001F5EB9" w:rsidTr="001D5562">
        <w:trPr>
          <w:trHeight w:val="454"/>
          <w:jc w:val="center"/>
        </w:trPr>
        <w:tc>
          <w:tcPr>
            <w:tcW w:w="2951" w:type="dxa"/>
            <w:vAlign w:val="center"/>
          </w:tcPr>
          <w:p w:rsidR="003B3DC5" w:rsidRPr="001F5EB9" w:rsidRDefault="003B3DC5" w:rsidP="000B5653">
            <w:pPr>
              <w:rPr>
                <w:rFonts w:eastAsia="宋体"/>
                <w:color w:val="000000"/>
                <w:sz w:val="24"/>
                <w:szCs w:val="24"/>
              </w:rPr>
            </w:pPr>
            <w:r w:rsidRPr="001F5EB9">
              <w:rPr>
                <w:rFonts w:eastAsia="宋体"/>
                <w:color w:val="000000"/>
                <w:sz w:val="24"/>
                <w:szCs w:val="24"/>
              </w:rPr>
              <w:t>权益登记日</w:t>
            </w:r>
          </w:p>
        </w:tc>
        <w:tc>
          <w:tcPr>
            <w:tcW w:w="5411" w:type="dxa"/>
            <w:vAlign w:val="center"/>
          </w:tcPr>
          <w:p w:rsidR="003B3DC5" w:rsidRPr="001F5EB9" w:rsidRDefault="0053159D" w:rsidP="0053159D">
            <w:pPr>
              <w:pStyle w:val="Default"/>
              <w:jc w:val="both"/>
              <w:rPr>
                <w:rFonts w:ascii="Times New Roman" w:cs="Times New Roman"/>
              </w:rPr>
            </w:pPr>
            <w:r w:rsidRPr="001F5EB9">
              <w:rPr>
                <w:rFonts w:ascii="Times New Roman" w:cs="Times New Roman"/>
              </w:rPr>
              <w:t>2025</w:t>
            </w:r>
            <w:r w:rsidRPr="001F5EB9">
              <w:rPr>
                <w:rFonts w:ascii="Times New Roman" w:cs="Times New Roman"/>
              </w:rPr>
              <w:t>年</w:t>
            </w:r>
            <w:r w:rsidRPr="001F5EB9">
              <w:rPr>
                <w:rFonts w:ascii="Times New Roman" w:cs="Times New Roman"/>
              </w:rPr>
              <w:t>11</w:t>
            </w:r>
            <w:r w:rsidR="00A82FB3" w:rsidRPr="001F5EB9">
              <w:rPr>
                <w:rFonts w:ascii="Times New Roman" w:cs="Times New Roman"/>
              </w:rPr>
              <w:t>月</w:t>
            </w:r>
            <w:r w:rsidRPr="001F5EB9">
              <w:rPr>
                <w:rFonts w:ascii="Times New Roman" w:cs="Times New Roman"/>
              </w:rPr>
              <w:t>3</w:t>
            </w:r>
            <w:r w:rsidR="00A82FB3" w:rsidRPr="001F5EB9">
              <w:rPr>
                <w:rFonts w:ascii="Times New Roman" w:cs="Times New Roman"/>
              </w:rPr>
              <w:t>日</w:t>
            </w:r>
          </w:p>
        </w:tc>
      </w:tr>
      <w:tr w:rsidR="003B3DC5" w:rsidRPr="001F5EB9" w:rsidTr="001D5562">
        <w:trPr>
          <w:trHeight w:val="454"/>
          <w:jc w:val="center"/>
        </w:trPr>
        <w:tc>
          <w:tcPr>
            <w:tcW w:w="2951" w:type="dxa"/>
            <w:vAlign w:val="center"/>
          </w:tcPr>
          <w:p w:rsidR="003B3DC5" w:rsidRPr="001F5EB9" w:rsidRDefault="003B3DC5" w:rsidP="000B5653">
            <w:pPr>
              <w:rPr>
                <w:rFonts w:eastAsia="宋体"/>
                <w:color w:val="000000"/>
                <w:sz w:val="24"/>
                <w:szCs w:val="24"/>
              </w:rPr>
            </w:pPr>
            <w:r w:rsidRPr="001F5EB9">
              <w:rPr>
                <w:rFonts w:eastAsia="宋体"/>
                <w:color w:val="000000"/>
                <w:sz w:val="24"/>
                <w:szCs w:val="24"/>
              </w:rPr>
              <w:t>除息日</w:t>
            </w:r>
          </w:p>
        </w:tc>
        <w:tc>
          <w:tcPr>
            <w:tcW w:w="5411" w:type="dxa"/>
            <w:vAlign w:val="center"/>
          </w:tcPr>
          <w:p w:rsidR="003B3DC5" w:rsidRPr="001F5EB9" w:rsidRDefault="0053159D" w:rsidP="000B5653">
            <w:pPr>
              <w:pStyle w:val="Default"/>
              <w:jc w:val="both"/>
              <w:rPr>
                <w:rFonts w:ascii="Times New Roman" w:cs="Times New Roman"/>
              </w:rPr>
            </w:pPr>
            <w:r w:rsidRPr="001F5EB9">
              <w:rPr>
                <w:rFonts w:ascii="Times New Roman" w:cs="Times New Roman"/>
              </w:rPr>
              <w:t>2025</w:t>
            </w:r>
            <w:r w:rsidRPr="001F5EB9">
              <w:rPr>
                <w:rFonts w:ascii="Times New Roman" w:cs="Times New Roman"/>
              </w:rPr>
              <w:t>年</w:t>
            </w:r>
            <w:r w:rsidRPr="001F5EB9">
              <w:rPr>
                <w:rFonts w:ascii="Times New Roman" w:cs="Times New Roman"/>
              </w:rPr>
              <w:t>11</w:t>
            </w:r>
            <w:r w:rsidRPr="001F5EB9">
              <w:rPr>
                <w:rFonts w:ascii="Times New Roman" w:cs="Times New Roman"/>
              </w:rPr>
              <w:t>月</w:t>
            </w:r>
            <w:r w:rsidRPr="001F5EB9">
              <w:rPr>
                <w:rFonts w:ascii="Times New Roman" w:cs="Times New Roman"/>
              </w:rPr>
              <w:t>3</w:t>
            </w:r>
            <w:r w:rsidRPr="001F5EB9">
              <w:rPr>
                <w:rFonts w:ascii="Times New Roman" w:cs="Times New Roman"/>
              </w:rPr>
              <w:t>日</w:t>
            </w:r>
          </w:p>
        </w:tc>
      </w:tr>
      <w:tr w:rsidR="003B3DC5" w:rsidRPr="001F5EB9" w:rsidTr="001D5562">
        <w:trPr>
          <w:trHeight w:val="454"/>
          <w:jc w:val="center"/>
        </w:trPr>
        <w:tc>
          <w:tcPr>
            <w:tcW w:w="2951" w:type="dxa"/>
            <w:vAlign w:val="center"/>
          </w:tcPr>
          <w:p w:rsidR="003B3DC5" w:rsidRPr="001F5EB9" w:rsidRDefault="003B3DC5" w:rsidP="000B5653">
            <w:pPr>
              <w:rPr>
                <w:rFonts w:eastAsia="宋体"/>
                <w:color w:val="000000"/>
                <w:sz w:val="24"/>
                <w:szCs w:val="24"/>
              </w:rPr>
            </w:pPr>
            <w:r w:rsidRPr="001F5EB9">
              <w:rPr>
                <w:rFonts w:eastAsia="宋体"/>
                <w:color w:val="000000"/>
                <w:sz w:val="24"/>
                <w:szCs w:val="24"/>
              </w:rPr>
              <w:t>现金红利发放日</w:t>
            </w:r>
          </w:p>
        </w:tc>
        <w:tc>
          <w:tcPr>
            <w:tcW w:w="5411" w:type="dxa"/>
            <w:vAlign w:val="center"/>
          </w:tcPr>
          <w:p w:rsidR="003B3DC5" w:rsidRPr="001F5EB9" w:rsidRDefault="0053159D" w:rsidP="0053159D">
            <w:pPr>
              <w:pStyle w:val="Default"/>
              <w:jc w:val="both"/>
              <w:rPr>
                <w:rFonts w:ascii="Times New Roman" w:cs="Times New Roman"/>
              </w:rPr>
            </w:pPr>
            <w:r w:rsidRPr="001F5EB9">
              <w:rPr>
                <w:rFonts w:ascii="Times New Roman" w:cs="Times New Roman"/>
              </w:rPr>
              <w:t>2025</w:t>
            </w:r>
            <w:r w:rsidRPr="001F5EB9">
              <w:rPr>
                <w:rFonts w:ascii="Times New Roman" w:cs="Times New Roman"/>
              </w:rPr>
              <w:t>年</w:t>
            </w:r>
            <w:r w:rsidRPr="001F5EB9">
              <w:rPr>
                <w:rFonts w:ascii="Times New Roman" w:cs="Times New Roman"/>
              </w:rPr>
              <w:t>11</w:t>
            </w:r>
            <w:r w:rsidRPr="001F5EB9">
              <w:rPr>
                <w:rFonts w:ascii="Times New Roman" w:cs="Times New Roman"/>
              </w:rPr>
              <w:t>月</w:t>
            </w:r>
            <w:r w:rsidRPr="001F5EB9">
              <w:rPr>
                <w:rFonts w:ascii="Times New Roman" w:cs="Times New Roman"/>
              </w:rPr>
              <w:t>4</w:t>
            </w:r>
            <w:r w:rsidRPr="001F5EB9">
              <w:rPr>
                <w:rFonts w:ascii="Times New Roman" w:cs="Times New Roman"/>
              </w:rPr>
              <w:t>日</w:t>
            </w:r>
          </w:p>
        </w:tc>
      </w:tr>
      <w:tr w:rsidR="003B3DC5" w:rsidRPr="001F5EB9" w:rsidTr="001F5EB9">
        <w:trPr>
          <w:trHeight w:val="671"/>
          <w:jc w:val="center"/>
        </w:trPr>
        <w:tc>
          <w:tcPr>
            <w:tcW w:w="2951" w:type="dxa"/>
            <w:vAlign w:val="center"/>
          </w:tcPr>
          <w:p w:rsidR="003B3DC5" w:rsidRPr="001F5EB9" w:rsidRDefault="003B3DC5" w:rsidP="000B5653">
            <w:pPr>
              <w:rPr>
                <w:rFonts w:eastAsia="宋体"/>
                <w:color w:val="000000"/>
                <w:sz w:val="24"/>
                <w:szCs w:val="24"/>
              </w:rPr>
            </w:pPr>
            <w:r w:rsidRPr="001F5EB9">
              <w:rPr>
                <w:rFonts w:eastAsia="宋体"/>
                <w:color w:val="000000"/>
                <w:sz w:val="24"/>
                <w:szCs w:val="24"/>
              </w:rPr>
              <w:t>分红对象</w:t>
            </w:r>
          </w:p>
        </w:tc>
        <w:tc>
          <w:tcPr>
            <w:tcW w:w="5411" w:type="dxa"/>
            <w:shd w:val="clear" w:color="auto" w:fill="auto"/>
            <w:vAlign w:val="center"/>
          </w:tcPr>
          <w:p w:rsidR="003B3DC5" w:rsidRPr="001F5EB9" w:rsidRDefault="003B3DC5" w:rsidP="00DF79C2">
            <w:pPr>
              <w:pStyle w:val="Default"/>
              <w:jc w:val="both"/>
              <w:rPr>
                <w:rFonts w:ascii="Times New Roman" w:cs="Times New Roman"/>
              </w:rPr>
            </w:pPr>
            <w:r w:rsidRPr="001F5EB9">
              <w:rPr>
                <w:rFonts w:ascii="Times New Roman" w:cs="Times New Roman"/>
              </w:rPr>
              <w:t>权益登记日在本基金注册登记机构民生加银基金管理有限公司登记在册的本基金基金份额持有人。</w:t>
            </w:r>
          </w:p>
        </w:tc>
      </w:tr>
      <w:tr w:rsidR="003B3DC5" w:rsidRPr="001F5EB9" w:rsidTr="001F5EB9">
        <w:trPr>
          <w:trHeight w:val="1829"/>
          <w:jc w:val="center"/>
        </w:trPr>
        <w:tc>
          <w:tcPr>
            <w:tcW w:w="2951" w:type="dxa"/>
            <w:shd w:val="clear" w:color="auto" w:fill="auto"/>
            <w:vAlign w:val="center"/>
          </w:tcPr>
          <w:p w:rsidR="003B3DC5" w:rsidRPr="001F5EB9" w:rsidRDefault="003B3DC5" w:rsidP="000B5653">
            <w:pPr>
              <w:rPr>
                <w:rFonts w:eastAsia="宋体"/>
                <w:color w:val="000000"/>
                <w:sz w:val="24"/>
                <w:szCs w:val="24"/>
              </w:rPr>
            </w:pPr>
            <w:r w:rsidRPr="001F5EB9">
              <w:rPr>
                <w:rFonts w:eastAsia="宋体"/>
                <w:color w:val="000000"/>
                <w:sz w:val="24"/>
                <w:szCs w:val="24"/>
              </w:rPr>
              <w:t>红利再投资相关事项的说明</w:t>
            </w:r>
          </w:p>
        </w:tc>
        <w:tc>
          <w:tcPr>
            <w:tcW w:w="5411" w:type="dxa"/>
            <w:shd w:val="clear" w:color="auto" w:fill="auto"/>
          </w:tcPr>
          <w:p w:rsidR="003B3DC5" w:rsidRPr="001F5EB9" w:rsidRDefault="00DF79C2" w:rsidP="000B4CA3">
            <w:pPr>
              <w:pStyle w:val="Default"/>
              <w:jc w:val="both"/>
              <w:rPr>
                <w:rFonts w:ascii="Times New Roman" w:cs="Times New Roman"/>
              </w:rPr>
            </w:pPr>
            <w:r w:rsidRPr="001F5EB9">
              <w:rPr>
                <w:rFonts w:ascii="Times New Roman" w:cs="Times New Roman"/>
              </w:rPr>
              <w:t>选择红利再投资的投资者，其红利将按</w:t>
            </w:r>
            <w:r w:rsidRPr="001F5EB9">
              <w:rPr>
                <w:rFonts w:ascii="Times New Roman" w:cs="Times New Roman"/>
              </w:rPr>
              <w:t>2025</w:t>
            </w:r>
            <w:r w:rsidRPr="001F5EB9">
              <w:rPr>
                <w:rFonts w:ascii="Times New Roman" w:cs="Times New Roman"/>
              </w:rPr>
              <w:t>年</w:t>
            </w:r>
            <w:r w:rsidRPr="001F5EB9">
              <w:rPr>
                <w:rFonts w:ascii="Times New Roman" w:cs="Times New Roman"/>
              </w:rPr>
              <w:t>11</w:t>
            </w:r>
            <w:r w:rsidRPr="001F5EB9">
              <w:rPr>
                <w:rFonts w:ascii="Times New Roman" w:cs="Times New Roman"/>
              </w:rPr>
              <w:t>月</w:t>
            </w:r>
            <w:r w:rsidRPr="001F5EB9">
              <w:rPr>
                <w:rFonts w:ascii="Times New Roman" w:cs="Times New Roman"/>
              </w:rPr>
              <w:t>3</w:t>
            </w:r>
            <w:r w:rsidRPr="001F5EB9">
              <w:rPr>
                <w:rFonts w:ascii="Times New Roman" w:cs="Times New Roman"/>
              </w:rPr>
              <w:t>日除息后的基金份额净值转换为基金份额数，于</w:t>
            </w:r>
            <w:r w:rsidRPr="001F5EB9">
              <w:rPr>
                <w:rFonts w:ascii="Times New Roman" w:cs="Times New Roman"/>
              </w:rPr>
              <w:t>2025</w:t>
            </w:r>
            <w:r w:rsidRPr="001F5EB9">
              <w:rPr>
                <w:rFonts w:ascii="Times New Roman" w:cs="Times New Roman"/>
              </w:rPr>
              <w:t>年</w:t>
            </w:r>
            <w:r w:rsidRPr="001F5EB9">
              <w:rPr>
                <w:rFonts w:ascii="Times New Roman" w:cs="Times New Roman"/>
              </w:rPr>
              <w:t>11</w:t>
            </w:r>
            <w:r w:rsidRPr="001F5EB9">
              <w:rPr>
                <w:rFonts w:ascii="Times New Roman" w:cs="Times New Roman"/>
              </w:rPr>
              <w:t>月</w:t>
            </w:r>
            <w:r w:rsidRPr="001F5EB9">
              <w:rPr>
                <w:rFonts w:ascii="Times New Roman" w:cs="Times New Roman"/>
              </w:rPr>
              <w:t>4</w:t>
            </w:r>
            <w:r w:rsidRPr="001F5EB9">
              <w:rPr>
                <w:rFonts w:ascii="Times New Roman" w:cs="Times New Roman"/>
              </w:rPr>
              <w:t>日直接计入其基金账户，投资者可于</w:t>
            </w:r>
            <w:r w:rsidRPr="001F5EB9">
              <w:rPr>
                <w:rFonts w:ascii="Times New Roman" w:cs="Times New Roman"/>
              </w:rPr>
              <w:t>2025</w:t>
            </w:r>
            <w:r w:rsidRPr="001F5EB9">
              <w:rPr>
                <w:rFonts w:ascii="Times New Roman" w:cs="Times New Roman"/>
              </w:rPr>
              <w:t>年</w:t>
            </w:r>
            <w:r w:rsidRPr="001F5EB9">
              <w:rPr>
                <w:rFonts w:ascii="Times New Roman" w:cs="Times New Roman"/>
              </w:rPr>
              <w:t>11</w:t>
            </w:r>
            <w:r w:rsidRPr="001F5EB9">
              <w:rPr>
                <w:rFonts w:ascii="Times New Roman" w:cs="Times New Roman"/>
              </w:rPr>
              <w:t>月</w:t>
            </w:r>
            <w:r w:rsidRPr="001F5EB9">
              <w:rPr>
                <w:rFonts w:ascii="Times New Roman" w:cs="Times New Roman"/>
              </w:rPr>
              <w:t>5</w:t>
            </w:r>
            <w:r w:rsidRPr="001F5EB9">
              <w:rPr>
                <w:rFonts w:ascii="Times New Roman" w:cs="Times New Roman"/>
              </w:rPr>
              <w:t>日起到各销售机构查询、赎回。本次红利再投资所得份额的持有期限自红利发放日开始计算。</w:t>
            </w:r>
          </w:p>
        </w:tc>
      </w:tr>
      <w:tr w:rsidR="003B3DC5" w:rsidRPr="001F5EB9" w:rsidTr="001D5562">
        <w:trPr>
          <w:jc w:val="center"/>
        </w:trPr>
        <w:tc>
          <w:tcPr>
            <w:tcW w:w="2951" w:type="dxa"/>
            <w:vAlign w:val="center"/>
          </w:tcPr>
          <w:p w:rsidR="003B3DC5" w:rsidRPr="001F5EB9" w:rsidRDefault="003B3DC5" w:rsidP="000B5653">
            <w:pPr>
              <w:rPr>
                <w:rFonts w:eastAsia="宋体"/>
                <w:color w:val="000000"/>
                <w:sz w:val="24"/>
                <w:szCs w:val="24"/>
              </w:rPr>
            </w:pPr>
            <w:r w:rsidRPr="001F5EB9">
              <w:rPr>
                <w:rFonts w:eastAsia="宋体"/>
                <w:color w:val="000000"/>
                <w:sz w:val="24"/>
                <w:szCs w:val="24"/>
              </w:rPr>
              <w:t>税收相关事项的说明</w:t>
            </w:r>
          </w:p>
        </w:tc>
        <w:tc>
          <w:tcPr>
            <w:tcW w:w="5411" w:type="dxa"/>
            <w:shd w:val="clear" w:color="auto" w:fill="auto"/>
          </w:tcPr>
          <w:p w:rsidR="003B3DC5" w:rsidRPr="001F5EB9" w:rsidRDefault="003B3DC5" w:rsidP="000B5653">
            <w:pPr>
              <w:pStyle w:val="Default"/>
              <w:ind w:left="35"/>
              <w:rPr>
                <w:rFonts w:ascii="Times New Roman" w:cs="Times New Roman"/>
              </w:rPr>
            </w:pPr>
            <w:r w:rsidRPr="001F5EB9">
              <w:rPr>
                <w:rFonts w:ascii="Times New Roman" w:cs="Times New Roman"/>
              </w:rPr>
              <w:t>根据财政部、国家税务总局《关于开放式证券投资基金有关税收问题的通知》（财税［</w:t>
            </w:r>
            <w:r w:rsidRPr="001F5EB9">
              <w:rPr>
                <w:rFonts w:ascii="Times New Roman" w:cs="Times New Roman"/>
              </w:rPr>
              <w:t>2002</w:t>
            </w:r>
            <w:r w:rsidRPr="001F5EB9">
              <w:rPr>
                <w:rFonts w:ascii="Times New Roman" w:cs="Times New Roman"/>
              </w:rPr>
              <w:t>］</w:t>
            </w:r>
            <w:r w:rsidRPr="001F5EB9">
              <w:rPr>
                <w:rFonts w:ascii="Times New Roman" w:cs="Times New Roman"/>
              </w:rPr>
              <w:t>128</w:t>
            </w:r>
            <w:r w:rsidRPr="001F5EB9">
              <w:rPr>
                <w:rFonts w:ascii="Times New Roman" w:cs="Times New Roman"/>
              </w:rPr>
              <w:t>号），基金向投资者分配的基金收益，暂免征收所得税。</w:t>
            </w:r>
          </w:p>
        </w:tc>
      </w:tr>
      <w:tr w:rsidR="001D5562" w:rsidRPr="001F5EB9" w:rsidTr="001D5562">
        <w:trPr>
          <w:jc w:val="center"/>
        </w:trPr>
        <w:tc>
          <w:tcPr>
            <w:tcW w:w="2951" w:type="dxa"/>
            <w:vAlign w:val="center"/>
          </w:tcPr>
          <w:p w:rsidR="001D5562" w:rsidRPr="001F5EB9" w:rsidRDefault="001D5562" w:rsidP="000B5653">
            <w:pPr>
              <w:rPr>
                <w:rFonts w:eastAsia="宋体"/>
                <w:color w:val="000000"/>
                <w:sz w:val="24"/>
                <w:szCs w:val="24"/>
              </w:rPr>
            </w:pPr>
            <w:r w:rsidRPr="001F5EB9">
              <w:rPr>
                <w:rFonts w:eastAsia="宋体"/>
                <w:color w:val="000000"/>
                <w:sz w:val="24"/>
                <w:szCs w:val="24"/>
              </w:rPr>
              <w:t>费用相关事项的说明</w:t>
            </w:r>
          </w:p>
        </w:tc>
        <w:tc>
          <w:tcPr>
            <w:tcW w:w="5411" w:type="dxa"/>
            <w:shd w:val="clear" w:color="auto" w:fill="auto"/>
          </w:tcPr>
          <w:p w:rsidR="001D5562" w:rsidRPr="001F5EB9" w:rsidRDefault="001D5562" w:rsidP="000B5653">
            <w:pPr>
              <w:pStyle w:val="Default"/>
              <w:ind w:left="35"/>
              <w:rPr>
                <w:rFonts w:ascii="Times New Roman" w:cs="Times New Roman"/>
              </w:rPr>
            </w:pPr>
            <w:r w:rsidRPr="001F5EB9">
              <w:rPr>
                <w:rFonts w:ascii="Times New Roman" w:cs="Times New Roman"/>
              </w:rPr>
              <w:t>本基金本次分红免收分红手续费，选择红利再投资方式的投资者其红利再投资所得的基金份额免收申购费用。</w:t>
            </w:r>
          </w:p>
        </w:tc>
      </w:tr>
    </w:tbl>
    <w:p w:rsidR="003B3DC5" w:rsidRPr="001F5EB9" w:rsidRDefault="003B3DC5" w:rsidP="001F5EB9">
      <w:pPr>
        <w:spacing w:line="360" w:lineRule="auto"/>
        <w:jc w:val="left"/>
        <w:rPr>
          <w:rFonts w:eastAsia="宋体"/>
          <w:sz w:val="24"/>
          <w:szCs w:val="24"/>
        </w:rPr>
      </w:pPr>
      <w:bookmarkStart w:id="7" w:name="t_6_2_2766_a1_fm1"/>
      <w:bookmarkStart w:id="8" w:name="_Toc275961420"/>
      <w:r w:rsidRPr="001F5EB9">
        <w:rPr>
          <w:rFonts w:eastAsia="宋体"/>
          <w:sz w:val="24"/>
          <w:szCs w:val="24"/>
        </w:rPr>
        <w:t>注：</w:t>
      </w:r>
      <w:bookmarkEnd w:id="7"/>
      <w:r w:rsidRPr="001F5EB9">
        <w:rPr>
          <w:rFonts w:eastAsia="宋体"/>
          <w:sz w:val="24"/>
          <w:szCs w:val="24"/>
        </w:rPr>
        <w:t>1</w:t>
      </w:r>
      <w:r w:rsidRPr="001F5EB9">
        <w:rPr>
          <w:rFonts w:eastAsia="宋体"/>
          <w:sz w:val="24"/>
          <w:szCs w:val="24"/>
        </w:rPr>
        <w:t>、本次收益分配方案已经本基金的托管人中国建设银行股份有限公司复核。</w:t>
      </w:r>
    </w:p>
    <w:p w:rsidR="003B3DC5" w:rsidRPr="001F5EB9" w:rsidRDefault="003B3DC5" w:rsidP="001F5EB9">
      <w:pPr>
        <w:spacing w:line="360" w:lineRule="auto"/>
        <w:ind w:firstLineChars="200" w:firstLine="480"/>
        <w:jc w:val="left"/>
        <w:rPr>
          <w:rFonts w:eastAsia="宋体"/>
          <w:sz w:val="24"/>
          <w:szCs w:val="24"/>
        </w:rPr>
      </w:pPr>
      <w:r w:rsidRPr="001F5EB9">
        <w:rPr>
          <w:rFonts w:eastAsia="宋体"/>
          <w:sz w:val="24"/>
          <w:szCs w:val="24"/>
        </w:rPr>
        <w:t>2</w:t>
      </w:r>
      <w:r w:rsidRPr="001F5EB9">
        <w:rPr>
          <w:rFonts w:eastAsia="宋体"/>
          <w:sz w:val="24"/>
          <w:szCs w:val="24"/>
        </w:rPr>
        <w:t>、</w:t>
      </w:r>
      <w:r w:rsidR="003F618A" w:rsidRPr="001F5EB9">
        <w:rPr>
          <w:rFonts w:eastAsia="宋体"/>
          <w:sz w:val="24"/>
          <w:szCs w:val="24"/>
        </w:rPr>
        <w:t>选择现金红利方式的投资者的</w:t>
      </w:r>
      <w:r w:rsidRPr="001F5EB9">
        <w:rPr>
          <w:rFonts w:eastAsia="宋体"/>
          <w:sz w:val="24"/>
          <w:szCs w:val="24"/>
        </w:rPr>
        <w:t>红利款将于</w:t>
      </w:r>
      <w:r w:rsidR="009C6930" w:rsidRPr="001F5EB9">
        <w:rPr>
          <w:rFonts w:eastAsia="宋体"/>
          <w:sz w:val="24"/>
          <w:szCs w:val="24"/>
        </w:rPr>
        <w:t>2025</w:t>
      </w:r>
      <w:r w:rsidR="009C6930" w:rsidRPr="001F5EB9">
        <w:rPr>
          <w:rFonts w:eastAsia="宋体"/>
          <w:sz w:val="24"/>
          <w:szCs w:val="24"/>
        </w:rPr>
        <w:t>年</w:t>
      </w:r>
      <w:r w:rsidR="009C6930" w:rsidRPr="001F5EB9">
        <w:rPr>
          <w:rFonts w:eastAsia="宋体"/>
          <w:sz w:val="24"/>
          <w:szCs w:val="24"/>
        </w:rPr>
        <w:t>11</w:t>
      </w:r>
      <w:r w:rsidR="009C6930" w:rsidRPr="001F5EB9">
        <w:rPr>
          <w:rFonts w:eastAsia="宋体"/>
          <w:sz w:val="24"/>
          <w:szCs w:val="24"/>
        </w:rPr>
        <w:t>月</w:t>
      </w:r>
      <w:r w:rsidR="009C6930" w:rsidRPr="001F5EB9">
        <w:rPr>
          <w:rFonts w:eastAsia="宋体"/>
          <w:sz w:val="24"/>
          <w:szCs w:val="24"/>
        </w:rPr>
        <w:t>4</w:t>
      </w:r>
      <w:r w:rsidR="009C6930" w:rsidRPr="001F5EB9">
        <w:rPr>
          <w:rFonts w:eastAsia="宋体"/>
          <w:sz w:val="24"/>
          <w:szCs w:val="24"/>
        </w:rPr>
        <w:t>日</w:t>
      </w:r>
      <w:r w:rsidRPr="001F5EB9">
        <w:rPr>
          <w:rFonts w:eastAsia="宋体"/>
          <w:sz w:val="24"/>
          <w:szCs w:val="24"/>
        </w:rPr>
        <w:t>自基金托管账户划出。</w:t>
      </w:r>
    </w:p>
    <w:p w:rsidR="003B3DC5" w:rsidRPr="001F5EB9" w:rsidRDefault="003B3DC5" w:rsidP="001F5EB9">
      <w:pPr>
        <w:pStyle w:val="2"/>
        <w:spacing w:after="120" w:line="360" w:lineRule="auto"/>
        <w:rPr>
          <w:rFonts w:ascii="Times New Roman" w:eastAsia="宋体" w:hAnsi="Times New Roman"/>
          <w:bCs w:val="0"/>
          <w:color w:val="000000"/>
          <w:sz w:val="24"/>
          <w:szCs w:val="24"/>
        </w:rPr>
      </w:pPr>
      <w:r w:rsidRPr="001F5EB9">
        <w:rPr>
          <w:rFonts w:ascii="Times New Roman" w:eastAsia="宋体" w:hAnsi="Times New Roman"/>
          <w:bCs w:val="0"/>
          <w:color w:val="000000"/>
          <w:sz w:val="24"/>
          <w:szCs w:val="24"/>
        </w:rPr>
        <w:t xml:space="preserve">3 </w:t>
      </w:r>
      <w:r w:rsidRPr="001F5EB9">
        <w:rPr>
          <w:rFonts w:ascii="Times New Roman" w:eastAsia="宋体" w:hAnsi="Times New Roman"/>
          <w:bCs w:val="0"/>
          <w:color w:val="000000"/>
          <w:sz w:val="24"/>
          <w:szCs w:val="24"/>
        </w:rPr>
        <w:t>其他需要提示的事项</w:t>
      </w:r>
      <w:bookmarkEnd w:id="8"/>
    </w:p>
    <w:p w:rsidR="009C6930" w:rsidRPr="001F5EB9" w:rsidRDefault="009C6930" w:rsidP="001F5EB9">
      <w:pPr>
        <w:spacing w:line="360" w:lineRule="auto"/>
        <w:ind w:firstLineChars="200" w:firstLine="480"/>
        <w:jc w:val="left"/>
        <w:rPr>
          <w:rFonts w:eastAsia="宋体"/>
          <w:sz w:val="24"/>
          <w:szCs w:val="24"/>
        </w:rPr>
      </w:pPr>
      <w:r w:rsidRPr="001F5EB9">
        <w:rPr>
          <w:rFonts w:eastAsia="宋体"/>
          <w:sz w:val="24"/>
          <w:szCs w:val="24"/>
        </w:rPr>
        <w:t>3.1</w:t>
      </w:r>
      <w:r w:rsidRPr="001F5EB9">
        <w:rPr>
          <w:rFonts w:eastAsia="宋体"/>
          <w:sz w:val="24"/>
          <w:szCs w:val="24"/>
        </w:rPr>
        <w:t>权益登记日以后（含权益登记日）申购的基金份额不享有本次分红权益，而权益登记日当天申请赎回的基金份额享有本次分红权益。</w:t>
      </w:r>
    </w:p>
    <w:p w:rsidR="009C6930" w:rsidRPr="001F5EB9" w:rsidRDefault="009C6930" w:rsidP="001F5EB9">
      <w:pPr>
        <w:spacing w:line="360" w:lineRule="auto"/>
        <w:ind w:firstLineChars="200" w:firstLine="480"/>
        <w:jc w:val="left"/>
        <w:rPr>
          <w:rFonts w:eastAsia="宋体"/>
          <w:sz w:val="24"/>
          <w:szCs w:val="24"/>
        </w:rPr>
      </w:pPr>
      <w:r w:rsidRPr="001F5EB9">
        <w:rPr>
          <w:rFonts w:eastAsia="宋体"/>
          <w:sz w:val="24"/>
          <w:szCs w:val="24"/>
        </w:rPr>
        <w:t>3.2</w:t>
      </w:r>
      <w:r w:rsidRPr="001F5EB9">
        <w:rPr>
          <w:rFonts w:eastAsia="宋体"/>
          <w:sz w:val="24"/>
          <w:szCs w:val="24"/>
        </w:rPr>
        <w:t>因本次分红导致基金净值变化，不会改变本基金的风险收益特征，不会降低基金投资风险或提高基金投资收益。</w:t>
      </w:r>
    </w:p>
    <w:p w:rsidR="009C6930" w:rsidRPr="001F5EB9" w:rsidRDefault="009C6930" w:rsidP="001F5EB9">
      <w:pPr>
        <w:spacing w:line="360" w:lineRule="auto"/>
        <w:ind w:firstLineChars="200" w:firstLine="480"/>
        <w:jc w:val="left"/>
        <w:rPr>
          <w:rFonts w:eastAsia="宋体"/>
          <w:sz w:val="24"/>
          <w:szCs w:val="24"/>
        </w:rPr>
      </w:pPr>
      <w:r w:rsidRPr="001F5EB9">
        <w:rPr>
          <w:rFonts w:eastAsia="宋体"/>
          <w:sz w:val="24"/>
          <w:szCs w:val="24"/>
        </w:rPr>
        <w:t>3.3</w:t>
      </w:r>
      <w:r w:rsidRPr="001F5EB9">
        <w:rPr>
          <w:rFonts w:eastAsia="宋体"/>
          <w:sz w:val="24"/>
          <w:szCs w:val="24"/>
        </w:rPr>
        <w:t>本次分红确认的方式将按照投资者在权益登记日之前（不含权益登记日）</w:t>
      </w:r>
      <w:r w:rsidRPr="001F5EB9">
        <w:rPr>
          <w:rFonts w:eastAsia="宋体"/>
          <w:sz w:val="24"/>
          <w:szCs w:val="24"/>
        </w:rPr>
        <w:lastRenderedPageBreak/>
        <w:t>最后一次选择成功的分红方式为准。希望修改分红方式的，请务必在权益登记日之前（不含权益登记日）到销售网点办理变更手续。</w:t>
      </w:r>
    </w:p>
    <w:p w:rsidR="009C6930" w:rsidRPr="001F5EB9" w:rsidRDefault="009C6930" w:rsidP="001F5EB9">
      <w:pPr>
        <w:spacing w:line="360" w:lineRule="auto"/>
        <w:ind w:firstLineChars="200" w:firstLine="480"/>
        <w:jc w:val="left"/>
        <w:rPr>
          <w:rFonts w:eastAsia="宋体"/>
          <w:sz w:val="24"/>
          <w:szCs w:val="24"/>
        </w:rPr>
      </w:pPr>
      <w:r w:rsidRPr="001F5EB9">
        <w:rPr>
          <w:rFonts w:eastAsia="宋体"/>
          <w:sz w:val="24"/>
          <w:szCs w:val="24"/>
        </w:rPr>
        <w:t xml:space="preserve">3.4 </w:t>
      </w:r>
      <w:r w:rsidRPr="001F5EB9">
        <w:rPr>
          <w:rFonts w:eastAsia="宋体"/>
          <w:sz w:val="24"/>
          <w:szCs w:val="24"/>
        </w:rPr>
        <w:t>如投资者在多家销售机构购买了本基金，其在任一家销售机构所做的基金份额的分红方式变更，只适用于该销售机构指定交易账户下托管的基金份额。</w:t>
      </w:r>
    </w:p>
    <w:p w:rsidR="003B3DC5" w:rsidRPr="001F5EB9" w:rsidRDefault="009C6930" w:rsidP="001F5EB9">
      <w:pPr>
        <w:spacing w:line="360" w:lineRule="auto"/>
        <w:ind w:firstLineChars="200" w:firstLine="480"/>
        <w:jc w:val="left"/>
        <w:rPr>
          <w:rFonts w:eastAsia="宋体"/>
          <w:sz w:val="24"/>
          <w:szCs w:val="24"/>
        </w:rPr>
      </w:pPr>
      <w:r w:rsidRPr="001F5EB9">
        <w:rPr>
          <w:rFonts w:eastAsia="宋体"/>
          <w:sz w:val="24"/>
          <w:szCs w:val="24"/>
        </w:rPr>
        <w:t xml:space="preserve">3.5 </w:t>
      </w:r>
      <w:r w:rsidRPr="001F5EB9">
        <w:rPr>
          <w:rFonts w:eastAsia="宋体"/>
          <w:sz w:val="24"/>
          <w:szCs w:val="24"/>
        </w:rPr>
        <w:t>基金收益分配时所发生的银行转账或其他手续费用由投资人自行承担。为保护投资者的利益，当投资者的现金红利小于</w:t>
      </w:r>
      <w:r w:rsidRPr="001F5EB9">
        <w:rPr>
          <w:rFonts w:eastAsia="宋体"/>
          <w:sz w:val="24"/>
          <w:szCs w:val="24"/>
        </w:rPr>
        <w:t>10</w:t>
      </w:r>
      <w:r w:rsidRPr="001F5EB9">
        <w:rPr>
          <w:rFonts w:eastAsia="宋体"/>
          <w:sz w:val="24"/>
          <w:szCs w:val="24"/>
        </w:rPr>
        <w:t>元时，基金</w:t>
      </w:r>
      <w:r w:rsidR="00A75593" w:rsidRPr="001F5EB9">
        <w:rPr>
          <w:rFonts w:eastAsia="宋体"/>
          <w:sz w:val="24"/>
          <w:szCs w:val="24"/>
        </w:rPr>
        <w:t>注册</w:t>
      </w:r>
      <w:r w:rsidRPr="001F5EB9">
        <w:rPr>
          <w:rFonts w:eastAsia="宋体"/>
          <w:sz w:val="24"/>
          <w:szCs w:val="24"/>
        </w:rPr>
        <w:t>登记机构可将基金份额持有人的现金红利自动转为基金份额。红利再投资的计算方法，依照《民生加银基金管理有限公司开放式基金业务规则》执行。</w:t>
      </w:r>
    </w:p>
    <w:p w:rsidR="003B3DC5" w:rsidRPr="001F5EB9" w:rsidRDefault="003B3DC5" w:rsidP="001F5EB9">
      <w:pPr>
        <w:spacing w:line="360" w:lineRule="auto"/>
        <w:ind w:firstLineChars="200" w:firstLine="480"/>
        <w:jc w:val="left"/>
        <w:rPr>
          <w:rFonts w:eastAsia="宋体"/>
          <w:sz w:val="24"/>
          <w:szCs w:val="24"/>
        </w:rPr>
      </w:pPr>
      <w:r w:rsidRPr="001F5EB9">
        <w:rPr>
          <w:rFonts w:eastAsia="宋体"/>
          <w:sz w:val="24"/>
          <w:szCs w:val="24"/>
        </w:rPr>
        <w:t>3.</w:t>
      </w:r>
      <w:r w:rsidR="009C6930" w:rsidRPr="001F5EB9">
        <w:rPr>
          <w:rFonts w:eastAsia="宋体"/>
          <w:sz w:val="24"/>
          <w:szCs w:val="24"/>
        </w:rPr>
        <w:t>6</w:t>
      </w:r>
      <w:r w:rsidRPr="001F5EB9">
        <w:rPr>
          <w:rFonts w:eastAsia="宋体"/>
          <w:sz w:val="24"/>
          <w:szCs w:val="24"/>
        </w:rPr>
        <w:t>投资者欲了解本次分红的详细情况，可到本基金各销售机构网点或通过本公司客户服务中心查询。</w:t>
      </w:r>
    </w:p>
    <w:p w:rsidR="003B3DC5" w:rsidRPr="001F5EB9" w:rsidRDefault="003B3DC5" w:rsidP="001F5EB9">
      <w:pPr>
        <w:spacing w:line="360" w:lineRule="auto"/>
        <w:ind w:firstLineChars="200" w:firstLine="480"/>
        <w:jc w:val="left"/>
        <w:rPr>
          <w:rFonts w:eastAsia="宋体"/>
          <w:sz w:val="24"/>
          <w:szCs w:val="24"/>
        </w:rPr>
      </w:pPr>
      <w:r w:rsidRPr="001F5EB9">
        <w:rPr>
          <w:rFonts w:eastAsia="宋体"/>
          <w:sz w:val="24"/>
          <w:szCs w:val="24"/>
        </w:rPr>
        <w:t>1</w:t>
      </w:r>
      <w:r w:rsidRPr="001F5EB9">
        <w:rPr>
          <w:rFonts w:eastAsia="宋体"/>
          <w:sz w:val="24"/>
          <w:szCs w:val="24"/>
        </w:rPr>
        <w:t>）民生加银基金管理有限公司</w:t>
      </w:r>
      <w:r w:rsidRPr="001F5EB9">
        <w:rPr>
          <w:rFonts w:eastAsia="宋体"/>
          <w:sz w:val="24"/>
          <w:szCs w:val="24"/>
        </w:rPr>
        <w:t xml:space="preserve"> </w:t>
      </w:r>
      <w:r w:rsidRPr="001F5EB9">
        <w:rPr>
          <w:rFonts w:eastAsia="宋体"/>
          <w:sz w:val="24"/>
          <w:szCs w:val="24"/>
        </w:rPr>
        <w:t>网站：</w:t>
      </w:r>
      <w:r w:rsidRPr="001F5EB9">
        <w:rPr>
          <w:rFonts w:eastAsia="宋体"/>
          <w:sz w:val="24"/>
          <w:szCs w:val="24"/>
        </w:rPr>
        <w:t>www.msjyfund.com.cn</w:t>
      </w:r>
    </w:p>
    <w:p w:rsidR="003B3DC5" w:rsidRPr="001F5EB9" w:rsidRDefault="003B3DC5" w:rsidP="001F5EB9">
      <w:pPr>
        <w:spacing w:line="360" w:lineRule="auto"/>
        <w:ind w:firstLineChars="200" w:firstLine="480"/>
        <w:jc w:val="left"/>
        <w:rPr>
          <w:rFonts w:eastAsia="宋体"/>
          <w:sz w:val="24"/>
          <w:szCs w:val="24"/>
        </w:rPr>
      </w:pPr>
      <w:r w:rsidRPr="001F5EB9">
        <w:rPr>
          <w:rFonts w:eastAsia="宋体"/>
          <w:sz w:val="24"/>
          <w:szCs w:val="24"/>
        </w:rPr>
        <w:t>2</w:t>
      </w:r>
      <w:r w:rsidRPr="001F5EB9">
        <w:rPr>
          <w:rFonts w:eastAsia="宋体"/>
          <w:sz w:val="24"/>
          <w:szCs w:val="24"/>
        </w:rPr>
        <w:t>）民生加银基金管理有限公司</w:t>
      </w:r>
      <w:r w:rsidRPr="001F5EB9">
        <w:rPr>
          <w:rFonts w:eastAsia="宋体"/>
          <w:sz w:val="24"/>
          <w:szCs w:val="24"/>
        </w:rPr>
        <w:t xml:space="preserve"> </w:t>
      </w:r>
      <w:r w:rsidRPr="001F5EB9">
        <w:rPr>
          <w:rFonts w:eastAsia="宋体"/>
          <w:sz w:val="24"/>
          <w:szCs w:val="24"/>
        </w:rPr>
        <w:t>客户服务热线：</w:t>
      </w:r>
      <w:r w:rsidRPr="001F5EB9">
        <w:rPr>
          <w:rFonts w:eastAsia="宋体"/>
          <w:sz w:val="24"/>
          <w:szCs w:val="24"/>
        </w:rPr>
        <w:t>400-8888-388</w:t>
      </w:r>
    </w:p>
    <w:p w:rsidR="003B3DC5" w:rsidRPr="001F5EB9" w:rsidRDefault="003B3DC5" w:rsidP="001F5EB9">
      <w:pPr>
        <w:spacing w:line="360" w:lineRule="auto"/>
        <w:ind w:firstLineChars="200" w:firstLine="480"/>
        <w:rPr>
          <w:rFonts w:eastAsia="宋体"/>
          <w:sz w:val="24"/>
          <w:szCs w:val="24"/>
        </w:rPr>
      </w:pPr>
      <w:r w:rsidRPr="001F5EB9">
        <w:rPr>
          <w:rFonts w:eastAsia="宋体"/>
          <w:sz w:val="24"/>
          <w:szCs w:val="24"/>
        </w:rPr>
        <w:t>3.</w:t>
      </w:r>
      <w:r w:rsidR="007C61DB" w:rsidRPr="001F5EB9">
        <w:rPr>
          <w:rFonts w:eastAsia="宋体"/>
          <w:sz w:val="24"/>
          <w:szCs w:val="24"/>
        </w:rPr>
        <w:t>6</w:t>
      </w:r>
      <w:r w:rsidRPr="001F5EB9">
        <w:rPr>
          <w:rFonts w:eastAsia="宋体"/>
          <w:b/>
          <w:sz w:val="24"/>
          <w:szCs w:val="24"/>
        </w:rPr>
        <w:t>风险提示：</w:t>
      </w:r>
      <w:r w:rsidR="007C61DB" w:rsidRPr="001F5EB9">
        <w:rPr>
          <w:rFonts w:eastAsia="宋体"/>
          <w:b/>
          <w:sz w:val="24"/>
          <w:szCs w:val="24"/>
        </w:rPr>
        <w:t>基金管理人承诺以诚实信用、勤勉尽责的原则管理和运用基金资产，但不保证基金一定盈利，也不保证最低收益。投资者投资于基金前应认真阅读基金的基金合同和招募说明书等法律文件，了解所投资基金的风险收益特征，并根据自身情况投资与本人风险承受能力相匹配的产品。敬请投资者注意投资风险。</w:t>
      </w:r>
    </w:p>
    <w:p w:rsidR="003B3DC5" w:rsidRPr="001F5EB9" w:rsidRDefault="003B3DC5" w:rsidP="001F5EB9">
      <w:pPr>
        <w:spacing w:line="360" w:lineRule="auto"/>
        <w:ind w:firstLineChars="200" w:firstLine="480"/>
        <w:jc w:val="left"/>
        <w:rPr>
          <w:rFonts w:eastAsia="宋体"/>
          <w:sz w:val="24"/>
          <w:szCs w:val="24"/>
        </w:rPr>
      </w:pPr>
      <w:bookmarkStart w:id="9" w:name="t_6_3_2646_a1_fm1"/>
      <w:bookmarkEnd w:id="9"/>
      <w:r w:rsidRPr="001F5EB9">
        <w:rPr>
          <w:rFonts w:eastAsia="宋体"/>
          <w:sz w:val="24"/>
          <w:szCs w:val="24"/>
        </w:rPr>
        <w:t>本公告的解释权归本基金管理人。</w:t>
      </w:r>
    </w:p>
    <w:p w:rsidR="000006C6" w:rsidRPr="001F5EB9" w:rsidRDefault="000006C6">
      <w:pPr>
        <w:spacing w:line="360" w:lineRule="auto"/>
        <w:jc w:val="right"/>
        <w:rPr>
          <w:rFonts w:eastAsia="宋体"/>
          <w:sz w:val="24"/>
          <w:szCs w:val="24"/>
        </w:rPr>
      </w:pPr>
    </w:p>
    <w:p w:rsidR="003B3DC5" w:rsidRPr="001F5EB9" w:rsidRDefault="003B3DC5">
      <w:pPr>
        <w:spacing w:line="360" w:lineRule="auto"/>
        <w:jc w:val="right"/>
        <w:rPr>
          <w:rFonts w:eastAsia="宋体"/>
          <w:sz w:val="24"/>
          <w:szCs w:val="24"/>
        </w:rPr>
      </w:pPr>
      <w:r w:rsidRPr="001F5EB9">
        <w:rPr>
          <w:rFonts w:eastAsia="宋体"/>
          <w:sz w:val="24"/>
          <w:szCs w:val="24"/>
        </w:rPr>
        <w:t>民生加银基金管理有限公司</w:t>
      </w:r>
    </w:p>
    <w:p w:rsidR="003B3DC5" w:rsidRPr="001F5EB9" w:rsidRDefault="009C6930">
      <w:pPr>
        <w:spacing w:line="360" w:lineRule="auto"/>
        <w:jc w:val="right"/>
        <w:rPr>
          <w:rFonts w:eastAsia="宋体"/>
          <w:color w:val="000000"/>
          <w:sz w:val="24"/>
          <w:szCs w:val="24"/>
        </w:rPr>
      </w:pPr>
      <w:r w:rsidRPr="001F5EB9">
        <w:rPr>
          <w:rFonts w:eastAsia="宋体"/>
          <w:sz w:val="24"/>
          <w:szCs w:val="24"/>
        </w:rPr>
        <w:t>2025</w:t>
      </w:r>
      <w:r w:rsidRPr="001F5EB9">
        <w:rPr>
          <w:rFonts w:eastAsia="宋体"/>
          <w:sz w:val="24"/>
          <w:szCs w:val="24"/>
        </w:rPr>
        <w:t>年</w:t>
      </w:r>
      <w:r w:rsidRPr="001F5EB9">
        <w:rPr>
          <w:rFonts w:eastAsia="宋体"/>
          <w:sz w:val="24"/>
          <w:szCs w:val="24"/>
        </w:rPr>
        <w:t>10</w:t>
      </w:r>
      <w:r w:rsidR="0014688C" w:rsidRPr="001F5EB9">
        <w:rPr>
          <w:rFonts w:eastAsia="宋体"/>
          <w:sz w:val="24"/>
          <w:szCs w:val="24"/>
        </w:rPr>
        <w:t>月</w:t>
      </w:r>
      <w:r w:rsidRPr="001F5EB9">
        <w:rPr>
          <w:rFonts w:eastAsia="宋体"/>
          <w:sz w:val="24"/>
          <w:szCs w:val="24"/>
        </w:rPr>
        <w:t>31</w:t>
      </w:r>
      <w:r w:rsidR="0014688C" w:rsidRPr="001F5EB9">
        <w:rPr>
          <w:rFonts w:eastAsia="宋体"/>
          <w:sz w:val="24"/>
          <w:szCs w:val="24"/>
        </w:rPr>
        <w:t>日</w:t>
      </w:r>
    </w:p>
    <w:sectPr w:rsidR="003B3DC5" w:rsidRPr="001F5EB9" w:rsidSect="000006C6">
      <w:pgSz w:w="11906" w:h="16838"/>
      <w:pgMar w:top="1134" w:right="1800" w:bottom="1276"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81B" w:rsidRDefault="00D6781B" w:rsidP="000006C6">
      <w:r>
        <w:separator/>
      </w:r>
    </w:p>
  </w:endnote>
  <w:endnote w:type="continuationSeparator" w:id="0">
    <w:p w:rsidR="00D6781B" w:rsidRDefault="00D6781B" w:rsidP="000006C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方正仿宋简体">
    <w:altName w:val="微软雅黑"/>
    <w:charset w:val="86"/>
    <w:family w:val="auto"/>
    <w:pitch w:val="variable"/>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81B" w:rsidRDefault="00D6781B" w:rsidP="000006C6">
      <w:r>
        <w:separator/>
      </w:r>
    </w:p>
  </w:footnote>
  <w:footnote w:type="continuationSeparator" w:id="0">
    <w:p w:rsidR="00D6781B" w:rsidRDefault="00D6781B" w:rsidP="000006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FFF7C"/>
    <w:multiLevelType w:val="singleLevel"/>
    <w:tmpl w:val="273A64C0"/>
    <w:lvl w:ilvl="0">
      <w:start w:val="1"/>
      <w:numFmt w:val="decimal"/>
      <w:lvlText w:val="%1."/>
      <w:lvlJc w:val="left"/>
      <w:pPr>
        <w:tabs>
          <w:tab w:val="num" w:pos="2040"/>
        </w:tabs>
        <w:ind w:left="2040" w:hanging="360"/>
      </w:pPr>
    </w:lvl>
  </w:abstractNum>
  <w:abstractNum w:abstractNumId="1">
    <w:nsid w:val="0FFFFF7D"/>
    <w:multiLevelType w:val="singleLevel"/>
    <w:tmpl w:val="AE742B64"/>
    <w:lvl w:ilvl="0">
      <w:start w:val="1"/>
      <w:numFmt w:val="decimal"/>
      <w:lvlText w:val="%1."/>
      <w:lvlJc w:val="left"/>
      <w:pPr>
        <w:tabs>
          <w:tab w:val="num" w:pos="1620"/>
        </w:tabs>
        <w:ind w:left="1620" w:hanging="360"/>
      </w:pPr>
    </w:lvl>
  </w:abstractNum>
  <w:abstractNum w:abstractNumId="2">
    <w:nsid w:val="0FFFFF7E"/>
    <w:multiLevelType w:val="singleLevel"/>
    <w:tmpl w:val="FCC6FB9C"/>
    <w:lvl w:ilvl="0">
      <w:start w:val="1"/>
      <w:numFmt w:val="decimal"/>
      <w:lvlText w:val="%1."/>
      <w:lvlJc w:val="left"/>
      <w:pPr>
        <w:tabs>
          <w:tab w:val="num" w:pos="1200"/>
        </w:tabs>
        <w:ind w:left="1200" w:hanging="360"/>
      </w:pPr>
    </w:lvl>
  </w:abstractNum>
  <w:abstractNum w:abstractNumId="3">
    <w:nsid w:val="0FFFFF7F"/>
    <w:multiLevelType w:val="singleLevel"/>
    <w:tmpl w:val="37620C74"/>
    <w:lvl w:ilvl="0">
      <w:start w:val="1"/>
      <w:numFmt w:val="decimal"/>
      <w:lvlText w:val="%1."/>
      <w:lvlJc w:val="left"/>
      <w:pPr>
        <w:tabs>
          <w:tab w:val="num" w:pos="780"/>
        </w:tabs>
        <w:ind w:left="780" w:hanging="360"/>
      </w:pPr>
    </w:lvl>
  </w:abstractNum>
  <w:abstractNum w:abstractNumId="4">
    <w:nsid w:val="0FFFFF80"/>
    <w:multiLevelType w:val="singleLevel"/>
    <w:tmpl w:val="2A544DB4"/>
    <w:lvl w:ilvl="0">
      <w:start w:val="1"/>
      <w:numFmt w:val="bullet"/>
      <w:lvlText w:val="●"/>
      <w:lvlJc w:val="left"/>
      <w:pPr>
        <w:tabs>
          <w:tab w:val="num" w:pos="2040"/>
        </w:tabs>
        <w:ind w:left="2040" w:hanging="360"/>
      </w:pPr>
      <w:rPr>
        <w:rFonts w:ascii="宋体" w:hAnsi="宋体" w:hint="default"/>
      </w:rPr>
    </w:lvl>
  </w:abstractNum>
  <w:abstractNum w:abstractNumId="5">
    <w:nsid w:val="0FFFFF81"/>
    <w:multiLevelType w:val="singleLevel"/>
    <w:tmpl w:val="624432BE"/>
    <w:lvl w:ilvl="0">
      <w:start w:val="1"/>
      <w:numFmt w:val="bullet"/>
      <w:lvlText w:val="●"/>
      <w:lvlJc w:val="left"/>
      <w:pPr>
        <w:tabs>
          <w:tab w:val="num" w:pos="1620"/>
        </w:tabs>
        <w:ind w:left="1620" w:hanging="360"/>
      </w:pPr>
      <w:rPr>
        <w:rFonts w:ascii="宋体" w:hAnsi="宋体" w:hint="default"/>
      </w:rPr>
    </w:lvl>
  </w:abstractNum>
  <w:abstractNum w:abstractNumId="6">
    <w:nsid w:val="0FFFFF82"/>
    <w:multiLevelType w:val="singleLevel"/>
    <w:tmpl w:val="2FBEF052"/>
    <w:lvl w:ilvl="0">
      <w:start w:val="1"/>
      <w:numFmt w:val="bullet"/>
      <w:lvlText w:val="●"/>
      <w:lvlJc w:val="left"/>
      <w:pPr>
        <w:tabs>
          <w:tab w:val="num" w:pos="1200"/>
        </w:tabs>
        <w:ind w:left="1200" w:hanging="360"/>
      </w:pPr>
      <w:rPr>
        <w:rFonts w:ascii="宋体" w:hAnsi="宋体" w:hint="default"/>
      </w:rPr>
    </w:lvl>
  </w:abstractNum>
  <w:abstractNum w:abstractNumId="7">
    <w:nsid w:val="0FFFFF83"/>
    <w:multiLevelType w:val="singleLevel"/>
    <w:tmpl w:val="29C24570"/>
    <w:lvl w:ilvl="0">
      <w:start w:val="1"/>
      <w:numFmt w:val="bullet"/>
      <w:lvlText w:val="●"/>
      <w:lvlJc w:val="left"/>
      <w:pPr>
        <w:tabs>
          <w:tab w:val="num" w:pos="780"/>
        </w:tabs>
        <w:ind w:left="780" w:hanging="360"/>
      </w:pPr>
      <w:rPr>
        <w:rFonts w:ascii="宋体" w:hAnsi="宋体" w:hint="default"/>
      </w:rPr>
    </w:lvl>
  </w:abstractNum>
  <w:abstractNum w:abstractNumId="8">
    <w:nsid w:val="0FFFFF88"/>
    <w:multiLevelType w:val="singleLevel"/>
    <w:tmpl w:val="680605E8"/>
    <w:lvl w:ilvl="0">
      <w:start w:val="1"/>
      <w:numFmt w:val="decimal"/>
      <w:lvlText w:val="%1."/>
      <w:lvlJc w:val="left"/>
      <w:pPr>
        <w:tabs>
          <w:tab w:val="num" w:pos="360"/>
        </w:tabs>
        <w:ind w:left="360" w:hanging="360"/>
      </w:pPr>
    </w:lvl>
  </w:abstractNum>
  <w:abstractNum w:abstractNumId="9">
    <w:nsid w:val="0FFFFF89"/>
    <w:multiLevelType w:val="singleLevel"/>
    <w:tmpl w:val="D24EA54A"/>
    <w:lvl w:ilvl="0">
      <w:start w:val="1"/>
      <w:numFmt w:val="bullet"/>
      <w:lvlText w:val="●"/>
      <w:lvlJc w:val="left"/>
      <w:pPr>
        <w:tabs>
          <w:tab w:val="num" w:pos="360"/>
        </w:tabs>
        <w:ind w:left="360" w:hanging="360"/>
      </w:pPr>
      <w:rPr>
        <w:rFonts w:ascii="宋体" w:hAnsi="宋体"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GrammaticalErrors/>
  <w:stylePaneFormatFilter w:val="3F01"/>
  <w:doNotTrackMoves/>
  <w:defaultTabStop w:val="420"/>
  <w:defaultTableStyle w:val="a"/>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0C3A"/>
    <w:rsid w:val="000006C6"/>
    <w:rsid w:val="0001427E"/>
    <w:rsid w:val="000534D2"/>
    <w:rsid w:val="00081EB8"/>
    <w:rsid w:val="000B4CA3"/>
    <w:rsid w:val="000B5653"/>
    <w:rsid w:val="000C144E"/>
    <w:rsid w:val="000E0B73"/>
    <w:rsid w:val="001239A5"/>
    <w:rsid w:val="0014688C"/>
    <w:rsid w:val="001B4903"/>
    <w:rsid w:val="001D5562"/>
    <w:rsid w:val="001F5EB9"/>
    <w:rsid w:val="00261EE5"/>
    <w:rsid w:val="0026640B"/>
    <w:rsid w:val="002D238C"/>
    <w:rsid w:val="002D4512"/>
    <w:rsid w:val="002E73D4"/>
    <w:rsid w:val="00310EFF"/>
    <w:rsid w:val="00374B37"/>
    <w:rsid w:val="003B0FC3"/>
    <w:rsid w:val="003B3DC5"/>
    <w:rsid w:val="003F618A"/>
    <w:rsid w:val="0041265A"/>
    <w:rsid w:val="00457606"/>
    <w:rsid w:val="0046044E"/>
    <w:rsid w:val="00462841"/>
    <w:rsid w:val="004F6FB9"/>
    <w:rsid w:val="00523192"/>
    <w:rsid w:val="0053159D"/>
    <w:rsid w:val="00535A6B"/>
    <w:rsid w:val="00557574"/>
    <w:rsid w:val="00574005"/>
    <w:rsid w:val="005A022F"/>
    <w:rsid w:val="00650F9A"/>
    <w:rsid w:val="00656B41"/>
    <w:rsid w:val="006B211A"/>
    <w:rsid w:val="00714149"/>
    <w:rsid w:val="00736911"/>
    <w:rsid w:val="00771DDE"/>
    <w:rsid w:val="007A6813"/>
    <w:rsid w:val="007A7A22"/>
    <w:rsid w:val="007C61DB"/>
    <w:rsid w:val="00886348"/>
    <w:rsid w:val="0093190B"/>
    <w:rsid w:val="00971D06"/>
    <w:rsid w:val="009A6523"/>
    <w:rsid w:val="009B5717"/>
    <w:rsid w:val="009C6930"/>
    <w:rsid w:val="009E2D98"/>
    <w:rsid w:val="00A73687"/>
    <w:rsid w:val="00A75593"/>
    <w:rsid w:val="00A82153"/>
    <w:rsid w:val="00A82FB3"/>
    <w:rsid w:val="00A928AD"/>
    <w:rsid w:val="00AB6598"/>
    <w:rsid w:val="00AE4CE3"/>
    <w:rsid w:val="00B54B4F"/>
    <w:rsid w:val="00B60D61"/>
    <w:rsid w:val="00B657F7"/>
    <w:rsid w:val="00B73811"/>
    <w:rsid w:val="00B80E51"/>
    <w:rsid w:val="00BA463A"/>
    <w:rsid w:val="00C04B48"/>
    <w:rsid w:val="00C11DDF"/>
    <w:rsid w:val="00C70A43"/>
    <w:rsid w:val="00D046B5"/>
    <w:rsid w:val="00D35290"/>
    <w:rsid w:val="00D6781B"/>
    <w:rsid w:val="00DC0F49"/>
    <w:rsid w:val="00DF79C2"/>
    <w:rsid w:val="00E54657"/>
    <w:rsid w:val="00EB3834"/>
    <w:rsid w:val="00ED1146"/>
    <w:rsid w:val="00F01E58"/>
    <w:rsid w:val="00FA2AAD"/>
    <w:rsid w:val="00FE004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等线"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方正仿宋简体"/>
      <w:kern w:val="2"/>
      <w:sz w:val="32"/>
    </w:rPr>
  </w:style>
  <w:style w:type="paragraph" w:styleId="1">
    <w:name w:val="heading 1"/>
    <w:basedOn w:val="a"/>
    <w:next w:val="a"/>
    <w:qFormat/>
    <w:pPr>
      <w:keepNext/>
      <w:keepLines/>
      <w:spacing w:before="340" w:after="330" w:line="578" w:lineRule="auto"/>
      <w:outlineLvl w:val="0"/>
    </w:pPr>
    <w:rPr>
      <w:rFonts w:eastAsia="宋体"/>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b/>
      <w:bCs/>
      <w:szCs w:val="32"/>
    </w:rPr>
  </w:style>
  <w:style w:type="paragraph" w:styleId="3">
    <w:name w:val="heading 3"/>
    <w:basedOn w:val="a"/>
    <w:next w:val="a"/>
    <w:qFormat/>
    <w:pPr>
      <w:keepNext/>
      <w:keepLines/>
      <w:spacing w:before="260" w:after="260" w:line="415" w:lineRule="auto"/>
      <w:outlineLvl w:val="2"/>
    </w:pPr>
    <w:rPr>
      <w:b/>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rFonts w:ascii="Calibri" w:eastAsia="宋体" w:hAnsi="Calibri"/>
      <w:sz w:val="18"/>
      <w:szCs w:val="18"/>
    </w:rPr>
  </w:style>
  <w:style w:type="paragraph" w:styleId="a4">
    <w:name w:val="footer"/>
    <w:basedOn w:val="a"/>
    <w:pPr>
      <w:tabs>
        <w:tab w:val="center" w:pos="4153"/>
        <w:tab w:val="right" w:pos="8306"/>
      </w:tabs>
      <w:snapToGrid w:val="0"/>
      <w:jc w:val="left"/>
    </w:pPr>
    <w:rPr>
      <w:rFonts w:ascii="Calibri" w:eastAsia="宋体" w:hAnsi="Calibri"/>
      <w:sz w:val="18"/>
      <w:szCs w:val="18"/>
    </w:rPr>
  </w:style>
  <w:style w:type="character" w:styleId="a5">
    <w:name w:val="footnote reference"/>
    <w:rPr>
      <w:vertAlign w:val="superscript"/>
    </w:rPr>
  </w:style>
  <w:style w:type="paragraph" w:styleId="a6">
    <w:name w:val="footnote text"/>
    <w:basedOn w:val="a"/>
    <w:pPr>
      <w:snapToGrid w:val="0"/>
      <w:jc w:val="left"/>
    </w:pPr>
    <w:rPr>
      <w:rFonts w:eastAsia="宋体"/>
      <w:sz w:val="18"/>
    </w:r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 w:type="character" w:customStyle="1" w:styleId="apple-converted-space">
    <w:name w:val="apple-converted-space"/>
    <w:basedOn w:val="a0"/>
  </w:style>
  <w:style w:type="paragraph" w:styleId="a7">
    <w:name w:val="Balloon Text"/>
    <w:basedOn w:val="a"/>
    <w:rPr>
      <w:sz w:val="18"/>
      <w:szCs w:val="18"/>
    </w:rPr>
  </w:style>
  <w:style w:type="paragraph" w:styleId="10">
    <w:name w:val="toc 1"/>
    <w:basedOn w:val="a"/>
    <w:next w:val="a"/>
    <w:autoRedefine/>
  </w:style>
  <w:style w:type="character" w:styleId="a8">
    <w:name w:val="annotation reference"/>
    <w:rPr>
      <w:sz w:val="21"/>
      <w:szCs w:val="21"/>
    </w:rPr>
  </w:style>
  <w:style w:type="paragraph" w:styleId="a9">
    <w:name w:val="annotation text"/>
    <w:basedOn w:val="a"/>
    <w:pPr>
      <w:jc w:val="left"/>
    </w:pPr>
  </w:style>
  <w:style w:type="paragraph" w:styleId="20">
    <w:name w:val="toc 2"/>
    <w:basedOn w:val="a"/>
    <w:next w:val="a"/>
    <w:autoRedefine/>
    <w:pPr>
      <w:ind w:left="420"/>
    </w:pPr>
  </w:style>
  <w:style w:type="paragraph" w:styleId="aa">
    <w:name w:val="annotation subject"/>
    <w:basedOn w:val="a9"/>
    <w:next w:val="a9"/>
    <w:rPr>
      <w:b/>
      <w:bCs/>
    </w:rPr>
  </w:style>
  <w:style w:type="paragraph" w:styleId="30">
    <w:name w:val="toc 3"/>
    <w:basedOn w:val="a"/>
    <w:next w:val="a"/>
    <w:autoRedefine/>
    <w:pPr>
      <w:ind w:left="840"/>
    </w:pPr>
  </w:style>
  <w:style w:type="paragraph" w:styleId="ab">
    <w:name w:val="Date"/>
    <w:basedOn w:val="a"/>
    <w:next w:val="a"/>
    <w:pPr>
      <w:ind w:leftChars="2500" w:left="2500"/>
    </w:pPr>
  </w:style>
  <w:style w:type="paragraph" w:styleId="4">
    <w:name w:val="toc 4"/>
    <w:basedOn w:val="a"/>
    <w:next w:val="a"/>
    <w:autoRedefine/>
    <w:pPr>
      <w:ind w:left="1260"/>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szCs w:val="24"/>
    </w:rPr>
  </w:style>
  <w:style w:type="paragraph" w:styleId="5">
    <w:name w:val="toc 5"/>
    <w:basedOn w:val="a"/>
    <w:next w:val="a"/>
    <w:autoRedefine/>
    <w:pPr>
      <w:ind w:left="1680"/>
    </w:pPr>
  </w:style>
  <w:style w:type="paragraph" w:styleId="ac">
    <w:name w:val="Revision"/>
    <w:rPr>
      <w:rFonts w:eastAsia="方正仿宋简体"/>
      <w:kern w:val="2"/>
      <w:sz w:val="32"/>
    </w:rPr>
  </w:style>
</w:styles>
</file>

<file path=word/webSettings.xml><?xml version="1.0" encoding="utf-8"?>
<w:webSettings xmlns:r="http://schemas.openxmlformats.org/officeDocument/2006/relationships" xmlns:w="http://schemas.openxmlformats.org/wordprocessingml/2006/main">
  <w:divs>
    <w:div w:id="2055970">
      <w:bodyDiv w:val="1"/>
      <w:marLeft w:val="0"/>
      <w:marRight w:val="0"/>
      <w:marTop w:val="0"/>
      <w:marBottom w:val="0"/>
      <w:divBdr>
        <w:top w:val="none" w:sz="0" w:space="0" w:color="auto"/>
        <w:left w:val="none" w:sz="0" w:space="0" w:color="auto"/>
        <w:bottom w:val="none" w:sz="0" w:space="0" w:color="auto"/>
        <w:right w:val="none" w:sz="0" w:space="0" w:color="auto"/>
      </w:divBdr>
      <w:divsChild>
        <w:div w:id="1192500740">
          <w:marLeft w:val="0"/>
          <w:marRight w:val="0"/>
          <w:marTop w:val="0"/>
          <w:marBottom w:val="0"/>
          <w:divBdr>
            <w:top w:val="none" w:sz="0" w:space="0" w:color="auto"/>
            <w:left w:val="none" w:sz="0" w:space="0" w:color="auto"/>
            <w:bottom w:val="none" w:sz="0" w:space="0" w:color="auto"/>
            <w:right w:val="none" w:sz="0" w:space="0" w:color="auto"/>
          </w:divBdr>
        </w:div>
      </w:divsChild>
    </w:div>
    <w:div w:id="1403794813">
      <w:bodyDiv w:val="1"/>
      <w:marLeft w:val="0"/>
      <w:marRight w:val="0"/>
      <w:marTop w:val="0"/>
      <w:marBottom w:val="0"/>
      <w:divBdr>
        <w:top w:val="none" w:sz="0" w:space="0" w:color="auto"/>
        <w:left w:val="none" w:sz="0" w:space="0" w:color="auto"/>
        <w:bottom w:val="none" w:sz="0" w:space="0" w:color="auto"/>
        <w:right w:val="none" w:sz="0" w:space="0" w:color="auto"/>
      </w:divBdr>
      <w:divsChild>
        <w:div w:id="39288555">
          <w:marLeft w:val="0"/>
          <w:marRight w:val="0"/>
          <w:marTop w:val="0"/>
          <w:marBottom w:val="0"/>
          <w:divBdr>
            <w:top w:val="none" w:sz="0" w:space="0" w:color="auto"/>
            <w:left w:val="none" w:sz="0" w:space="0" w:color="auto"/>
            <w:bottom w:val="none" w:sz="0" w:space="0" w:color="auto"/>
            <w:right w:val="none" w:sz="0" w:space="0" w:color="auto"/>
          </w:divBdr>
        </w:div>
      </w:divsChild>
    </w:div>
    <w:div w:id="1663850650">
      <w:bodyDiv w:val="1"/>
      <w:marLeft w:val="0"/>
      <w:marRight w:val="0"/>
      <w:marTop w:val="0"/>
      <w:marBottom w:val="0"/>
      <w:divBdr>
        <w:top w:val="none" w:sz="0" w:space="0" w:color="auto"/>
        <w:left w:val="none" w:sz="0" w:space="0" w:color="auto"/>
        <w:bottom w:val="none" w:sz="0" w:space="0" w:color="auto"/>
        <w:right w:val="none" w:sz="0" w:space="0" w:color="auto"/>
      </w:divBdr>
      <w:divsChild>
        <w:div w:id="1717049467">
          <w:marLeft w:val="0"/>
          <w:marRight w:val="0"/>
          <w:marTop w:val="0"/>
          <w:marBottom w:val="0"/>
          <w:divBdr>
            <w:top w:val="none" w:sz="0" w:space="0" w:color="auto"/>
            <w:left w:val="none" w:sz="0" w:space="0" w:color="auto"/>
            <w:bottom w:val="none" w:sz="0" w:space="0" w:color="auto"/>
            <w:right w:val="none" w:sz="0" w:space="0" w:color="auto"/>
          </w:divBdr>
        </w:div>
      </w:divsChild>
    </w:div>
    <w:div w:id="2083916256">
      <w:bodyDiv w:val="1"/>
      <w:marLeft w:val="0"/>
      <w:marRight w:val="0"/>
      <w:marTop w:val="0"/>
      <w:marBottom w:val="0"/>
      <w:divBdr>
        <w:top w:val="none" w:sz="0" w:space="0" w:color="auto"/>
        <w:left w:val="none" w:sz="0" w:space="0" w:color="auto"/>
        <w:bottom w:val="none" w:sz="0" w:space="0" w:color="auto"/>
        <w:right w:val="none" w:sz="0" w:space="0" w:color="auto"/>
      </w:divBdr>
      <w:divsChild>
        <w:div w:id="17089865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313</Words>
  <Characters>1785</Characters>
  <Application>Microsoft Office Word</Application>
  <DocSecurity>4</DocSecurity>
  <Lines>14</Lines>
  <Paragraphs>4</Paragraphs>
  <ScaleCrop>false</ScaleCrop>
  <Company>china</Company>
  <LinksUpToDate>false</LinksUpToDate>
  <CharactersWithSpaces>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吴乾锋</dc:creator>
  <cp:keywords/>
  <cp:lastModifiedBy>ZHONGM</cp:lastModifiedBy>
  <cp:revision>2</cp:revision>
  <cp:lastPrinted>2025-10-30T01:12:00Z</cp:lastPrinted>
  <dcterms:created xsi:type="dcterms:W3CDTF">2025-10-30T16:03:00Z</dcterms:created>
  <dcterms:modified xsi:type="dcterms:W3CDTF">2025-10-30T16:03:00Z</dcterms:modified>
</cp:coreProperties>
</file>