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65E8" w:rsidRDefault="002D65E8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2D65E8" w:rsidRDefault="002D65E8">
      <w:pPr>
        <w:jc w:val="center"/>
      </w:pPr>
      <w:r>
        <w:rPr>
          <w:rFonts w:cs="Times New Roman" w:hint="eastAsia"/>
          <w:b/>
          <w:sz w:val="48"/>
          <w:szCs w:val="48"/>
        </w:rPr>
        <w:t>关于恢复工银瑞信新经济灵活配置混合型证券投资基金（QDII）人民币份额大额申购、定期定额投资业务的公告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D65E8" w:rsidRDefault="002D65E8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公告送出日期：2025年10月30日</w:t>
      </w:r>
    </w:p>
    <w:p w:rsidR="002D65E8" w:rsidRDefault="002D65E8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481075046"/>
      <w:bookmarkStart w:id="4" w:name="_Toc513295846"/>
      <w:bookmarkStart w:id="5" w:name="_Toc490050000"/>
      <w:bookmarkStart w:id="6" w:name="_Toc17898178"/>
      <w:bookmarkStart w:id="7" w:name="_Toc438646451"/>
      <w:bookmarkStart w:id="8" w:name="_Toc512519480"/>
      <w:bookmarkStart w:id="9" w:name="_Toc17897936"/>
      <w:bookmarkStart w:id="10" w:name="_Toc194311890"/>
      <w:bookmarkStart w:id="11" w:name="m101"/>
      <w:bookmarkStart w:id="12" w:name="m01_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6"/>
        <w:gridCol w:w="934"/>
        <w:gridCol w:w="2165"/>
        <w:gridCol w:w="2165"/>
        <w:gridCol w:w="2165"/>
      </w:tblGrid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基金名称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工银瑞信新经济灵活配置混合型证券投资基金（QDII）</w:t>
            </w:r>
          </w:p>
        </w:tc>
      </w:tr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基金简称 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工银新经济混合</w:t>
            </w:r>
          </w:p>
        </w:tc>
      </w:tr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基金主代码 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005699</w:t>
            </w:r>
          </w:p>
        </w:tc>
      </w:tr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工银瑞信基金管理有限公司</w:t>
            </w:r>
          </w:p>
        </w:tc>
      </w:tr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公告依据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根据《中华人民共和国证券投资基金法》、《公开募集证券投资基金运作管理办法》、《公开募集证券投资基金信息披露管理办法》及其他有关法律法规以及本基金相关法律文件等。</w:t>
            </w:r>
          </w:p>
        </w:tc>
      </w:tr>
      <w:tr w:rsidR="002D65E8" w:rsidTr="00B63B12"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恢复相关业务的日期及原因说明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恢复大额申购日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2025年10月31日</w:t>
            </w:r>
          </w:p>
        </w:tc>
      </w:tr>
      <w:tr w:rsidR="002D65E8" w:rsidTr="00B63B12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E8" w:rsidRDefault="002D65E8">
            <w:pPr>
              <w:widowControl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恢复定期定额投资日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2025年10月31日</w:t>
            </w:r>
          </w:p>
        </w:tc>
      </w:tr>
      <w:tr w:rsidR="002D65E8" w:rsidTr="00B63B12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E8" w:rsidRDefault="002D65E8">
            <w:pPr>
              <w:widowControl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恢复大额申购、定期定额投资的原因说明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为满足投资者需求，自2025年10月31日起本基金人民币份额恢复大额申购和定期定额投资业务。</w:t>
            </w:r>
          </w:p>
        </w:tc>
      </w:tr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工银新经济混合A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工银新经济混合美元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工银新经济混合C</w:t>
            </w:r>
          </w:p>
        </w:tc>
      </w:tr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005699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005700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025403</w:t>
            </w:r>
          </w:p>
        </w:tc>
      </w:tr>
      <w:tr w:rsidR="002D65E8" w:rsidTr="00B63B1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该分级基金是否恢复大额申购、定期定额投资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21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2D65E8" w:rsidRDefault="002D65E8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2D65E8" w:rsidRDefault="002D65E8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1、2025年10月31日起，本基金人民币份额A（基金代码：005699）恢复大额申购、定期定额投资业务;人民币份额C（基金代码：025403）恢复大额申购、定期定额投资业务；2、本基金美元份额（基金代码：005700）仍按照2025年9月18日的公告进行限制，即大额申购、定期定额投资业务限制金额仍为700美元。</w:t>
      </w:r>
      <w:r>
        <w:rPr>
          <w:rFonts w:hint="eastAsia"/>
          <w:szCs w:val="24"/>
        </w:rPr>
        <w:t xml:space="preserve"> </w:t>
      </w:r>
    </w:p>
    <w:p w:rsidR="002D65E8" w:rsidRDefault="002D65E8">
      <w:pPr>
        <w:pStyle w:val="XBRLTitle1"/>
        <w:spacing w:before="156" w:line="360" w:lineRule="auto"/>
        <w:ind w:firstLine="1"/>
        <w:jc w:val="left"/>
        <w:rPr>
          <w:rFonts w:hint="eastAsia"/>
        </w:rPr>
      </w:pPr>
      <w:bookmarkStart w:id="13" w:name="_Toc513295941"/>
      <w:bookmarkStart w:id="14" w:name="_Toc513295878"/>
      <w:bookmarkStart w:id="15" w:name="_Toc34322063"/>
      <w:bookmarkStart w:id="16" w:name="_Toc481075097"/>
      <w:bookmarkStart w:id="17" w:name="_Toc438646481"/>
      <w:bookmarkStart w:id="18" w:name="_Toc512519529"/>
      <w:bookmarkStart w:id="19" w:name="_Toc49005004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2D65E8" w:rsidRDefault="002D65E8">
      <w:pPr>
        <w:pStyle w:val="ab"/>
        <w:spacing w:before="0" w:beforeAutospacing="0" w:after="0" w:afterAutospacing="0" w:line="360" w:lineRule="auto"/>
        <w:ind w:firstLineChars="200" w:firstLine="422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</w:t>
      </w:r>
      <w:r>
        <w:rPr>
          <w:rFonts w:hint="eastAsia"/>
          <w:sz w:val="21"/>
          <w:szCs w:val="21"/>
        </w:rPr>
        <w:t>、客户服务电话400-811-9999；本公司网站www.icbcubs.com.cn。</w:t>
      </w:r>
    </w:p>
    <w:p w:rsidR="002D65E8" w:rsidRDefault="002D65E8">
      <w:pPr>
        <w:pStyle w:val="ab"/>
        <w:spacing w:before="0" w:beforeAutospacing="0" w:after="0" w:afterAutospacing="0" w:line="360" w:lineRule="auto"/>
        <w:ind w:firstLineChars="200" w:firstLine="422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、风险提示：本公司承诺以诚实信用、勤勉尽责的原则管理和运用基金资产，但不保证基金一定盈利，也不保证最低收益。敬请投资人注意投资风险。投资者投资基金前应认真阅读基金的基金合同、更新的招募说明书、基金产品资料概要等法律文件，并选择适合自身风险承受能力的投资品种进行投资。 </w:t>
      </w:r>
    </w:p>
    <w:p w:rsidR="002D65E8" w:rsidRDefault="002D65E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D65E8" w:rsidRDefault="002D65E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lastRenderedPageBreak/>
        <w:t xml:space="preserve">　 </w:t>
      </w:r>
    </w:p>
    <w:p w:rsidR="002D65E8" w:rsidRDefault="002D65E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p w:rsidR="002D65E8" w:rsidRDefault="002D65E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2025年10月30日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2D65E8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E8" w:rsidRDefault="002D65E8">
      <w:r>
        <w:separator/>
      </w:r>
    </w:p>
  </w:endnote>
  <w:endnote w:type="continuationSeparator" w:id="0">
    <w:p w:rsidR="002D65E8" w:rsidRDefault="002D6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E8" w:rsidRDefault="002D65E8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F227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3F227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E8" w:rsidRDefault="002D65E8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F227E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3F227E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2D65E8" w:rsidRDefault="002D65E8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E8" w:rsidRDefault="002D65E8">
      <w:r>
        <w:separator/>
      </w:r>
    </w:p>
  </w:footnote>
  <w:footnote w:type="continuationSeparator" w:id="0">
    <w:p w:rsidR="002D65E8" w:rsidRDefault="002D6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E8" w:rsidRDefault="002D65E8">
    <w:pPr>
      <w:pStyle w:val="a8"/>
      <w:jc w:val="right"/>
    </w:pPr>
    <w:r>
      <w:rPr>
        <w:rFonts w:hint="eastAsia"/>
      </w:rPr>
      <w:t>关于恢复工银瑞信新经济灵活配置混合型证券投资基金（QDII）</w:t>
    </w:r>
    <w:r w:rsidR="00B63B12" w:rsidRPr="00B63B12">
      <w:rPr>
        <w:rFonts w:hint="eastAsia"/>
      </w:rPr>
      <w:t>人民币份额</w:t>
    </w:r>
    <w:r w:rsidR="00B63B12">
      <w:rPr>
        <w:rFonts w:hint="eastAsia"/>
      </w:rPr>
      <w:t>大额申购、定期定额投资业务的公告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E8" w:rsidRDefault="002D65E8">
    <w:pPr>
      <w:pStyle w:val="a8"/>
      <w:jc w:val="right"/>
      <w:rPr>
        <w:rFonts w:hint="eastAsia"/>
      </w:rPr>
    </w:pPr>
    <w:r>
      <w:rPr>
        <w:rFonts w:hint="eastAsia"/>
      </w:rPr>
      <w:t>关于恢复工银瑞信新经济灵活配置混合型证券投资基金（QDII）</w:t>
    </w:r>
    <w:r w:rsidR="00B63B12" w:rsidRPr="00B63B12">
      <w:rPr>
        <w:rFonts w:hint="eastAsia"/>
      </w:rPr>
      <w:t>人民币份额</w:t>
    </w:r>
    <w:r>
      <w:rPr>
        <w:rFonts w:hint="eastAsia"/>
      </w:rPr>
      <w:t>大额申购、定期定额投资业务的公告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attachedTemplate r:id="rId1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1D9"/>
    <w:rsid w:val="000568D4"/>
    <w:rsid w:val="00293A9B"/>
    <w:rsid w:val="002D65E8"/>
    <w:rsid w:val="003D6396"/>
    <w:rsid w:val="003F227E"/>
    <w:rsid w:val="00411A42"/>
    <w:rsid w:val="004351D9"/>
    <w:rsid w:val="00B63B12"/>
    <w:rsid w:val="7962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10"/>
    <w:pPr>
      <w:shd w:val="clear" w:color="auto" w:fill="000080"/>
    </w:pPr>
  </w:style>
  <w:style w:type="character" w:customStyle="1" w:styleId="10">
    <w:name w:val="文档结构图 字符1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annotation text"/>
    <w:basedOn w:val="a"/>
    <w:uiPriority w:val="99"/>
    <w:unhideWhenUsed/>
    <w:pPr>
      <w:jc w:val="left"/>
    </w:pPr>
  </w:style>
  <w:style w:type="paragraph" w:styleId="30">
    <w:name w:val="toc 3"/>
    <w:basedOn w:val="a"/>
    <w:next w:val="a"/>
    <w:uiPriority w:val="39"/>
    <w:unhideWhenUsed/>
  </w:style>
  <w:style w:type="paragraph" w:styleId="a5">
    <w:name w:val="Date"/>
    <w:basedOn w:val="a"/>
    <w:next w:val="a"/>
    <w:link w:val="12"/>
    <w:rPr>
      <w:sz w:val="32"/>
    </w:rPr>
  </w:style>
  <w:style w:type="character" w:customStyle="1" w:styleId="12">
    <w:name w:val="日期 字符1"/>
    <w:link w:val="a5"/>
    <w:locked/>
    <w:rPr>
      <w:rFonts w:ascii="宋体" w:eastAsia="宋体" w:hAnsi="宋体" w:hint="eastAsia"/>
      <w:kern w:val="2"/>
      <w:sz w:val="32"/>
    </w:rPr>
  </w:style>
  <w:style w:type="paragraph" w:styleId="a6">
    <w:name w:val="Balloon Text"/>
    <w:basedOn w:val="a"/>
    <w:link w:val="13"/>
    <w:uiPriority w:val="99"/>
    <w:unhideWhenUsed/>
    <w:rPr>
      <w:sz w:val="18"/>
      <w:szCs w:val="18"/>
    </w:rPr>
  </w:style>
  <w:style w:type="character" w:customStyle="1" w:styleId="13">
    <w:name w:val="批注框文本 字符1"/>
    <w:link w:val="a6"/>
    <w:uiPriority w:val="99"/>
    <w:semiHidden/>
    <w:locked/>
    <w:rPr>
      <w:kern w:val="2"/>
      <w:sz w:val="18"/>
      <w:szCs w:val="18"/>
    </w:rPr>
  </w:style>
  <w:style w:type="paragraph" w:styleId="a7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页脚 字符1"/>
    <w:link w:val="a7"/>
    <w:uiPriority w:val="99"/>
    <w:locked/>
    <w:rPr>
      <w:kern w:val="2"/>
      <w:sz w:val="18"/>
      <w:szCs w:val="18"/>
    </w:rPr>
  </w:style>
  <w:style w:type="paragraph" w:styleId="a8">
    <w:name w:val="header"/>
    <w:basedOn w:val="a"/>
    <w:link w:val="2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link w:val="a8"/>
    <w:locked/>
    <w:rPr>
      <w:kern w:val="2"/>
      <w:sz w:val="18"/>
      <w:szCs w:val="18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9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16">
    <w:name w:val="副标题 字符1"/>
    <w:link w:val="a9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paragraph" w:styleId="aa">
    <w:name w:val="footnote text"/>
    <w:basedOn w:val="a"/>
    <w:link w:val="17"/>
    <w:pPr>
      <w:snapToGrid w:val="0"/>
      <w:jc w:val="left"/>
    </w:pPr>
    <w:rPr>
      <w:sz w:val="18"/>
      <w:szCs w:val="18"/>
    </w:rPr>
  </w:style>
  <w:style w:type="character" w:customStyle="1" w:styleId="17">
    <w:name w:val="脚注文本 字符1"/>
    <w:link w:val="aa"/>
    <w:locked/>
    <w:rPr>
      <w:kern w:val="2"/>
      <w:sz w:val="18"/>
      <w:szCs w:val="18"/>
    </w:rPr>
  </w:style>
  <w:style w:type="paragraph" w:styleId="22">
    <w:name w:val="toc 2"/>
    <w:basedOn w:val="a"/>
    <w:next w:val="a"/>
    <w:uiPriority w:val="39"/>
    <w:unhideWhenUsed/>
    <w:pPr>
      <w:ind w:leftChars="200" w:left="420"/>
    </w:p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18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18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访问过的超链接"/>
    <w:uiPriority w:val="99"/>
    <w:unhideWhenUsed/>
    <w:rPr>
      <w:color w:val="800080"/>
      <w:u w:val="single"/>
    </w:r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footnote reference"/>
    <w:rPr>
      <w:vertAlign w:val="superscript"/>
    </w:rPr>
  </w:style>
  <w:style w:type="character" w:customStyle="1" w:styleId="19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3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2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1">
    <w:name w:val="脚注文本 字符"/>
    <w:link w:val="aa"/>
    <w:locked/>
    <w:rPr>
      <w:kern w:val="2"/>
      <w:sz w:val="18"/>
      <w:szCs w:val="18"/>
    </w:rPr>
  </w:style>
  <w:style w:type="character" w:customStyle="1" w:styleId="af2">
    <w:name w:val="页眉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页脚 字符"/>
    <w:link w:val="a7"/>
    <w:uiPriority w:val="99"/>
    <w:locked/>
    <w:rPr>
      <w:kern w:val="2"/>
      <w:sz w:val="18"/>
      <w:szCs w:val="18"/>
    </w:rPr>
  </w:style>
  <w:style w:type="character" w:customStyle="1" w:styleId="af4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5">
    <w:name w:val="副标题 字符"/>
    <w:link w:val="a9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6">
    <w:name w:val="日期 字符"/>
    <w:link w:val="a5"/>
    <w:locked/>
    <w:rPr>
      <w:kern w:val="2"/>
      <w:sz w:val="21"/>
    </w:rPr>
  </w:style>
  <w:style w:type="character" w:customStyle="1" w:styleId="af7">
    <w:name w:val="文档结构图 字符"/>
    <w:link w:val="a3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8">
    <w:name w:val="批注框文本 字符"/>
    <w:link w:val="a6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9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a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7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9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5"/>
    <w:locked/>
    <w:rPr>
      <w:kern w:val="2"/>
      <w:sz w:val="21"/>
    </w:rPr>
  </w:style>
  <w:style w:type="character" w:customStyle="1" w:styleId="Char6">
    <w:name w:val="文档结构图 Char"/>
    <w:link w:val="a3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6"/>
    <w:uiPriority w:val="99"/>
    <w:semiHidden/>
    <w:locked/>
    <w:rPr>
      <w:kern w:val="2"/>
      <w:sz w:val="18"/>
      <w:szCs w:val="18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4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2025-10-29T02:17:00Z</cp:lastPrinted>
  <dcterms:created xsi:type="dcterms:W3CDTF">2025-10-29T16:02:00Z</dcterms:created>
  <dcterms:modified xsi:type="dcterms:W3CDTF">2025-10-29T16:02:00Z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3450152F9E904E26BD1D92B861E0FCA7</vt:lpwstr>
  </property>
</Properties>
</file>