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B51E8">
      <w:pPr>
        <w:pStyle w:val="XBRL2"/>
        <w:spacing w:before="156"/>
        <w:rPr>
          <w:rFonts w:eastAsia="等线" w:cs="Cambria" w:hint="eastAsia"/>
          <w:lang w:val="en-US"/>
        </w:rPr>
      </w:pPr>
    </w:p>
    <w:p w:rsidR="0033476B" w:rsidRDefault="0033476B">
      <w:pPr>
        <w:jc w:val="center"/>
        <w:rPr>
          <w:rFonts w:hint="default"/>
          <w:b/>
          <w:color w:val="000000"/>
          <w:sz w:val="48"/>
          <w:szCs w:val="48"/>
        </w:rPr>
      </w:pPr>
      <w:r w:rsidRPr="0033476B">
        <w:rPr>
          <w:b/>
          <w:color w:val="000000"/>
          <w:sz w:val="48"/>
          <w:szCs w:val="48"/>
        </w:rPr>
        <w:t>中航基金管理有限公司</w:t>
      </w:r>
    </w:p>
    <w:p w:rsidR="00000000" w:rsidRDefault="0033476B">
      <w:pPr>
        <w:jc w:val="center"/>
      </w:pPr>
      <w:r w:rsidRPr="0033476B">
        <w:rPr>
          <w:b/>
          <w:color w:val="000000"/>
          <w:sz w:val="48"/>
          <w:szCs w:val="48"/>
        </w:rPr>
        <w:t>关于</w:t>
      </w:r>
      <w:r w:rsidR="00DB51E8">
        <w:rPr>
          <w:b/>
          <w:color w:val="000000"/>
          <w:sz w:val="48"/>
          <w:szCs w:val="48"/>
        </w:rPr>
        <w:t>中航月月鑫</w:t>
      </w:r>
      <w:r w:rsidR="00DB51E8">
        <w:rPr>
          <w:b/>
          <w:color w:val="000000"/>
          <w:sz w:val="48"/>
          <w:szCs w:val="48"/>
        </w:rPr>
        <w:t>30</w:t>
      </w:r>
      <w:r w:rsidR="00DB51E8">
        <w:rPr>
          <w:b/>
          <w:color w:val="000000"/>
          <w:sz w:val="48"/>
          <w:szCs w:val="48"/>
        </w:rPr>
        <w:t>天持有期债券型证券投资基金基金合同生效公告</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color w:val="000000"/>
          <w:kern w:val="0"/>
          <w:sz w:val="18"/>
        </w:rPr>
      </w:pPr>
      <w:r>
        <w:rPr>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560" w:lineRule="exact"/>
        <w:jc w:val="center"/>
        <w:rPr>
          <w:rFonts w:cs="宋体"/>
          <w:color w:val="000000"/>
          <w:kern w:val="0"/>
          <w:sz w:val="18"/>
        </w:rPr>
      </w:pPr>
      <w:r>
        <w:rPr>
          <w:rFonts w:cs="宋体"/>
          <w:color w:val="000000"/>
          <w:kern w:val="0"/>
          <w:sz w:val="18"/>
        </w:rPr>
        <w:t xml:space="preserve">　</w:t>
      </w:r>
    </w:p>
    <w:p w:rsidR="00000000" w:rsidRDefault="00DB51E8">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10</w:t>
      </w:r>
      <w:r>
        <w:rPr>
          <w:rFonts w:cs="宋体"/>
          <w:b/>
          <w:bCs/>
          <w:sz w:val="24"/>
          <w:szCs w:val="30"/>
        </w:rPr>
        <w:t>月</w:t>
      </w:r>
      <w:r>
        <w:rPr>
          <w:rFonts w:cs="宋体"/>
          <w:b/>
          <w:bCs/>
          <w:sz w:val="24"/>
          <w:szCs w:val="30"/>
        </w:rPr>
        <w:t>29</w:t>
      </w:r>
      <w:r>
        <w:rPr>
          <w:rFonts w:cs="宋体"/>
          <w:b/>
          <w:bCs/>
          <w:sz w:val="24"/>
          <w:szCs w:val="30"/>
        </w:rPr>
        <w:t>日</w:t>
      </w:r>
    </w:p>
    <w:p w:rsidR="00000000" w:rsidRDefault="00DB51E8">
      <w:pPr>
        <w:pStyle w:val="XBRLTitle1"/>
        <w:spacing w:before="156"/>
        <w:jc w:val="left"/>
      </w:pPr>
      <w:r>
        <w:rPr>
          <w:rFonts w:cs="宋体"/>
          <w:color w:val="404040"/>
          <w:lang w:val="en-US"/>
        </w:rPr>
        <w:br w:type="page"/>
      </w:r>
      <w:bookmarkStart w:id="0" w:name="_Toc34322059"/>
      <w:bookmarkStart w:id="1" w:name="_Toc513295892"/>
      <w:bookmarkStart w:id="2" w:name="_Toc513295846"/>
      <w:bookmarkStart w:id="3" w:name="_Toc490050000"/>
      <w:bookmarkStart w:id="4" w:name="_Toc438646451"/>
      <w:bookmarkStart w:id="5" w:name="_Toc481075046"/>
      <w:bookmarkStart w:id="6" w:name="_Toc512519480"/>
      <w:bookmarkStart w:id="7" w:name="_Toc17897936"/>
      <w:bookmarkStart w:id="8" w:name="_Toc17898178"/>
      <w:bookmarkStart w:id="9" w:name="m101"/>
      <w:bookmarkStart w:id="10" w:name="_Toc194311890"/>
      <w:bookmarkStart w:id="11" w:name="m01_01"/>
      <w:r>
        <w:rPr>
          <w:szCs w:val="24"/>
          <w:lang w:val="en-US"/>
        </w:rPr>
        <w:lastRenderedPageBreak/>
        <w:t>公告基本信息</w:t>
      </w:r>
      <w:bookmarkEnd w:id="0"/>
      <w:bookmarkEnd w:id="1"/>
      <w:bookmarkEnd w:id="2"/>
      <w:bookmarkEnd w:id="3"/>
      <w:bookmarkEnd w:id="4"/>
      <w:bookmarkEnd w:id="5"/>
      <w:bookmarkEnd w:id="6"/>
      <w:bookmarkEnd w:id="7"/>
      <w:bookmarkEnd w:id="8"/>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3"/>
        <w:gridCol w:w="3023"/>
        <w:gridCol w:w="3023"/>
      </w:tblGrid>
      <w:tr w:rsidR="00000000">
        <w:trPr>
          <w:trHeight w:val="64"/>
        </w:trPr>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bookmarkStart w:id="12" w:name="m02_01"/>
            <w:r>
              <w:rPr>
                <w:lang/>
              </w:rPr>
              <w:t>基金名称</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szCs w:val="24"/>
                <w:lang/>
              </w:rPr>
              <w:t>中航月月鑫</w:t>
            </w:r>
            <w:r>
              <w:rPr>
                <w:szCs w:val="24"/>
                <w:lang/>
              </w:rPr>
              <w:t>30</w:t>
            </w:r>
            <w:r>
              <w:rPr>
                <w:szCs w:val="24"/>
                <w:lang/>
              </w:rPr>
              <w:t>天持有期债券型证券投资基金</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基金简称</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中航月月鑫</w:t>
            </w:r>
            <w:r>
              <w:rPr>
                <w:lang/>
              </w:rPr>
              <w:t>30</w:t>
            </w:r>
            <w:r>
              <w:rPr>
                <w:lang/>
              </w:rPr>
              <w:t>天持有期债券</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基金主代码</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szCs w:val="24"/>
                <w:lang/>
              </w:rPr>
              <w:t>024290</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基金运作方式</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契约型开放式</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基金合同生效日</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2025</w:t>
            </w:r>
            <w:r>
              <w:rPr>
                <w:lang/>
              </w:rPr>
              <w:t>年</w:t>
            </w:r>
            <w:r>
              <w:rPr>
                <w:lang/>
              </w:rPr>
              <w:t>10</w:t>
            </w:r>
            <w:r>
              <w:rPr>
                <w:lang/>
              </w:rPr>
              <w:t>月</w:t>
            </w:r>
            <w:r>
              <w:rPr>
                <w:lang/>
              </w:rPr>
              <w:t>28</w:t>
            </w:r>
            <w:r>
              <w:rPr>
                <w:lang/>
              </w:rPr>
              <w:t>日</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基金管理人名称</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中航基金管理有限公司</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基金托管人名称</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宁波银行股份有限公司</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公告依据</w:t>
            </w:r>
          </w:p>
        </w:tc>
        <w:tc>
          <w:tcPr>
            <w:tcW w:w="6241" w:type="dxa"/>
            <w:gridSpan w:val="2"/>
            <w:tcBorders>
              <w:top w:val="single" w:sz="4" w:space="0" w:color="000000"/>
              <w:left w:val="single" w:sz="4" w:space="0" w:color="000000"/>
              <w:bottom w:val="single" w:sz="4" w:space="0" w:color="000000"/>
              <w:right w:val="single" w:sz="4" w:space="0" w:color="000000"/>
            </w:tcBorders>
          </w:tcPr>
          <w:p w:rsidR="00000000" w:rsidRDefault="00DB51E8">
            <w:pPr>
              <w:spacing w:line="360" w:lineRule="auto"/>
              <w:jc w:val="left"/>
              <w:rPr>
                <w:lang/>
              </w:rPr>
            </w:pPr>
            <w:r>
              <w:rPr>
                <w:lang/>
              </w:rPr>
              <w:t>《中华人民共和国证券投资基金法》、《</w:t>
            </w:r>
            <w:r>
              <w:rPr>
                <w:lang/>
              </w:rPr>
              <w:t>公开募集证券投资基金运作管理办法》等</w:t>
            </w:r>
            <w:r>
              <w:rPr>
                <w:lang/>
              </w:rPr>
              <w:t>法律法规以及《中航月月鑫</w:t>
            </w:r>
            <w:r>
              <w:rPr>
                <w:lang/>
              </w:rPr>
              <w:t>30</w:t>
            </w:r>
            <w:r>
              <w:rPr>
                <w:lang/>
              </w:rPr>
              <w:t>天持有期债券型证券投资基金基金合同》、《中航月月鑫</w:t>
            </w:r>
            <w:r>
              <w:rPr>
                <w:lang/>
              </w:rPr>
              <w:t>30</w:t>
            </w:r>
            <w:r>
              <w:rPr>
                <w:lang/>
              </w:rPr>
              <w:t>天持有期债券型证券投资基金招募说明书》</w:t>
            </w:r>
          </w:p>
        </w:tc>
      </w:tr>
      <w:tr w:rsidR="00000000">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下属分级基金的基金简称</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中航月月鑫</w:t>
            </w:r>
            <w:r>
              <w:rPr>
                <w:lang/>
              </w:rPr>
              <w:t>30</w:t>
            </w:r>
            <w:r>
              <w:rPr>
                <w:lang/>
              </w:rPr>
              <w:t>天持有期债券</w:t>
            </w:r>
            <w:r>
              <w:rPr>
                <w:lang/>
              </w:rPr>
              <w:t>A</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中航月月鑫</w:t>
            </w:r>
            <w:r>
              <w:rPr>
                <w:lang/>
              </w:rPr>
              <w:t>30</w:t>
            </w:r>
            <w:r>
              <w:rPr>
                <w:lang/>
              </w:rPr>
              <w:t>天持有期债券</w:t>
            </w:r>
            <w:r>
              <w:rPr>
                <w:lang/>
              </w:rPr>
              <w:t>C</w:t>
            </w:r>
          </w:p>
        </w:tc>
      </w:tr>
      <w:tr w:rsidR="00000000">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下属分级基金的交易代码</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024290</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DB51E8">
            <w:pPr>
              <w:spacing w:line="360" w:lineRule="auto"/>
              <w:jc w:val="left"/>
              <w:rPr>
                <w:lang/>
              </w:rPr>
            </w:pPr>
            <w:r>
              <w:rPr>
                <w:lang/>
              </w:rPr>
              <w:t>024291</w:t>
            </w:r>
            <w:bookmarkEnd w:id="12"/>
          </w:p>
        </w:tc>
      </w:tr>
    </w:tbl>
    <w:p w:rsidR="00FE679D" w:rsidRDefault="00DB51E8">
      <w:pPr>
        <w:adjustRightInd w:val="0"/>
        <w:snapToGrid w:val="0"/>
        <w:spacing w:line="360" w:lineRule="auto"/>
        <w:jc w:val="left"/>
        <w:rPr>
          <w:rFonts w:cs="宋体" w:hint="default"/>
          <w:szCs w:val="24"/>
        </w:rPr>
      </w:pPr>
      <w:r>
        <w:rPr>
          <w:rFonts w:cs="宋体"/>
        </w:rPr>
        <w:t>注：</w:t>
      </w:r>
      <w:r>
        <w:rPr>
          <w:rFonts w:cs="宋体"/>
          <w:szCs w:val="24"/>
        </w:rPr>
        <w:t>（</w:t>
      </w:r>
      <w:r>
        <w:rPr>
          <w:rFonts w:cs="宋体"/>
          <w:szCs w:val="24"/>
        </w:rPr>
        <w:t>1</w:t>
      </w:r>
      <w:r>
        <w:rPr>
          <w:rFonts w:cs="宋体"/>
          <w:szCs w:val="24"/>
        </w:rPr>
        <w:t>）中航月月鑫</w:t>
      </w:r>
      <w:r>
        <w:rPr>
          <w:rFonts w:cs="宋体"/>
          <w:szCs w:val="24"/>
        </w:rPr>
        <w:t>30</w:t>
      </w:r>
      <w:r>
        <w:rPr>
          <w:rFonts w:cs="宋体"/>
          <w:szCs w:val="24"/>
        </w:rPr>
        <w:t>天持有期债券型证券投资基金以下简称“本基金”。</w:t>
      </w:r>
    </w:p>
    <w:p w:rsidR="00000000" w:rsidRDefault="00DB51E8">
      <w:pPr>
        <w:adjustRightInd w:val="0"/>
        <w:snapToGrid w:val="0"/>
        <w:spacing w:line="360" w:lineRule="auto"/>
        <w:jc w:val="left"/>
      </w:pPr>
      <w:r>
        <w:rPr>
          <w:rFonts w:cs="宋体"/>
          <w:szCs w:val="24"/>
        </w:rPr>
        <w:t>（</w:t>
      </w:r>
      <w:r>
        <w:rPr>
          <w:rFonts w:cs="宋体"/>
          <w:szCs w:val="24"/>
        </w:rPr>
        <w:t>2</w:t>
      </w:r>
      <w:r>
        <w:rPr>
          <w:rFonts w:cs="宋体"/>
          <w:szCs w:val="24"/>
        </w:rPr>
        <w:t>）中航基金管理有限公司以下简称“本公司”。</w:t>
      </w:r>
    </w:p>
    <w:p w:rsidR="00000000" w:rsidRDefault="00DB51E8">
      <w:pPr>
        <w:pStyle w:val="XBRLTitle1"/>
        <w:spacing w:before="156" w:line="360" w:lineRule="auto"/>
        <w:jc w:val="left"/>
      </w:pPr>
      <w:bookmarkStart w:id="13" w:name="_Toc513295847"/>
      <w:bookmarkStart w:id="14" w:name="_Toc490050001"/>
      <w:bookmarkStart w:id="15" w:name="_Toc438646452"/>
      <w:bookmarkStart w:id="16" w:name="_Toc481075047"/>
      <w:bookmarkStart w:id="17" w:name="_Toc512519481"/>
      <w:bookmarkStart w:id="18" w:name="_Toc17897937"/>
      <w:bookmarkStart w:id="19" w:name="_Toc17898179"/>
      <w:bookmarkStart w:id="20" w:name="_Toc34322060"/>
      <w:bookmarkStart w:id="21" w:name="_Toc513295893"/>
      <w:r>
        <w:rPr>
          <w:rFonts w:hAnsi="宋体"/>
          <w:szCs w:val="24"/>
          <w:lang w:val="en-US"/>
        </w:rPr>
        <w:t>基金募集情况</w:t>
      </w:r>
      <w:bookmarkEnd w:id="9"/>
      <w:bookmarkEnd w:id="10"/>
      <w:bookmarkEnd w:id="11"/>
      <w:bookmarkEnd w:id="13"/>
      <w:bookmarkEnd w:id="14"/>
      <w:bookmarkEnd w:id="15"/>
      <w:bookmarkEnd w:id="16"/>
      <w:bookmarkEnd w:id="17"/>
      <w:bookmarkEnd w:id="18"/>
      <w:bookmarkEnd w:id="19"/>
      <w:bookmarkEnd w:id="20"/>
      <w:bookmarkEnd w:id="21"/>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ook w:val="0000"/>
      </w:tblPr>
      <w:tblGrid>
        <w:gridCol w:w="929"/>
        <w:gridCol w:w="930"/>
        <w:gridCol w:w="2420"/>
        <w:gridCol w:w="2370"/>
        <w:gridCol w:w="2420"/>
      </w:tblGrid>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基金募集申请获中国证监会核准的文号</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证监许可〔</w:t>
            </w:r>
            <w:r>
              <w:rPr>
                <w:szCs w:val="21"/>
                <w:lang/>
              </w:rPr>
              <w:t>2025</w:t>
            </w:r>
            <w:r>
              <w:rPr>
                <w:szCs w:val="21"/>
                <w:lang/>
              </w:rPr>
              <w:t>〕</w:t>
            </w:r>
            <w:r>
              <w:rPr>
                <w:szCs w:val="21"/>
                <w:lang/>
              </w:rPr>
              <w:t>971</w:t>
            </w:r>
            <w:r>
              <w:rPr>
                <w:szCs w:val="21"/>
                <w:lang/>
              </w:rPr>
              <w:t>号</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szCs w:val="21"/>
                <w:lang/>
              </w:rPr>
              <w:t>基金募集期</w:t>
            </w:r>
            <w:r>
              <w:rPr>
                <w:szCs w:val="21"/>
                <w:lang/>
              </w:rPr>
              <w:t>间</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自</w:t>
            </w:r>
            <w:r>
              <w:rPr>
                <w:szCs w:val="21"/>
                <w:lang/>
              </w:rPr>
              <w:t>2025</w:t>
            </w:r>
            <w:r>
              <w:rPr>
                <w:szCs w:val="21"/>
                <w:lang/>
              </w:rPr>
              <w:t>年</w:t>
            </w:r>
            <w:r>
              <w:rPr>
                <w:szCs w:val="21"/>
                <w:lang/>
              </w:rPr>
              <w:t>10</w:t>
            </w:r>
            <w:r>
              <w:rPr>
                <w:szCs w:val="21"/>
                <w:lang/>
              </w:rPr>
              <w:t>月</w:t>
            </w:r>
            <w:r>
              <w:rPr>
                <w:szCs w:val="21"/>
                <w:lang/>
              </w:rPr>
              <w:t>13</w:t>
            </w:r>
            <w:r>
              <w:rPr>
                <w:szCs w:val="21"/>
                <w:lang/>
              </w:rPr>
              <w:t>日至</w:t>
            </w:r>
            <w:r>
              <w:rPr>
                <w:szCs w:val="21"/>
                <w:lang/>
              </w:rPr>
              <w:t>2025</w:t>
            </w:r>
            <w:r>
              <w:rPr>
                <w:szCs w:val="21"/>
                <w:lang/>
              </w:rPr>
              <w:t>年</w:t>
            </w:r>
            <w:r>
              <w:rPr>
                <w:szCs w:val="21"/>
                <w:lang/>
              </w:rPr>
              <w:t>10</w:t>
            </w:r>
            <w:r>
              <w:rPr>
                <w:szCs w:val="21"/>
                <w:lang/>
              </w:rPr>
              <w:t>月</w:t>
            </w:r>
            <w:r>
              <w:rPr>
                <w:szCs w:val="21"/>
                <w:lang/>
              </w:rPr>
              <w:t>24</w:t>
            </w:r>
            <w:r>
              <w:rPr>
                <w:szCs w:val="21"/>
                <w:lang/>
              </w:rPr>
              <w:t>日止</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验资机构名称</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立信会计师事务所（特殊普通合伙）</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募集资金划入基金托管专户的日期</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2025</w:t>
            </w:r>
            <w:r>
              <w:rPr>
                <w:szCs w:val="21"/>
                <w:lang/>
              </w:rPr>
              <w:t>年</w:t>
            </w:r>
            <w:r>
              <w:rPr>
                <w:szCs w:val="21"/>
                <w:lang/>
              </w:rPr>
              <w:t>10</w:t>
            </w:r>
            <w:r>
              <w:rPr>
                <w:szCs w:val="21"/>
                <w:lang/>
              </w:rPr>
              <w:t>月</w:t>
            </w:r>
            <w:r>
              <w:rPr>
                <w:szCs w:val="21"/>
                <w:lang/>
              </w:rPr>
              <w:t>28</w:t>
            </w:r>
            <w:r>
              <w:rPr>
                <w:szCs w:val="21"/>
                <w:lang/>
              </w:rPr>
              <w:t>日</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募集有效认购总户数（单位：户）</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251</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份额级别</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Pr="00FE679D" w:rsidRDefault="00DB51E8" w:rsidP="00FE679D">
            <w:pPr>
              <w:spacing w:line="175" w:lineRule="atLeast"/>
              <w:rPr>
                <w:lang/>
              </w:rPr>
            </w:pPr>
            <w:r>
              <w:rPr>
                <w:szCs w:val="21"/>
                <w:lang/>
              </w:rPr>
              <w:t>中航月月鑫</w:t>
            </w:r>
            <w:r>
              <w:rPr>
                <w:szCs w:val="21"/>
                <w:lang/>
              </w:rPr>
              <w:t>30</w:t>
            </w:r>
            <w:r>
              <w:rPr>
                <w:szCs w:val="21"/>
                <w:lang/>
              </w:rPr>
              <w:t>天持有期债券</w:t>
            </w:r>
            <w:r>
              <w:rPr>
                <w:szCs w:val="21"/>
                <w:lang/>
              </w:rPr>
              <w:t>A</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Pr="00FE679D" w:rsidRDefault="00DB51E8" w:rsidP="00FE679D">
            <w:pPr>
              <w:spacing w:line="175" w:lineRule="atLeast"/>
              <w:rPr>
                <w:lang/>
              </w:rPr>
            </w:pPr>
            <w:r>
              <w:rPr>
                <w:szCs w:val="21"/>
                <w:lang/>
              </w:rPr>
              <w:t>中航月月鑫</w:t>
            </w:r>
            <w:r>
              <w:rPr>
                <w:szCs w:val="21"/>
                <w:lang/>
              </w:rPr>
              <w:t>30</w:t>
            </w:r>
            <w:r>
              <w:rPr>
                <w:szCs w:val="21"/>
                <w:lang/>
              </w:rPr>
              <w:t>天持有期债券</w:t>
            </w:r>
            <w:r>
              <w:rPr>
                <w:szCs w:val="21"/>
                <w:lang/>
              </w:rPr>
              <w:t>C</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合计</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募集期间净认购金额（单位：人民币元）</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158,743,931.43</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45,114,223.05</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203,858,154.48</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认购资金在募集期间产生的利息</w:t>
            </w:r>
            <w:r>
              <w:rPr>
                <w:color w:val="000000"/>
                <w:szCs w:val="21"/>
                <w:lang/>
              </w:rPr>
              <w:lastRenderedPageBreak/>
              <w:t>（单位：人民币元）</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lastRenderedPageBreak/>
              <w:t>30,293.88</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szCs w:val="21"/>
                <w:lang/>
              </w:rPr>
              <w:t>5,642.13</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35,936</w:t>
            </w:r>
            <w:r>
              <w:rPr>
                <w:color w:val="000000"/>
                <w:szCs w:val="21"/>
                <w:lang/>
              </w:rPr>
              <w:t>.01</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lastRenderedPageBreak/>
              <w:t>募集份额（单位：份）</w:t>
            </w: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有效认购份额</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158,743,931.43</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45,114,223.05</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203,858,154.48</w:t>
            </w:r>
          </w:p>
        </w:tc>
      </w:tr>
      <w:tr w:rsidR="00000000">
        <w:tc>
          <w:tcPr>
            <w:tcW w:w="1190" w:type="dxa"/>
            <w:vMerge/>
            <w:tcBorders>
              <w:top w:val="single" w:sz="4" w:space="0" w:color="000000"/>
              <w:left w:val="single" w:sz="4" w:space="0" w:color="000000"/>
              <w:bottom w:val="single" w:sz="4" w:space="0" w:color="000000"/>
              <w:right w:val="single" w:sz="4" w:space="0" w:color="000000"/>
            </w:tcBorders>
          </w:tcPr>
          <w:p w:rsidR="00000000" w:rsidRDefault="00DB51E8">
            <w:pPr>
              <w:rPr>
                <w:sz w:val="20"/>
                <w:lang/>
              </w:rPr>
            </w:pP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利息结转的份额</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30,293.88</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5,642.13</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35,936.01</w:t>
            </w:r>
          </w:p>
        </w:tc>
      </w:tr>
      <w:tr w:rsidR="00000000">
        <w:tc>
          <w:tcPr>
            <w:tcW w:w="1190" w:type="dxa"/>
            <w:vMerge/>
            <w:tcBorders>
              <w:top w:val="single" w:sz="4" w:space="0" w:color="000000"/>
              <w:left w:val="single" w:sz="4" w:space="0" w:color="000000"/>
              <w:bottom w:val="single" w:sz="4" w:space="0" w:color="000000"/>
              <w:right w:val="single" w:sz="4" w:space="0" w:color="000000"/>
            </w:tcBorders>
          </w:tcPr>
          <w:p w:rsidR="00000000" w:rsidRDefault="00DB51E8">
            <w:pPr>
              <w:rPr>
                <w:sz w:val="20"/>
                <w:lang/>
              </w:rPr>
            </w:pP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合计</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158,774,225.31</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45,119,865.18</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203,894,090.49</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其中：募集期间基金管理人运用固有资金认购本基金情况</w:t>
            </w: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认购的基金份额（单位：份）</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r>
      <w:tr w:rsidR="00000000">
        <w:tc>
          <w:tcPr>
            <w:tcW w:w="1190" w:type="dxa"/>
            <w:vMerge/>
            <w:tcBorders>
              <w:top w:val="single" w:sz="4" w:space="0" w:color="000000"/>
              <w:left w:val="single" w:sz="4" w:space="0" w:color="000000"/>
              <w:bottom w:val="single" w:sz="4" w:space="0" w:color="000000"/>
              <w:right w:val="single" w:sz="4" w:space="0" w:color="000000"/>
            </w:tcBorders>
          </w:tcPr>
          <w:p w:rsidR="00000000" w:rsidRDefault="00DB51E8">
            <w:pPr>
              <w:rPr>
                <w:sz w:val="20"/>
                <w:lang/>
              </w:rPr>
            </w:pP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占基金总份额比例</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r>
      <w:tr w:rsidR="00000000">
        <w:tc>
          <w:tcPr>
            <w:tcW w:w="1190" w:type="dxa"/>
            <w:vMerge/>
            <w:tcBorders>
              <w:top w:val="single" w:sz="4" w:space="0" w:color="000000"/>
              <w:left w:val="single" w:sz="4" w:space="0" w:color="000000"/>
              <w:bottom w:val="single" w:sz="4" w:space="0" w:color="000000"/>
              <w:right w:val="single" w:sz="4" w:space="0" w:color="000000"/>
            </w:tcBorders>
          </w:tcPr>
          <w:p w:rsidR="00000000" w:rsidRDefault="00DB51E8">
            <w:pPr>
              <w:rPr>
                <w:sz w:val="20"/>
                <w:lang/>
              </w:rPr>
            </w:pP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其他需要说明的事项</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其中：募集期间基金管理人的从业人员认</w:t>
            </w:r>
            <w:r>
              <w:rPr>
                <w:color w:val="000000"/>
                <w:szCs w:val="21"/>
                <w:lang/>
              </w:rPr>
              <w:t>购本基金情况</w:t>
            </w: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认购的基金份额（单位：份）</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45,423.61</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5,646.70</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51,070.31</w:t>
            </w:r>
          </w:p>
        </w:tc>
      </w:tr>
      <w:tr w:rsidR="00000000">
        <w:tc>
          <w:tcPr>
            <w:tcW w:w="1190" w:type="dxa"/>
            <w:vMerge/>
            <w:tcBorders>
              <w:top w:val="single" w:sz="4" w:space="0" w:color="000000"/>
              <w:left w:val="single" w:sz="4" w:space="0" w:color="000000"/>
              <w:bottom w:val="single" w:sz="4" w:space="0" w:color="000000"/>
              <w:right w:val="single" w:sz="4" w:space="0" w:color="000000"/>
            </w:tcBorders>
          </w:tcPr>
          <w:p w:rsidR="00000000" w:rsidRDefault="00DB51E8">
            <w:pPr>
              <w:rPr>
                <w:sz w:val="20"/>
                <w:lang/>
              </w:rPr>
            </w:pPr>
          </w:p>
        </w:tc>
        <w:tc>
          <w:tcPr>
            <w:tcW w:w="1190" w:type="dxa"/>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占基金总份额比例</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0.03</w:t>
            </w:r>
            <w:r>
              <w:rPr>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0.01</w:t>
            </w:r>
            <w:r>
              <w:rPr>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0.03</w:t>
            </w:r>
            <w:r>
              <w:rPr>
                <w:lang/>
              </w:rPr>
              <w:t>%</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募集期限届满基金是否符合法律法规规定的办理基金备案手续的条件</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是</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DB51E8">
            <w:pPr>
              <w:rPr>
                <w:lang/>
              </w:rPr>
            </w:pPr>
            <w:r>
              <w:rPr>
                <w:color w:val="000000"/>
                <w:szCs w:val="21"/>
                <w:lang/>
              </w:rPr>
              <w:t>向中国证监会办理基金备案手续获得书面确认的日期</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DB51E8">
            <w:pPr>
              <w:rPr>
                <w:lang/>
              </w:rPr>
            </w:pPr>
            <w:r>
              <w:rPr>
                <w:color w:val="000000"/>
                <w:szCs w:val="21"/>
                <w:lang/>
              </w:rPr>
              <w:t>2025</w:t>
            </w:r>
            <w:r>
              <w:rPr>
                <w:color w:val="000000"/>
                <w:szCs w:val="21"/>
                <w:lang/>
              </w:rPr>
              <w:t>年</w:t>
            </w:r>
            <w:r>
              <w:rPr>
                <w:color w:val="000000"/>
                <w:szCs w:val="21"/>
                <w:lang/>
              </w:rPr>
              <w:t>10</w:t>
            </w:r>
            <w:r>
              <w:rPr>
                <w:color w:val="000000"/>
                <w:szCs w:val="21"/>
                <w:lang/>
              </w:rPr>
              <w:t>月</w:t>
            </w:r>
            <w:r>
              <w:rPr>
                <w:color w:val="000000"/>
                <w:szCs w:val="21"/>
                <w:lang/>
              </w:rPr>
              <w:t>28</w:t>
            </w:r>
            <w:r>
              <w:rPr>
                <w:color w:val="000000"/>
                <w:szCs w:val="21"/>
                <w:lang/>
              </w:rPr>
              <w:t>日</w:t>
            </w:r>
          </w:p>
        </w:tc>
      </w:tr>
    </w:tbl>
    <w:p w:rsidR="00FE679D" w:rsidRDefault="00DB51E8">
      <w:pPr>
        <w:adjustRightInd w:val="0"/>
        <w:snapToGrid w:val="0"/>
        <w:spacing w:line="360" w:lineRule="auto"/>
        <w:jc w:val="left"/>
        <w:rPr>
          <w:rFonts w:cs="宋体" w:hint="default"/>
          <w:szCs w:val="24"/>
        </w:rPr>
      </w:pPr>
      <w:r>
        <w:rPr>
          <w:rFonts w:cs="宋体"/>
        </w:rPr>
        <w:t>注</w:t>
      </w:r>
      <w:r>
        <w:rPr>
          <w:rFonts w:cs="宋体"/>
        </w:rPr>
        <w:t>:</w:t>
      </w:r>
      <w:r>
        <w:rPr>
          <w:rFonts w:cs="宋体"/>
          <w:szCs w:val="24"/>
        </w:rPr>
        <w:t>（</w:t>
      </w:r>
      <w:r>
        <w:rPr>
          <w:rFonts w:cs="宋体"/>
          <w:szCs w:val="24"/>
        </w:rPr>
        <w:t>1</w:t>
      </w:r>
      <w:r>
        <w:rPr>
          <w:rFonts w:cs="宋体"/>
          <w:szCs w:val="24"/>
        </w:rPr>
        <w:t>）本基金合同生效前的律师费、会计师费、信息披露费由本基金管理人承担，不从基金资产中支付。</w:t>
      </w:r>
    </w:p>
    <w:p w:rsidR="00FE679D" w:rsidRDefault="00DB51E8">
      <w:pPr>
        <w:adjustRightInd w:val="0"/>
        <w:snapToGrid w:val="0"/>
        <w:spacing w:line="360" w:lineRule="auto"/>
        <w:jc w:val="left"/>
        <w:rPr>
          <w:rFonts w:cs="宋体" w:hint="default"/>
          <w:szCs w:val="24"/>
        </w:rPr>
      </w:pPr>
      <w:r>
        <w:rPr>
          <w:rFonts w:cs="宋体"/>
          <w:szCs w:val="24"/>
        </w:rPr>
        <w:t>（</w:t>
      </w:r>
      <w:r>
        <w:rPr>
          <w:rFonts w:cs="宋体"/>
          <w:szCs w:val="24"/>
        </w:rPr>
        <w:t>2</w:t>
      </w:r>
      <w:r>
        <w:rPr>
          <w:rFonts w:cs="宋体"/>
          <w:szCs w:val="24"/>
        </w:rPr>
        <w:t>）本公司高级管理人员、基金投资和研究部门负责人持有本基金份额总量的数量区间为</w:t>
      </w:r>
      <w:r>
        <w:rPr>
          <w:rFonts w:cs="宋体"/>
          <w:szCs w:val="24"/>
        </w:rPr>
        <w:t>0-10</w:t>
      </w:r>
      <w:r>
        <w:rPr>
          <w:rFonts w:cs="宋体"/>
          <w:szCs w:val="24"/>
        </w:rPr>
        <w:t>万；本基金的基金经理持有本基金份额总量的数量区间为</w:t>
      </w:r>
      <w:r>
        <w:rPr>
          <w:rFonts w:cs="宋体"/>
          <w:szCs w:val="24"/>
        </w:rPr>
        <w:t>0</w:t>
      </w:r>
      <w:r>
        <w:rPr>
          <w:rFonts w:cs="宋体"/>
          <w:szCs w:val="24"/>
        </w:rPr>
        <w:t>万。</w:t>
      </w:r>
    </w:p>
    <w:p w:rsidR="00000000" w:rsidRDefault="00DB51E8">
      <w:pPr>
        <w:adjustRightInd w:val="0"/>
        <w:snapToGrid w:val="0"/>
        <w:spacing w:line="360" w:lineRule="auto"/>
        <w:jc w:val="left"/>
      </w:pPr>
      <w:r>
        <w:rPr>
          <w:rFonts w:cs="宋体"/>
          <w:szCs w:val="24"/>
        </w:rPr>
        <w:t>（</w:t>
      </w:r>
      <w:r>
        <w:rPr>
          <w:rFonts w:cs="宋体"/>
          <w:szCs w:val="24"/>
        </w:rPr>
        <w:t>3</w:t>
      </w:r>
      <w:r>
        <w:rPr>
          <w:rFonts w:cs="宋体"/>
          <w:szCs w:val="24"/>
        </w:rPr>
        <w:t>）募集期间认购的基金份额占总份额比例的计算中，针对</w:t>
      </w:r>
      <w:r>
        <w:rPr>
          <w:rFonts w:cs="宋体"/>
          <w:szCs w:val="24"/>
        </w:rPr>
        <w:t>A</w:t>
      </w:r>
      <w:r>
        <w:rPr>
          <w:rFonts w:cs="宋体"/>
          <w:szCs w:val="24"/>
        </w:rPr>
        <w:t>、</w:t>
      </w:r>
      <w:r>
        <w:rPr>
          <w:rFonts w:cs="宋体"/>
          <w:szCs w:val="24"/>
        </w:rPr>
        <w:t>C</w:t>
      </w:r>
      <w:r>
        <w:rPr>
          <w:rFonts w:cs="宋体"/>
          <w:szCs w:val="24"/>
        </w:rPr>
        <w:t>类基金份额，比例的分母采用</w:t>
      </w:r>
      <w:r>
        <w:rPr>
          <w:rFonts w:cs="宋体"/>
          <w:szCs w:val="24"/>
        </w:rPr>
        <w:t>A</w:t>
      </w:r>
      <w:r>
        <w:rPr>
          <w:rFonts w:cs="宋体"/>
          <w:szCs w:val="24"/>
        </w:rPr>
        <w:t>、</w:t>
      </w:r>
      <w:r>
        <w:rPr>
          <w:rFonts w:cs="宋体"/>
          <w:szCs w:val="24"/>
        </w:rPr>
        <w:t>C</w:t>
      </w:r>
      <w:r>
        <w:rPr>
          <w:rFonts w:cs="宋体"/>
          <w:szCs w:val="24"/>
        </w:rPr>
        <w:t>类各自的基金份额，对合计数，比例的分母采用</w:t>
      </w:r>
      <w:r>
        <w:rPr>
          <w:rFonts w:cs="宋体"/>
          <w:szCs w:val="24"/>
        </w:rPr>
        <w:t>A</w:t>
      </w:r>
      <w:r>
        <w:rPr>
          <w:rFonts w:cs="宋体"/>
          <w:szCs w:val="24"/>
        </w:rPr>
        <w:t>、</w:t>
      </w:r>
      <w:r>
        <w:rPr>
          <w:rFonts w:cs="宋体"/>
          <w:szCs w:val="24"/>
        </w:rPr>
        <w:t>C</w:t>
      </w:r>
      <w:r>
        <w:rPr>
          <w:rFonts w:cs="宋体"/>
          <w:szCs w:val="24"/>
        </w:rPr>
        <w:t>类基金份额的合计数。</w:t>
      </w:r>
    </w:p>
    <w:p w:rsidR="00000000" w:rsidRDefault="00DB51E8">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p>
    <w:p w:rsidR="00000000" w:rsidRDefault="00DB51E8">
      <w:pPr>
        <w:spacing w:line="360" w:lineRule="auto"/>
        <w:ind w:firstLineChars="200" w:firstLine="420"/>
        <w:jc w:val="left"/>
      </w:pPr>
      <w:r>
        <w:rPr>
          <w:rFonts w:cs="宋体"/>
          <w:szCs w:val="21"/>
        </w:rPr>
        <w:t>（</w:t>
      </w:r>
      <w:r>
        <w:rPr>
          <w:rFonts w:cs="宋体"/>
          <w:szCs w:val="21"/>
        </w:rPr>
        <w:t>1</w:t>
      </w:r>
      <w:r>
        <w:rPr>
          <w:rFonts w:cs="宋体"/>
          <w:szCs w:val="21"/>
        </w:rPr>
        <w:t>）自基金合同生效之日起，本基金管理人开始正式管理本基金。</w:t>
      </w:r>
      <w:r>
        <w:rPr>
          <w:rFonts w:cs="宋体"/>
          <w:szCs w:val="21"/>
        </w:rPr>
        <w:br/>
      </w:r>
      <w:r>
        <w:rPr>
          <w:rFonts w:cs="宋体"/>
          <w:szCs w:val="21"/>
        </w:rPr>
        <w:t xml:space="preserve">　　（</w:t>
      </w:r>
      <w:r>
        <w:rPr>
          <w:rFonts w:cs="宋体"/>
          <w:szCs w:val="21"/>
        </w:rPr>
        <w:t>2</w:t>
      </w:r>
      <w:r>
        <w:rPr>
          <w:rFonts w:cs="宋体"/>
          <w:szCs w:val="21"/>
        </w:rPr>
        <w:t>）本基金对每份基金份额设置</w:t>
      </w:r>
      <w:r>
        <w:rPr>
          <w:rFonts w:cs="宋体"/>
          <w:szCs w:val="21"/>
        </w:rPr>
        <w:t>30</w:t>
      </w:r>
      <w:r>
        <w:rPr>
          <w:rFonts w:cs="宋体"/>
          <w:szCs w:val="21"/>
        </w:rPr>
        <w:t>天的最短持有期，即自基金合同生效日（对认购份额而言，下同）、基金份额申购确认日（对申</w:t>
      </w:r>
      <w:r>
        <w:rPr>
          <w:rFonts w:cs="宋体"/>
          <w:szCs w:val="21"/>
        </w:rPr>
        <w:t>购份额而言，下同）或基金份额转换转入确认日（对转换转入份额而言，下同）起至基金合同生效日、基金份额申购确认日或基金份额转换转入确认日起的第</w:t>
      </w:r>
      <w:r>
        <w:rPr>
          <w:rFonts w:cs="宋体"/>
          <w:szCs w:val="21"/>
        </w:rPr>
        <w:t>30</w:t>
      </w:r>
      <w:r>
        <w:rPr>
          <w:rFonts w:cs="宋体"/>
          <w:szCs w:val="21"/>
        </w:rPr>
        <w:t>天（即最短持有期到期日，如该日为非工作日，则顺延至下一工作日）止的期间，在每份基金份额的最短持有期到期日前（不含当日），投资者不能办理该基金份额的赎回及转换转出业务，自每份基金份额的最短持有期到期日起（含当日），投资者可在开放日办理该基金份额的赎回及转换转出业务。但基金管理人根据法律法规、中国证监会的要求或本基金合同的规定公告暂停申购、赎回时除外。</w:t>
      </w:r>
      <w:r>
        <w:rPr>
          <w:rFonts w:cs="宋体"/>
          <w:szCs w:val="21"/>
        </w:rPr>
        <w:br/>
      </w:r>
      <w:r>
        <w:rPr>
          <w:rFonts w:cs="宋体"/>
          <w:szCs w:val="21"/>
        </w:rPr>
        <w:t xml:space="preserve">　　（</w:t>
      </w:r>
      <w:r>
        <w:rPr>
          <w:rFonts w:cs="宋体"/>
          <w:szCs w:val="21"/>
        </w:rPr>
        <w:t>3</w:t>
      </w:r>
      <w:r>
        <w:rPr>
          <w:rFonts w:cs="宋体"/>
          <w:szCs w:val="21"/>
        </w:rPr>
        <w:t>）销售机构</w:t>
      </w:r>
      <w:r>
        <w:rPr>
          <w:rFonts w:cs="宋体"/>
          <w:szCs w:val="21"/>
        </w:rPr>
        <w:t>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者任何损失由投资者自行承担。基金份额持有人可以到本基金销售机构的网点查询交易确认情况，也可以通过本基金管理人的网站（</w:t>
      </w:r>
      <w:r>
        <w:rPr>
          <w:rFonts w:cs="宋体"/>
          <w:szCs w:val="21"/>
        </w:rPr>
        <w:t>www.avicfund.cn</w:t>
      </w:r>
      <w:r>
        <w:rPr>
          <w:rFonts w:cs="宋体"/>
          <w:szCs w:val="21"/>
        </w:rPr>
        <w:t>）或客户服务电话（</w:t>
      </w:r>
      <w:r>
        <w:rPr>
          <w:rFonts w:cs="宋体"/>
          <w:szCs w:val="21"/>
        </w:rPr>
        <w:t>400-666-2186</w:t>
      </w:r>
      <w:r>
        <w:rPr>
          <w:rFonts w:cs="宋体"/>
          <w:szCs w:val="21"/>
        </w:rPr>
        <w:t>）查询交易确认情况。</w:t>
      </w:r>
      <w:r>
        <w:rPr>
          <w:rFonts w:cs="宋体"/>
          <w:szCs w:val="21"/>
        </w:rPr>
        <w:br/>
      </w:r>
      <w:r>
        <w:rPr>
          <w:rFonts w:cs="宋体"/>
          <w:szCs w:val="21"/>
        </w:rPr>
        <w:t xml:space="preserve">　　风险提示：本公司承诺以诚实信用、勤勉尽责的原则管理和运用基金资产，但不保证基金一定盈利，也不保证</w:t>
      </w:r>
      <w:r>
        <w:rPr>
          <w:rFonts w:cs="宋体"/>
          <w:szCs w:val="21"/>
        </w:rPr>
        <w:t>最低收益。市场有风险，投资需谨慎。投资者购买基金时，请仔细阅读本基金的《基金合同》、《招募说明书》及《基金产品资料概要》等法律文件，并根据自身风险承受能力谨慎选择。敬请投资者留意投资风险。</w:t>
      </w:r>
      <w:r>
        <w:rPr>
          <w:rFonts w:cs="宋体"/>
          <w:szCs w:val="21"/>
        </w:rPr>
        <w:br/>
      </w:r>
      <w:r>
        <w:rPr>
          <w:rFonts w:cs="宋体"/>
          <w:szCs w:val="21"/>
        </w:rPr>
        <w:t xml:space="preserve">　　特此公告。</w:t>
      </w:r>
    </w:p>
    <w:p w:rsidR="00000000" w:rsidRDefault="00DB51E8">
      <w:pPr>
        <w:spacing w:line="360" w:lineRule="auto"/>
        <w:ind w:firstLineChars="600" w:firstLine="1446"/>
        <w:jc w:val="right"/>
        <w:rPr>
          <w:rFonts w:cs="宋体"/>
          <w:b/>
          <w:bCs/>
          <w:sz w:val="24"/>
          <w:szCs w:val="30"/>
        </w:rPr>
      </w:pPr>
      <w:r>
        <w:rPr>
          <w:rFonts w:cs="宋体"/>
          <w:b/>
          <w:bCs/>
          <w:sz w:val="24"/>
          <w:szCs w:val="30"/>
        </w:rPr>
        <w:t xml:space="preserve">　</w:t>
      </w:r>
    </w:p>
    <w:p w:rsidR="00000000" w:rsidRDefault="00DB51E8">
      <w:pPr>
        <w:spacing w:line="360" w:lineRule="auto"/>
        <w:ind w:firstLineChars="600" w:firstLine="1446"/>
        <w:jc w:val="right"/>
        <w:rPr>
          <w:rFonts w:cs="宋体"/>
          <w:b/>
          <w:bCs/>
          <w:sz w:val="24"/>
          <w:szCs w:val="30"/>
        </w:rPr>
      </w:pPr>
      <w:r>
        <w:rPr>
          <w:rFonts w:cs="宋体"/>
          <w:b/>
          <w:bCs/>
          <w:sz w:val="24"/>
          <w:szCs w:val="30"/>
        </w:rPr>
        <w:t xml:space="preserve">　</w:t>
      </w:r>
    </w:p>
    <w:p w:rsidR="00000000" w:rsidRDefault="00DB51E8">
      <w:pPr>
        <w:spacing w:line="360" w:lineRule="auto"/>
        <w:ind w:firstLineChars="600" w:firstLine="1446"/>
        <w:jc w:val="right"/>
      </w:pPr>
      <w:r>
        <w:rPr>
          <w:rFonts w:cs="宋体"/>
          <w:b/>
          <w:bCs/>
          <w:sz w:val="24"/>
          <w:szCs w:val="24"/>
        </w:rPr>
        <w:t>中航基金管理有限公司</w:t>
      </w:r>
    </w:p>
    <w:p w:rsidR="00167A9B" w:rsidRDefault="00DB51E8">
      <w:pPr>
        <w:spacing w:line="360" w:lineRule="auto"/>
        <w:ind w:firstLineChars="600" w:firstLine="1446"/>
        <w:jc w:val="right"/>
      </w:pPr>
      <w:r>
        <w:rPr>
          <w:rFonts w:cs="宋体"/>
          <w:b/>
          <w:bCs/>
          <w:sz w:val="24"/>
          <w:szCs w:val="24"/>
        </w:rPr>
        <w:t>2025</w:t>
      </w:r>
      <w:r>
        <w:rPr>
          <w:rFonts w:cs="宋体"/>
          <w:b/>
          <w:bCs/>
          <w:sz w:val="24"/>
          <w:szCs w:val="24"/>
        </w:rPr>
        <w:t>年</w:t>
      </w:r>
      <w:r>
        <w:rPr>
          <w:rFonts w:cs="宋体"/>
          <w:b/>
          <w:bCs/>
          <w:sz w:val="24"/>
          <w:szCs w:val="24"/>
        </w:rPr>
        <w:t>10</w:t>
      </w:r>
      <w:r>
        <w:rPr>
          <w:rFonts w:cs="宋体"/>
          <w:b/>
          <w:bCs/>
          <w:sz w:val="24"/>
          <w:szCs w:val="24"/>
        </w:rPr>
        <w:t>月</w:t>
      </w:r>
      <w:r>
        <w:rPr>
          <w:rFonts w:cs="宋体"/>
          <w:b/>
          <w:bCs/>
          <w:sz w:val="24"/>
          <w:szCs w:val="24"/>
        </w:rPr>
        <w:t>29</w:t>
      </w:r>
      <w:r>
        <w:rPr>
          <w:rFonts w:cs="宋体"/>
          <w:b/>
          <w:bCs/>
          <w:sz w:val="24"/>
          <w:szCs w:val="24"/>
        </w:rPr>
        <w:t>日</w:t>
      </w:r>
      <w:bookmarkEnd w:id="31"/>
    </w:p>
    <w:sectPr w:rsidR="00167A9B">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21" w:rsidRDefault="003C5921">
      <w:r>
        <w:separator/>
      </w:r>
    </w:p>
  </w:endnote>
  <w:endnote w:type="continuationSeparator" w:id="0">
    <w:p w:rsidR="003C5921" w:rsidRDefault="003C5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Microsoft YaHei UI">
    <w:charset w:val="86"/>
    <w:family w:val="swiss"/>
    <w:pitch w:val="variable"/>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51E8">
    <w:pPr>
      <w:jc w:val="center"/>
    </w:pPr>
    <w:r>
      <w:rPr>
        <w:rFonts w:cs="宋体"/>
        <w:sz w:val="18"/>
        <w:szCs w:val="18"/>
      </w:rPr>
      <w:t>第</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页共</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51E8">
    <w:pPr>
      <w:jc w:val="center"/>
    </w:pPr>
    <w:r>
      <w:rPr>
        <w:rFonts w:cs="宋体"/>
        <w:sz w:val="18"/>
        <w:szCs w:val="18"/>
      </w:rPr>
      <w:t>第</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页共</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p>
  <w:p w:rsidR="00000000" w:rsidRDefault="00DB51E8">
    <w:pPr>
      <w:pStyle w:val="a7"/>
      <w:rPr>
        <w:rFonts w:cs="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21" w:rsidRDefault="003C5921">
      <w:r>
        <w:separator/>
      </w:r>
    </w:p>
  </w:footnote>
  <w:footnote w:type="continuationSeparator" w:id="0">
    <w:p w:rsidR="003C5921" w:rsidRDefault="003C5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84BFC">
    <w:pPr>
      <w:pStyle w:val="a8"/>
      <w:jc w:val="right"/>
    </w:pPr>
    <w:r w:rsidRPr="0033476B">
      <w:rPr>
        <w:rFonts w:cs="宋体"/>
      </w:rPr>
      <w:t>中航基金管理有限公司关于</w:t>
    </w:r>
    <w:r w:rsidR="00DB51E8">
      <w:rPr>
        <w:rFonts w:cs="宋体"/>
      </w:rPr>
      <w:t>中航月月鑫</w:t>
    </w:r>
    <w:r w:rsidR="00DB51E8">
      <w:rPr>
        <w:rFonts w:cs="宋体"/>
      </w:rPr>
      <w:t>30</w:t>
    </w:r>
    <w:r w:rsidR="00DB51E8">
      <w:rPr>
        <w:rFonts w:cs="宋体"/>
      </w:rPr>
      <w:t>天持有期债券型证券投资基金基金合同生效公告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476B">
    <w:pPr>
      <w:pStyle w:val="a8"/>
      <w:jc w:val="right"/>
    </w:pPr>
    <w:r w:rsidRPr="0033476B">
      <w:rPr>
        <w:rFonts w:cs="宋体"/>
      </w:rPr>
      <w:t>中航基金管理有限公司关于</w:t>
    </w:r>
    <w:r w:rsidR="00DB51E8">
      <w:rPr>
        <w:rFonts w:cs="宋体"/>
      </w:rPr>
      <w:t>中航月月鑫</w:t>
    </w:r>
    <w:r w:rsidR="00DB51E8">
      <w:rPr>
        <w:rFonts w:cs="宋体"/>
      </w:rPr>
      <w:t>30</w:t>
    </w:r>
    <w:r w:rsidR="00DB51E8">
      <w:rPr>
        <w:rFonts w:cs="宋体"/>
      </w:rPr>
      <w:t>天持有期债券型证券投资基金基金合同生效公告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2E5465"/>
    <w:multiLevelType w:val="multilevel"/>
    <w:tmpl w:val="872E5465"/>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0672"/>
    <w:rsid w:val="00167A9B"/>
    <w:rsid w:val="00284BFC"/>
    <w:rsid w:val="0033476B"/>
    <w:rsid w:val="003C5921"/>
    <w:rsid w:val="00A87DC9"/>
    <w:rsid w:val="00B00672"/>
    <w:rsid w:val="00DB51E8"/>
    <w:rsid w:val="00FE679D"/>
    <w:rsid w:val="470A21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0"/>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0"/>
    <w:uiPriority w:val="9"/>
    <w:qFormat/>
    <w:pPr>
      <w:keepNext/>
      <w:keepLines/>
      <w:spacing w:before="240" w:after="290" w:line="372" w:lineRule="auto"/>
      <w:outlineLvl w:val="4"/>
    </w:pPr>
    <w:rPr>
      <w:b/>
      <w:bCs/>
      <w:sz w:val="24"/>
      <w:szCs w:val="24"/>
    </w:rPr>
  </w:style>
  <w:style w:type="paragraph" w:styleId="6">
    <w:name w:val="heading 6"/>
    <w:basedOn w:val="a"/>
    <w:next w:val="a"/>
    <w:link w:val="60"/>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locked/>
    <w:rPr>
      <w:b/>
      <w:bCs/>
      <w:kern w:val="44"/>
      <w:sz w:val="44"/>
      <w:szCs w:val="44"/>
    </w:rPr>
  </w:style>
  <w:style w:type="character" w:customStyle="1" w:styleId="21">
    <w:name w:val="标题 2 字符1"/>
    <w:link w:val="2"/>
    <w:locked/>
    <w:rPr>
      <w:rFonts w:ascii="Cambria" w:eastAsia="宋体" w:hAnsi="Cambria" w:cs="宋体" w:hint="default"/>
      <w:b/>
      <w:bCs/>
      <w:sz w:val="32"/>
      <w:szCs w:val="32"/>
    </w:rPr>
  </w:style>
  <w:style w:type="character" w:customStyle="1" w:styleId="31">
    <w:name w:val="标题 3 字符1"/>
    <w:link w:val="3"/>
    <w:locked/>
    <w:rPr>
      <w:b/>
      <w:bCs/>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locked/>
    <w:rPr>
      <w:b/>
      <w:bCs/>
      <w:kern w:val="2"/>
      <w:sz w:val="24"/>
      <w:szCs w:val="24"/>
    </w:rPr>
  </w:style>
  <w:style w:type="character" w:customStyle="1" w:styleId="60">
    <w:name w:val="标题 6 字符"/>
    <w:link w:val="6"/>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cs="宋体" w:hint="eastAsia"/>
      <w:kern w:val="2"/>
      <w:sz w:val="18"/>
      <w:szCs w:val="18"/>
    </w:rPr>
  </w:style>
  <w:style w:type="paragraph" w:styleId="TOC3">
    <w:name w:val="TOC 3"/>
    <w:basedOn w:val="a"/>
    <w:next w:val="a"/>
    <w:uiPriority w:val="39"/>
  </w:style>
  <w:style w:type="paragraph" w:styleId="a4">
    <w:name w:val="Date"/>
    <w:basedOn w:val="a"/>
    <w:next w:val="a"/>
    <w:link w:val="12"/>
    <w:rPr>
      <w:sz w:val="32"/>
    </w:rPr>
  </w:style>
  <w:style w:type="character" w:customStyle="1" w:styleId="12">
    <w:name w:val="日期 字符1"/>
    <w:link w:val="a4"/>
    <w:locked/>
    <w:rPr>
      <w:rFonts w:ascii="宋体" w:eastAsia="宋体" w:hAnsi="宋体" w:cs="宋体" w:hint="eastAsia"/>
      <w:kern w:val="2"/>
      <w:sz w:val="32"/>
    </w:rPr>
  </w:style>
  <w:style w:type="paragraph" w:styleId="a5">
    <w:name w:val="Balloon Text"/>
    <w:basedOn w:val="a"/>
    <w:link w:val="a6"/>
    <w:uiPriority w:val="99"/>
    <w:unhideWhenUsed/>
    <w:rPr>
      <w:sz w:val="18"/>
      <w:szCs w:val="18"/>
    </w:rPr>
  </w:style>
  <w:style w:type="character" w:customStyle="1" w:styleId="a6">
    <w:name w:val="批注框文本 字符"/>
    <w:link w:val="a5"/>
    <w:locked/>
    <w:rPr>
      <w:kern w:val="2"/>
      <w:sz w:val="18"/>
      <w:szCs w:val="18"/>
    </w:rPr>
  </w:style>
  <w:style w:type="paragraph" w:styleId="a7">
    <w:name w:val="footer"/>
    <w:basedOn w:val="a"/>
    <w:link w:val="13"/>
    <w:pPr>
      <w:tabs>
        <w:tab w:val="center" w:pos="4153"/>
        <w:tab w:val="right" w:pos="8306"/>
      </w:tabs>
      <w:snapToGrid w:val="0"/>
      <w:jc w:val="left"/>
    </w:pPr>
    <w:rPr>
      <w:sz w:val="18"/>
      <w:szCs w:val="18"/>
    </w:rPr>
  </w:style>
  <w:style w:type="character" w:customStyle="1" w:styleId="13">
    <w:name w:val="页脚 字符1"/>
    <w:link w:val="a7"/>
    <w:locked/>
    <w:rPr>
      <w:kern w:val="2"/>
      <w:sz w:val="18"/>
      <w:szCs w:val="18"/>
    </w:rPr>
  </w:style>
  <w:style w:type="paragraph" w:styleId="a8">
    <w:name w:val="header"/>
    <w:basedOn w:val="a"/>
    <w:link w:val="20"/>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8"/>
    <w:locked/>
    <w:rPr>
      <w:kern w:val="2"/>
      <w:sz w:val="18"/>
      <w:szCs w:val="18"/>
    </w:rPr>
  </w:style>
  <w:style w:type="paragraph" w:styleId="TOC1">
    <w:name w:val="TOC 1"/>
    <w:basedOn w:val="a"/>
    <w:next w:val="a"/>
    <w:uiPriority w:val="39"/>
    <w:pPr>
      <w:tabs>
        <w:tab w:val="right" w:leader="dot" w:pos="8835"/>
      </w:tabs>
    </w:pPr>
  </w:style>
  <w:style w:type="paragraph" w:styleId="a9">
    <w:name w:val="Subtitle"/>
    <w:basedOn w:val="2"/>
    <w:next w:val="3"/>
    <w:link w:val="14"/>
    <w:qFormat/>
    <w:pPr>
      <w:spacing w:before="240" w:after="60" w:line="312" w:lineRule="auto"/>
      <w:jc w:val="left"/>
    </w:pPr>
    <w:rPr>
      <w:rFonts w:eastAsia="宋体"/>
      <w:bCs w:val="0"/>
      <w:kern w:val="24"/>
      <w:sz w:val="24"/>
    </w:rPr>
  </w:style>
  <w:style w:type="character" w:customStyle="1" w:styleId="14">
    <w:name w:val="副标题 字符1"/>
    <w:link w:val="a9"/>
    <w:locked/>
    <w:rPr>
      <w:rFonts w:ascii="Cambria" w:eastAsia="Cambria" w:hAnsi="Cambria" w:cs="Times New Roman" w:hint="default"/>
      <w:b/>
      <w:bCs/>
      <w:kern w:val="24"/>
      <w:sz w:val="32"/>
      <w:szCs w:val="32"/>
    </w:rPr>
  </w:style>
  <w:style w:type="paragraph" w:styleId="aa">
    <w:name w:val="footnote text"/>
    <w:basedOn w:val="a"/>
    <w:link w:val="15"/>
    <w:pPr>
      <w:snapToGrid w:val="0"/>
      <w:jc w:val="left"/>
    </w:pPr>
    <w:rPr>
      <w:sz w:val="18"/>
      <w:szCs w:val="18"/>
    </w:rPr>
  </w:style>
  <w:style w:type="character" w:customStyle="1" w:styleId="15">
    <w:name w:val="脚注文本 字符1"/>
    <w:link w:val="aa"/>
    <w:locked/>
    <w:rPr>
      <w:kern w:val="2"/>
      <w:sz w:val="18"/>
      <w:szCs w:val="18"/>
    </w:rPr>
  </w:style>
  <w:style w:type="paragraph" w:styleId="TOC2">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b">
    <w:name w:val="Normal (Web)"/>
    <w:basedOn w:val="a"/>
    <w:pPr>
      <w:widowControl/>
      <w:spacing w:before="100" w:beforeAutospacing="1" w:after="100" w:afterAutospacing="1"/>
      <w:jc w:val="left"/>
    </w:pPr>
    <w:rPr>
      <w:kern w:val="0"/>
      <w:sz w:val="24"/>
    </w:rPr>
  </w:style>
  <w:style w:type="paragraph" w:styleId="ac">
    <w:name w:val="Title"/>
    <w:basedOn w:val="1"/>
    <w:next w:val="2"/>
    <w:link w:val="16"/>
    <w:uiPriority w:val="10"/>
    <w:qFormat/>
    <w:pPr>
      <w:keepNext w:val="0"/>
      <w:keepLines w:val="0"/>
      <w:spacing w:before="240" w:after="60"/>
      <w:jc w:val="center"/>
    </w:pPr>
    <w:rPr>
      <w:rFonts w:ascii="Cambria" w:hAnsi="Cambria" w:hint="default"/>
      <w:kern w:val="0"/>
      <w:sz w:val="32"/>
      <w:szCs w:val="32"/>
    </w:rPr>
  </w:style>
  <w:style w:type="character" w:customStyle="1" w:styleId="16">
    <w:name w:val="标题 字符1"/>
    <w:link w:val="ac"/>
    <w:locked/>
    <w:rPr>
      <w:rFonts w:ascii="Cambria" w:eastAsia="Cambria" w:hAnsi="Cambria" w:cs="宋体" w:hint="default"/>
      <w:b/>
      <w:bCs/>
      <w:sz w:val="32"/>
      <w:szCs w:val="32"/>
    </w:rPr>
  </w:style>
  <w:style w:type="table" w:styleId="ad">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访问过的超链接"/>
    <w:uiPriority w:val="99"/>
    <w:unhideWhenUsed/>
    <w:rPr>
      <w:color w:val="800080"/>
      <w:u w:val="single"/>
    </w:rPr>
  </w:style>
  <w:style w:type="character" w:styleId="af">
    <w:name w:val="Hyperlink"/>
    <w:uiPriority w:val="99"/>
    <w:unhideWhenUsed/>
    <w:rPr>
      <w:color w:val="0000FF"/>
      <w:u w:val="single"/>
    </w:rPr>
  </w:style>
  <w:style w:type="character" w:styleId="af0">
    <w:name w:val="footnote reference"/>
    <w:rPr>
      <w:vertAlign w:val="superscript"/>
    </w:rPr>
  </w:style>
  <w:style w:type="character" w:customStyle="1" w:styleId="af1">
    <w:name w:val="日期 字符"/>
    <w:link w:val="a4"/>
    <w:locked/>
    <w:rPr>
      <w:kern w:val="2"/>
      <w:sz w:val="21"/>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Char">
    <w:name w:val="日期 Char"/>
    <w:link w:val="a4"/>
    <w:locked/>
    <w:rPr>
      <w:kern w:val="2"/>
      <w:sz w:val="21"/>
    </w:rPr>
  </w:style>
  <w:style w:type="character" w:customStyle="1" w:styleId="2Char">
    <w:name w:val="标题 2 Char"/>
    <w:link w:val="2"/>
    <w:locked/>
    <w:rPr>
      <w:rFonts w:ascii="Cambria" w:eastAsia="宋体" w:hAnsi="Cambria" w:cs="Times New Roman" w:hint="default"/>
      <w:b/>
      <w:bCs/>
      <w:kern w:val="2"/>
      <w:sz w:val="32"/>
      <w:szCs w:val="32"/>
    </w:rPr>
  </w:style>
  <w:style w:type="character" w:customStyle="1" w:styleId="Char0">
    <w:name w:val="脚注文本 Char"/>
    <w:link w:val="aa"/>
    <w:locked/>
    <w:rPr>
      <w:kern w:val="2"/>
      <w:sz w:val="18"/>
      <w:szCs w:val="18"/>
    </w:rPr>
  </w:style>
  <w:style w:type="character" w:customStyle="1" w:styleId="Char1">
    <w:name w:val="批注框文本 Char1"/>
    <w:link w:val="a5"/>
    <w:locked/>
    <w:rPr>
      <w:kern w:val="2"/>
      <w:sz w:val="18"/>
      <w:szCs w:val="18"/>
    </w:rPr>
  </w:style>
  <w:style w:type="character" w:customStyle="1" w:styleId="af2">
    <w:name w:val="文档结构图 字符"/>
    <w:link w:val="a3"/>
    <w:locked/>
    <w:rPr>
      <w:rFonts w:ascii="Microsoft YaHei UI" w:eastAsia="Microsoft YaHei UI" w:hAnsi="Microsoft YaHei UI" w:cs="Microsoft YaHei UI" w:hint="eastAsia"/>
      <w:kern w:val="2"/>
      <w:sz w:val="18"/>
      <w:szCs w:val="18"/>
    </w:rPr>
  </w:style>
  <w:style w:type="paragraph" w:customStyle="1" w:styleId="af3">
    <w:name w:val="次标题"/>
    <w:basedOn w:val="3"/>
    <w:next w:val="a"/>
    <w:pPr>
      <w:spacing w:before="120" w:after="120"/>
      <w:jc w:val="left"/>
    </w:pPr>
    <w:rPr>
      <w:sz w:val="21"/>
    </w:rPr>
  </w:style>
  <w:style w:type="character" w:customStyle="1" w:styleId="4Char1">
    <w:name w:val="标题 4 Char1"/>
    <w:link w:val="4"/>
    <w:locked/>
    <w:rPr>
      <w:rFonts w:ascii="Cambria" w:eastAsia="宋体" w:hAnsi="Cambria" w:cs="宋体" w:hint="default"/>
      <w:b/>
      <w:bCs/>
      <w:sz w:val="24"/>
      <w:szCs w:val="24"/>
    </w:rPr>
  </w:style>
  <w:style w:type="character" w:customStyle="1" w:styleId="Char2">
    <w:name w:val="页眉 Char"/>
    <w:link w:val="a8"/>
    <w:locked/>
    <w:rPr>
      <w:kern w:val="2"/>
      <w:sz w:val="18"/>
      <w:szCs w:val="18"/>
    </w:rPr>
  </w:style>
  <w:style w:type="paragraph" w:customStyle="1" w:styleId="XBRLTitle4">
    <w:name w:val="XBRLTitle4"/>
    <w:basedOn w:val="a9"/>
    <w:next w:val="4"/>
    <w:pPr>
      <w:numPr>
        <w:ilvl w:val="3"/>
        <w:numId w:val="1"/>
      </w:numPr>
      <w:spacing w:beforeLines="50" w:after="0"/>
    </w:pPr>
    <w:rPr>
      <w:bCs/>
    </w:rPr>
  </w:style>
  <w:style w:type="paragraph" w:customStyle="1" w:styleId="XBRLTitle3">
    <w:name w:val="XBRLTitle3"/>
    <w:basedOn w:val="a9"/>
    <w:next w:val="4"/>
    <w:pPr>
      <w:keepNext w:val="0"/>
      <w:keepLines w:val="0"/>
      <w:numPr>
        <w:ilvl w:val="2"/>
        <w:numId w:val="1"/>
      </w:numPr>
      <w:spacing w:beforeLines="50" w:after="0" w:line="360" w:lineRule="auto"/>
      <w:ind w:left="0" w:firstLine="0"/>
    </w:pPr>
    <w:rPr>
      <w:rFonts w:ascii="宋体" w:hint="eastAsia"/>
      <w:bCs/>
    </w:rPr>
  </w:style>
  <w:style w:type="paragraph" w:customStyle="1" w:styleId="msonormal1">
    <w:name w:val="msonormal1"/>
    <w:basedOn w:val="a"/>
    <w:pPr>
      <w:widowControl/>
      <w:spacing w:before="100" w:beforeAutospacing="1" w:after="100" w:afterAutospacing="1"/>
      <w:jc w:val="left"/>
    </w:pPr>
    <w:rPr>
      <w:kern w:val="0"/>
      <w:sz w:val="24"/>
    </w:rPr>
  </w:style>
  <w:style w:type="character" w:customStyle="1" w:styleId="1Char">
    <w:name w:val="标题 1 Char"/>
    <w:link w:val="1"/>
    <w:locked/>
    <w:rPr>
      <w:b/>
      <w:bCs/>
      <w:kern w:val="44"/>
      <w:sz w:val="44"/>
      <w:szCs w:val="44"/>
    </w:rPr>
  </w:style>
  <w:style w:type="character" w:customStyle="1" w:styleId="5Char">
    <w:name w:val="标题 5 Char"/>
    <w:link w:val="5"/>
    <w:locked/>
    <w:rPr>
      <w:b/>
      <w:bCs/>
      <w:kern w:val="2"/>
      <w:sz w:val="24"/>
      <w:szCs w:val="24"/>
    </w:rPr>
  </w:style>
  <w:style w:type="character" w:customStyle="1" w:styleId="af4">
    <w:name w:val="副标题 字符"/>
    <w:link w:val="a9"/>
    <w:locked/>
    <w:rPr>
      <w:rFonts w:ascii="Calibri" w:eastAsia="宋体" w:hAnsi="Calibri" w:cs="Times New Roman" w:hint="default"/>
      <w:b/>
      <w:bCs/>
      <w:kern w:val="24"/>
      <w:sz w:val="32"/>
      <w:szCs w:val="32"/>
    </w:rPr>
  </w:style>
  <w:style w:type="character" w:customStyle="1" w:styleId="Char3">
    <w:name w:val="文档结构图 Char"/>
    <w:link w:val="a3"/>
    <w:locked/>
    <w:rPr>
      <w:rFonts w:ascii="宋体" w:eastAsia="宋体" w:hAnsi="宋体" w:cs="宋体" w:hint="eastAsia"/>
      <w:kern w:val="2"/>
      <w:sz w:val="18"/>
      <w:szCs w:val="18"/>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6Char">
    <w:name w:val="标题 6 Char"/>
    <w:link w:val="6"/>
    <w:locked/>
    <w:rPr>
      <w:rFonts w:ascii="Cambria" w:eastAsia="宋体" w:hAnsi="Cambria" w:cs="Times New Roman" w:hint="default"/>
      <w:b/>
      <w:bCs/>
      <w:kern w:val="2"/>
      <w:sz w:val="24"/>
      <w:szCs w:val="24"/>
    </w:rPr>
  </w:style>
  <w:style w:type="character" w:customStyle="1" w:styleId="17">
    <w:name w:val="标题 1 字符"/>
    <w:link w:val="1"/>
    <w:locked/>
    <w:rPr>
      <w:b/>
      <w:bCs/>
      <w:kern w:val="44"/>
      <w:sz w:val="44"/>
      <w:szCs w:val="44"/>
    </w:rPr>
  </w:style>
  <w:style w:type="paragraph" w:customStyle="1" w:styleId="XBRLTitle5">
    <w:name w:val="XBRLTitle5"/>
    <w:basedOn w:val="a9"/>
    <w:next w:val="4"/>
    <w:pPr>
      <w:numPr>
        <w:ilvl w:val="4"/>
        <w:numId w:val="1"/>
      </w:numPr>
      <w:spacing w:beforeLines="50" w:after="0"/>
    </w:pPr>
    <w:rPr>
      <w:bCs/>
    </w:rPr>
  </w:style>
  <w:style w:type="character" w:customStyle="1" w:styleId="Char10">
    <w:name w:val="副标题 Char1"/>
    <w:link w:val="a9"/>
    <w:locked/>
    <w:rPr>
      <w:rFonts w:ascii="Cambria" w:eastAsia="宋体" w:hAnsi="Cambria" w:cs="宋体" w:hint="default"/>
      <w:b/>
      <w:bCs w:val="0"/>
      <w:kern w:val="24"/>
      <w:sz w:val="24"/>
      <w:szCs w:val="32"/>
    </w:rPr>
  </w:style>
  <w:style w:type="character" w:customStyle="1" w:styleId="3Char">
    <w:name w:val="标题 3 Char"/>
    <w:link w:val="3"/>
    <w:locked/>
    <w:rPr>
      <w:b/>
      <w:bCs/>
      <w:kern w:val="2"/>
      <w:sz w:val="32"/>
      <w:szCs w:val="32"/>
    </w:rPr>
  </w:style>
  <w:style w:type="paragraph" w:customStyle="1" w:styleId="XBRLTitle6">
    <w:name w:val="XBRLTitle6"/>
    <w:basedOn w:val="a9"/>
    <w:next w:val="4"/>
    <w:pPr>
      <w:numPr>
        <w:ilvl w:val="5"/>
        <w:numId w:val="1"/>
      </w:numPr>
      <w:spacing w:beforeLines="50" w:after="0"/>
    </w:pPr>
    <w:rPr>
      <w:bCs/>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Char4">
    <w:name w:val="页脚 Char"/>
    <w:link w:val="a7"/>
    <w:locked/>
    <w:rPr>
      <w:kern w:val="2"/>
      <w:sz w:val="18"/>
      <w:szCs w:val="18"/>
    </w:rPr>
  </w:style>
  <w:style w:type="character" w:customStyle="1" w:styleId="Char5">
    <w:name w:val="标题 Char"/>
    <w:link w:val="ac"/>
    <w:locked/>
    <w:rPr>
      <w:rFonts w:ascii="Cambria" w:eastAsia="Cambria" w:hAnsi="Cambria" w:cs="Times New Roman" w:hint="default"/>
      <w:b/>
      <w:bCs/>
      <w:kern w:val="2"/>
      <w:sz w:val="32"/>
      <w:szCs w:val="32"/>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Char6">
    <w:name w:val="Char"/>
    <w:basedOn w:val="a"/>
  </w:style>
  <w:style w:type="paragraph" w:customStyle="1" w:styleId="XBRLTitle2">
    <w:name w:val="XBRLTitle2"/>
    <w:basedOn w:val="a9"/>
    <w:next w:val="4"/>
    <w:pPr>
      <w:keepNext w:val="0"/>
      <w:keepLines w:val="0"/>
      <w:numPr>
        <w:ilvl w:val="1"/>
        <w:numId w:val="1"/>
      </w:numPr>
      <w:spacing w:beforeLines="50" w:after="0"/>
      <w:ind w:left="454"/>
    </w:pPr>
    <w:rPr>
      <w:rFonts w:ascii="宋体" w:hint="eastAsia"/>
      <w:bCs/>
    </w:rPr>
  </w:style>
  <w:style w:type="character" w:customStyle="1" w:styleId="Char7">
    <w:name w:val="批注框文本 Char"/>
    <w:link w:val="a5"/>
    <w:locked/>
    <w:rPr>
      <w:kern w:val="2"/>
      <w:sz w:val="18"/>
      <w:szCs w:val="18"/>
    </w:rPr>
  </w:style>
  <w:style w:type="paragraph" w:customStyle="1" w:styleId="XBRL5">
    <w:name w:val="XBRL标题5"/>
    <w:basedOn w:val="a9"/>
    <w:next w:val="4"/>
    <w:pPr>
      <w:spacing w:beforeLines="50" w:after="0"/>
    </w:pPr>
    <w:rPr>
      <w:bCs/>
    </w:rPr>
  </w:style>
  <w:style w:type="paragraph" w:customStyle="1" w:styleId="XBRL6">
    <w:name w:val="XBRL标题6"/>
    <w:basedOn w:val="a9"/>
    <w:next w:val="4"/>
    <w:pPr>
      <w:spacing w:beforeLines="50" w:after="0"/>
    </w:pPr>
    <w:rPr>
      <w:bCs/>
    </w:rPr>
  </w:style>
  <w:style w:type="paragraph" w:customStyle="1" w:styleId="XBRL2">
    <w:name w:val="XBRL标题2"/>
    <w:basedOn w:val="a9"/>
    <w:next w:val="4"/>
    <w:pPr>
      <w:spacing w:beforeLines="50" w:after="0"/>
    </w:pPr>
    <w:rPr>
      <w:bCs/>
    </w:rPr>
  </w:style>
  <w:style w:type="paragraph" w:customStyle="1" w:styleId="XBRL3">
    <w:name w:val="XBRL标题3"/>
    <w:basedOn w:val="a9"/>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af5">
    <w:name w:val="标题 字符"/>
    <w:link w:val="ac"/>
    <w:locked/>
    <w:rPr>
      <w:rFonts w:ascii="Cambria" w:eastAsia="宋体" w:hAnsi="Cambria" w:cs="Times New Roman" w:hint="default"/>
      <w:b/>
      <w:bCs/>
      <w:kern w:val="2"/>
      <w:sz w:val="32"/>
      <w:szCs w:val="32"/>
    </w:rPr>
  </w:style>
  <w:style w:type="paragraph" w:customStyle="1" w:styleId="XBRL4">
    <w:name w:val="XBRL标题4"/>
    <w:basedOn w:val="a9"/>
    <w:next w:val="4"/>
    <w:p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hint="default"/>
      <w:kern w:val="0"/>
      <w:sz w:val="24"/>
    </w:rPr>
  </w:style>
  <w:style w:type="character" w:customStyle="1" w:styleId="22">
    <w:name w:val="标题 2 字符"/>
    <w:link w:val="2"/>
    <w:locked/>
    <w:rPr>
      <w:rFonts w:ascii="Cambria" w:eastAsia="宋体" w:hAnsi="Cambria" w:cs="Times New Roman" w:hint="default"/>
      <w:b/>
      <w:bCs/>
      <w:kern w:val="2"/>
      <w:sz w:val="32"/>
      <w:szCs w:val="32"/>
    </w:rPr>
  </w:style>
  <w:style w:type="character" w:customStyle="1" w:styleId="30">
    <w:name w:val="标题 3 字符"/>
    <w:link w:val="3"/>
    <w:locked/>
    <w:rPr>
      <w:b/>
      <w:bCs/>
      <w:kern w:val="2"/>
      <w:sz w:val="32"/>
      <w:szCs w:val="32"/>
    </w:rPr>
  </w:style>
  <w:style w:type="character" w:customStyle="1" w:styleId="af6">
    <w:name w:val="脚注文本 字符"/>
    <w:link w:val="aa"/>
    <w:locked/>
    <w:rPr>
      <w:kern w:val="2"/>
      <w:sz w:val="18"/>
      <w:szCs w:val="18"/>
    </w:rPr>
  </w:style>
  <w:style w:type="character" w:customStyle="1" w:styleId="af7">
    <w:name w:val="页眉 字符"/>
    <w:link w:val="a8"/>
    <w:locked/>
    <w:rPr>
      <w:kern w:val="2"/>
      <w:sz w:val="18"/>
      <w:szCs w:val="18"/>
    </w:rPr>
  </w:style>
  <w:style w:type="character" w:customStyle="1" w:styleId="af8">
    <w:name w:val="页脚 字符"/>
    <w:link w:val="a7"/>
    <w:locked/>
    <w:rPr>
      <w:kern w:val="2"/>
      <w:sz w:val="18"/>
      <w:szCs w:val="18"/>
    </w:rPr>
  </w:style>
  <w:style w:type="character" w:customStyle="1" w:styleId="18">
    <w:name w:val="页眉 字符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1806</Characters>
  <Application>Microsoft Office Word</Application>
  <DocSecurity>4</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CBE08E9117B548A485ABB41C4E87EF5A</vt:lpwstr>
  </property>
  <property fmtid="{D5CDD505-2E9C-101B-9397-08002B2CF9AE}" pid="4" name="_KSOProductBuildMID">
    <vt:lpwstr>cdf7-683de84dc714fb6be07-</vt:lpwstr>
  </property>
  <property fmtid="{D5CDD505-2E9C-101B-9397-08002B2CF9AE}" pid="5" name="_KSOProductBuildSID">
    <vt:lpwstr>9I/3YUSgLxyMphfgjRu8TA==</vt:lpwstr>
  </property>
</Properties>
</file>