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5CF" w:rsidRPr="00097A6C" w:rsidRDefault="002535CF" w:rsidP="00A948C5">
      <w:pPr>
        <w:jc w:val="center"/>
        <w:rPr>
          <w:rFonts w:hint="eastAsia"/>
          <w:b/>
          <w:sz w:val="24"/>
        </w:rPr>
      </w:pPr>
      <w:r w:rsidRPr="00097A6C">
        <w:rPr>
          <w:rFonts w:hint="eastAsia"/>
          <w:b/>
          <w:sz w:val="24"/>
        </w:rPr>
        <w:t>汇丰晋信基金管理有限公司关于新增</w:t>
      </w:r>
      <w:r w:rsidR="00890F90" w:rsidRPr="00097A6C">
        <w:rPr>
          <w:rFonts w:hint="eastAsia"/>
          <w:b/>
          <w:sz w:val="24"/>
        </w:rPr>
        <w:t>嘉实</w:t>
      </w:r>
      <w:r w:rsidR="00ED2056" w:rsidRPr="00097A6C">
        <w:rPr>
          <w:rFonts w:hint="eastAsia"/>
          <w:b/>
          <w:sz w:val="24"/>
        </w:rPr>
        <w:t>财富</w:t>
      </w:r>
      <w:r w:rsidRPr="00097A6C">
        <w:rPr>
          <w:rFonts w:hint="eastAsia"/>
          <w:b/>
          <w:sz w:val="24"/>
        </w:rPr>
        <w:t>为旗下开放式基金代销机构的公告</w:t>
      </w:r>
    </w:p>
    <w:p w:rsidR="00871E0A" w:rsidRPr="00097A6C" w:rsidRDefault="00871E0A">
      <w:pPr>
        <w:spacing w:line="560" w:lineRule="exact"/>
        <w:jc w:val="center"/>
        <w:rPr>
          <w:color w:val="000000"/>
          <w:sz w:val="24"/>
        </w:rPr>
      </w:pPr>
    </w:p>
    <w:p w:rsidR="002535CF" w:rsidRPr="00097A6C" w:rsidRDefault="00871E0A" w:rsidP="00871E0A">
      <w:pPr>
        <w:tabs>
          <w:tab w:val="left" w:pos="720"/>
        </w:tabs>
        <w:ind w:firstLineChars="200" w:firstLine="504"/>
        <w:rPr>
          <w:color w:val="000000"/>
          <w:sz w:val="24"/>
        </w:rPr>
      </w:pPr>
      <w:r w:rsidRPr="00097A6C">
        <w:rPr>
          <w:rFonts w:hint="eastAsia"/>
          <w:color w:val="000000"/>
          <w:sz w:val="24"/>
        </w:rPr>
        <w:t>根据汇丰晋信基金管理有限公司（以下简称“本公司”）与</w:t>
      </w:r>
      <w:r w:rsidR="00890F90" w:rsidRPr="00097A6C">
        <w:rPr>
          <w:rFonts w:hint="eastAsia"/>
          <w:color w:val="000000"/>
          <w:sz w:val="24"/>
        </w:rPr>
        <w:t>嘉实财富管理有限公司（以下简称“嘉实财富”）</w:t>
      </w:r>
      <w:r w:rsidRPr="00097A6C">
        <w:rPr>
          <w:rFonts w:hint="eastAsia"/>
          <w:color w:val="000000"/>
          <w:sz w:val="24"/>
        </w:rPr>
        <w:t>签署的开放式基金销售服务代理协议，自</w:t>
      </w:r>
      <w:r w:rsidRPr="00097A6C">
        <w:rPr>
          <w:rFonts w:hint="eastAsia"/>
          <w:color w:val="000000"/>
          <w:sz w:val="24"/>
        </w:rPr>
        <w:t>202</w:t>
      </w:r>
      <w:r w:rsidR="00890F90" w:rsidRPr="00097A6C">
        <w:rPr>
          <w:rFonts w:hint="eastAsia"/>
          <w:color w:val="000000"/>
          <w:sz w:val="24"/>
        </w:rPr>
        <w:t>5</w:t>
      </w:r>
      <w:r w:rsidRPr="00097A6C">
        <w:rPr>
          <w:rFonts w:hint="eastAsia"/>
          <w:color w:val="000000"/>
          <w:sz w:val="24"/>
        </w:rPr>
        <w:t>年</w:t>
      </w:r>
      <w:r w:rsidR="009865AA" w:rsidRPr="00097A6C">
        <w:rPr>
          <w:color w:val="000000"/>
          <w:sz w:val="24"/>
        </w:rPr>
        <w:t>1</w:t>
      </w:r>
      <w:r w:rsidR="00890F90" w:rsidRPr="00097A6C">
        <w:rPr>
          <w:rFonts w:hint="eastAsia"/>
          <w:color w:val="000000"/>
          <w:sz w:val="24"/>
        </w:rPr>
        <w:t>0</w:t>
      </w:r>
      <w:r w:rsidR="001F7D2A" w:rsidRPr="00097A6C">
        <w:rPr>
          <w:rFonts w:hint="eastAsia"/>
          <w:color w:val="000000"/>
          <w:sz w:val="24"/>
        </w:rPr>
        <w:t>月</w:t>
      </w:r>
      <w:r w:rsidR="00890F90" w:rsidRPr="00097A6C">
        <w:rPr>
          <w:rFonts w:hint="eastAsia"/>
          <w:color w:val="000000"/>
          <w:sz w:val="24"/>
        </w:rPr>
        <w:t>29</w:t>
      </w:r>
      <w:r w:rsidRPr="00097A6C">
        <w:rPr>
          <w:rFonts w:hint="eastAsia"/>
          <w:color w:val="000000"/>
          <w:sz w:val="24"/>
        </w:rPr>
        <w:t>日起，本公司新增</w:t>
      </w:r>
      <w:r w:rsidR="00890F90" w:rsidRPr="00097A6C">
        <w:rPr>
          <w:rFonts w:hint="eastAsia"/>
          <w:color w:val="000000"/>
          <w:sz w:val="24"/>
        </w:rPr>
        <w:t>嘉实财富</w:t>
      </w:r>
      <w:r w:rsidRPr="00097A6C">
        <w:rPr>
          <w:rFonts w:hint="eastAsia"/>
          <w:color w:val="000000"/>
          <w:sz w:val="24"/>
        </w:rPr>
        <w:t>为旗下部分开放式基金的销售机构。现将有关事宜公告如下：</w:t>
      </w:r>
    </w:p>
    <w:p w:rsidR="00871E0A" w:rsidRPr="00097A6C" w:rsidRDefault="00871E0A" w:rsidP="00871E0A">
      <w:pPr>
        <w:autoSpaceDE w:val="0"/>
        <w:autoSpaceDN w:val="0"/>
        <w:adjustRightInd w:val="0"/>
        <w:spacing w:before="240" w:line="360" w:lineRule="auto"/>
        <w:ind w:firstLineChars="236" w:firstLine="594"/>
        <w:jc w:val="left"/>
        <w:rPr>
          <w:rFonts w:ascii="宋体" w:hAnsi="宋体"/>
          <w:sz w:val="24"/>
        </w:rPr>
      </w:pPr>
      <w:r w:rsidRPr="00097A6C">
        <w:rPr>
          <w:rFonts w:ascii="宋体" w:hAnsi="宋体" w:hint="eastAsia"/>
          <w:sz w:val="24"/>
        </w:rPr>
        <w:t>一、</w:t>
      </w:r>
      <w:r w:rsidR="00925441" w:rsidRPr="00097A6C">
        <w:rPr>
          <w:rFonts w:ascii="宋体" w:hAnsi="宋体" w:hint="eastAsia"/>
          <w:sz w:val="24"/>
        </w:rPr>
        <w:t>适用基金范围</w:t>
      </w:r>
    </w:p>
    <w:p w:rsidR="00010718" w:rsidRPr="00097A6C" w:rsidRDefault="00010718" w:rsidP="00010718">
      <w:pPr>
        <w:ind w:firstLineChars="200" w:firstLine="504"/>
        <w:rPr>
          <w:color w:val="000000"/>
          <w:sz w:val="24"/>
        </w:rPr>
      </w:pPr>
      <w:r w:rsidRPr="00097A6C">
        <w:rPr>
          <w:rFonts w:hint="eastAsia"/>
          <w:color w:val="000000"/>
          <w:sz w:val="24"/>
        </w:rPr>
        <w:t>投资者可在</w:t>
      </w:r>
      <w:r w:rsidR="00890F90" w:rsidRPr="00097A6C">
        <w:rPr>
          <w:rFonts w:hint="eastAsia"/>
          <w:color w:val="000000"/>
          <w:sz w:val="24"/>
        </w:rPr>
        <w:t>嘉实财富</w:t>
      </w:r>
      <w:r w:rsidRPr="00097A6C">
        <w:rPr>
          <w:rFonts w:hint="eastAsia"/>
          <w:color w:val="000000"/>
          <w:sz w:val="24"/>
        </w:rPr>
        <w:t>进行</w:t>
      </w:r>
      <w:r w:rsidRPr="00097A6C">
        <w:rPr>
          <w:rFonts w:ascii="宋体" w:hAnsi="宋体" w:hint="eastAsia"/>
          <w:color w:val="000000"/>
          <w:sz w:val="24"/>
        </w:rPr>
        <w:t>旗下开放式基金</w:t>
      </w:r>
      <w:r w:rsidRPr="00097A6C">
        <w:rPr>
          <w:rFonts w:hint="eastAsia"/>
          <w:color w:val="000000"/>
          <w:sz w:val="24"/>
        </w:rPr>
        <w:t>的开户</w:t>
      </w:r>
      <w:r w:rsidR="001F7D2A" w:rsidRPr="00097A6C">
        <w:rPr>
          <w:rFonts w:hint="eastAsia"/>
          <w:color w:val="000000"/>
          <w:sz w:val="24"/>
        </w:rPr>
        <w:t>、</w:t>
      </w:r>
      <w:r w:rsidRPr="00097A6C">
        <w:rPr>
          <w:rFonts w:hint="eastAsia"/>
          <w:color w:val="000000"/>
          <w:sz w:val="24"/>
        </w:rPr>
        <w:t>申购、赎回</w:t>
      </w:r>
      <w:r w:rsidR="0015190E" w:rsidRPr="00097A6C">
        <w:rPr>
          <w:rFonts w:hint="eastAsia"/>
          <w:color w:val="000000"/>
          <w:sz w:val="24"/>
        </w:rPr>
        <w:t>及其他</w:t>
      </w:r>
      <w:r w:rsidRPr="00097A6C">
        <w:rPr>
          <w:rFonts w:hint="eastAsia"/>
          <w:color w:val="000000"/>
          <w:sz w:val="24"/>
        </w:rPr>
        <w:t>业务，具体办理程序应遵循</w:t>
      </w:r>
      <w:r w:rsidR="00890F90" w:rsidRPr="00097A6C">
        <w:rPr>
          <w:rFonts w:hint="eastAsia"/>
          <w:color w:val="000000"/>
          <w:sz w:val="24"/>
        </w:rPr>
        <w:t>嘉实财富</w:t>
      </w:r>
      <w:r w:rsidRPr="00097A6C">
        <w:rPr>
          <w:rFonts w:hint="eastAsia"/>
          <w:color w:val="000000"/>
          <w:sz w:val="24"/>
        </w:rPr>
        <w:t>的相关规定。</w:t>
      </w:r>
      <w:r w:rsidR="00890F90" w:rsidRPr="00097A6C">
        <w:rPr>
          <w:rFonts w:hint="eastAsia"/>
          <w:color w:val="000000"/>
          <w:sz w:val="24"/>
        </w:rPr>
        <w:t xml:space="preserve"> </w:t>
      </w:r>
    </w:p>
    <w:tbl>
      <w:tblPr>
        <w:tblW w:w="4876"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95"/>
        <w:gridCol w:w="5448"/>
        <w:gridCol w:w="1782"/>
      </w:tblGrid>
      <w:tr w:rsidR="00745B32" w:rsidRPr="00097A6C" w:rsidTr="00ED2056">
        <w:trPr>
          <w:jc w:val="center"/>
        </w:trPr>
        <w:tc>
          <w:tcPr>
            <w:tcW w:w="857" w:type="pct"/>
            <w:vAlign w:val="center"/>
          </w:tcPr>
          <w:p w:rsidR="00745B32" w:rsidRPr="00097A6C" w:rsidRDefault="00745B32" w:rsidP="0014251D">
            <w:pPr>
              <w:snapToGrid w:val="0"/>
              <w:spacing w:beforeLines="50" w:line="360" w:lineRule="auto"/>
              <w:jc w:val="center"/>
              <w:rPr>
                <w:b/>
                <w:color w:val="000000"/>
                <w:sz w:val="24"/>
              </w:rPr>
            </w:pPr>
            <w:r w:rsidRPr="00097A6C">
              <w:rPr>
                <w:rFonts w:hint="eastAsia"/>
                <w:b/>
                <w:color w:val="000000"/>
                <w:sz w:val="24"/>
              </w:rPr>
              <w:t>序号</w:t>
            </w:r>
          </w:p>
        </w:tc>
        <w:tc>
          <w:tcPr>
            <w:tcW w:w="3122" w:type="pct"/>
            <w:vAlign w:val="center"/>
          </w:tcPr>
          <w:p w:rsidR="00745B32" w:rsidRPr="00097A6C" w:rsidRDefault="00745B32" w:rsidP="0014251D">
            <w:pPr>
              <w:snapToGrid w:val="0"/>
              <w:spacing w:beforeLines="50" w:line="360" w:lineRule="auto"/>
              <w:jc w:val="center"/>
              <w:rPr>
                <w:b/>
                <w:color w:val="000000"/>
                <w:sz w:val="24"/>
              </w:rPr>
            </w:pPr>
            <w:r w:rsidRPr="00097A6C">
              <w:rPr>
                <w:b/>
                <w:color w:val="000000"/>
                <w:sz w:val="24"/>
              </w:rPr>
              <w:t>基金名称</w:t>
            </w:r>
          </w:p>
        </w:tc>
        <w:tc>
          <w:tcPr>
            <w:tcW w:w="1021" w:type="pct"/>
            <w:vAlign w:val="center"/>
          </w:tcPr>
          <w:p w:rsidR="00745B32" w:rsidRPr="00097A6C" w:rsidRDefault="00745B32" w:rsidP="0014251D">
            <w:pPr>
              <w:snapToGrid w:val="0"/>
              <w:spacing w:beforeLines="50" w:line="360" w:lineRule="auto"/>
              <w:jc w:val="center"/>
              <w:rPr>
                <w:rFonts w:hint="eastAsia"/>
                <w:b/>
                <w:color w:val="000000"/>
                <w:sz w:val="24"/>
              </w:rPr>
            </w:pPr>
            <w:r w:rsidRPr="00097A6C">
              <w:rPr>
                <w:rFonts w:hint="eastAsia"/>
                <w:b/>
                <w:color w:val="000000"/>
                <w:sz w:val="24"/>
              </w:rPr>
              <w:t>基金代码</w:t>
            </w:r>
          </w:p>
        </w:tc>
      </w:tr>
      <w:tr w:rsidR="00881C76" w:rsidRPr="00097A6C" w:rsidTr="00ED2056">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881C76" w:rsidRPr="00097A6C" w:rsidRDefault="00890F90" w:rsidP="00881C76">
            <w:pPr>
              <w:snapToGrid w:val="0"/>
              <w:spacing w:beforeLines="50" w:line="360" w:lineRule="auto"/>
              <w:jc w:val="center"/>
              <w:rPr>
                <w:rFonts w:hint="eastAsia"/>
                <w:color w:val="000000"/>
                <w:szCs w:val="21"/>
              </w:rPr>
            </w:pPr>
            <w:r w:rsidRPr="00097A6C">
              <w:rPr>
                <w:rFonts w:eastAsia="等线" w:hint="eastAsia"/>
                <w:color w:val="000000"/>
                <w:szCs w:val="21"/>
              </w:rPr>
              <w:t>1</w:t>
            </w:r>
          </w:p>
        </w:tc>
        <w:tc>
          <w:tcPr>
            <w:tcW w:w="3122" w:type="pct"/>
            <w:tcBorders>
              <w:top w:val="nil"/>
              <w:left w:val="nil"/>
              <w:bottom w:val="single" w:sz="4" w:space="0" w:color="auto"/>
              <w:right w:val="single" w:sz="4" w:space="0" w:color="auto"/>
            </w:tcBorders>
            <w:shd w:val="clear" w:color="auto" w:fill="auto"/>
            <w:vAlign w:val="center"/>
          </w:tcPr>
          <w:p w:rsidR="00881C76" w:rsidRPr="00097A6C" w:rsidRDefault="00881C76" w:rsidP="00881C76">
            <w:pPr>
              <w:snapToGrid w:val="0"/>
              <w:spacing w:beforeLines="50" w:line="360" w:lineRule="auto"/>
              <w:jc w:val="center"/>
              <w:rPr>
                <w:rFonts w:ascii="宋体" w:hAnsi="宋体" w:hint="eastAsia"/>
                <w:color w:val="000000"/>
                <w:szCs w:val="21"/>
              </w:rPr>
            </w:pPr>
            <w:r w:rsidRPr="00097A6C">
              <w:rPr>
                <w:rFonts w:ascii="宋体" w:hAnsi="宋体" w:hint="eastAsia"/>
                <w:color w:val="000000"/>
                <w:szCs w:val="21"/>
              </w:rPr>
              <w:t>汇丰晋信大盘股票型证券投资基金</w:t>
            </w:r>
            <w:r w:rsidRPr="00097A6C">
              <w:rPr>
                <w:rFonts w:ascii="宋体" w:hAnsi="宋体"/>
                <w:color w:val="000000"/>
                <w:szCs w:val="21"/>
              </w:rPr>
              <w:t>A</w:t>
            </w:r>
            <w:r w:rsidRPr="00097A6C">
              <w:rPr>
                <w:rFonts w:ascii="宋体" w:hAnsi="宋体" w:hint="eastAsia"/>
                <w:color w:val="000000"/>
                <w:szCs w:val="21"/>
              </w:rPr>
              <w:t>类</w:t>
            </w:r>
          </w:p>
        </w:tc>
        <w:tc>
          <w:tcPr>
            <w:tcW w:w="1021" w:type="pct"/>
            <w:tcBorders>
              <w:top w:val="nil"/>
              <w:left w:val="nil"/>
              <w:bottom w:val="single" w:sz="4" w:space="0" w:color="auto"/>
              <w:right w:val="single" w:sz="4" w:space="0" w:color="auto"/>
            </w:tcBorders>
            <w:shd w:val="clear" w:color="auto" w:fill="auto"/>
            <w:vAlign w:val="center"/>
          </w:tcPr>
          <w:p w:rsidR="00881C76" w:rsidRPr="00097A6C" w:rsidRDefault="00881C76" w:rsidP="00881C76">
            <w:pPr>
              <w:snapToGrid w:val="0"/>
              <w:spacing w:beforeLines="50" w:line="360" w:lineRule="auto"/>
              <w:jc w:val="center"/>
              <w:rPr>
                <w:rFonts w:ascii="宋体" w:hAnsi="宋体" w:hint="eastAsia"/>
                <w:color w:val="000000"/>
                <w:szCs w:val="21"/>
              </w:rPr>
            </w:pPr>
            <w:r w:rsidRPr="00097A6C">
              <w:rPr>
                <w:rFonts w:ascii="宋体" w:hAnsi="宋体"/>
                <w:color w:val="000000"/>
                <w:szCs w:val="21"/>
              </w:rPr>
              <w:t>540006</w:t>
            </w:r>
          </w:p>
        </w:tc>
      </w:tr>
      <w:tr w:rsidR="00881C76" w:rsidRPr="00097A6C" w:rsidTr="00ED2056">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881C76" w:rsidRPr="00097A6C" w:rsidRDefault="00890F90" w:rsidP="00881C76">
            <w:pPr>
              <w:snapToGrid w:val="0"/>
              <w:spacing w:beforeLines="50" w:line="360" w:lineRule="auto"/>
              <w:jc w:val="center"/>
              <w:rPr>
                <w:rFonts w:hint="eastAsia"/>
                <w:color w:val="000000"/>
                <w:szCs w:val="21"/>
              </w:rPr>
            </w:pPr>
            <w:r w:rsidRPr="00097A6C">
              <w:rPr>
                <w:rFonts w:eastAsia="等线" w:hint="eastAsia"/>
                <w:color w:val="000000"/>
                <w:szCs w:val="21"/>
              </w:rPr>
              <w:t>2</w:t>
            </w:r>
          </w:p>
        </w:tc>
        <w:tc>
          <w:tcPr>
            <w:tcW w:w="3122" w:type="pct"/>
            <w:tcBorders>
              <w:top w:val="nil"/>
              <w:left w:val="nil"/>
              <w:bottom w:val="single" w:sz="4" w:space="0" w:color="auto"/>
              <w:right w:val="single" w:sz="4" w:space="0" w:color="auto"/>
            </w:tcBorders>
            <w:shd w:val="clear" w:color="auto" w:fill="auto"/>
            <w:vAlign w:val="center"/>
          </w:tcPr>
          <w:p w:rsidR="00881C76" w:rsidRPr="00097A6C" w:rsidRDefault="00881C76" w:rsidP="00881C76">
            <w:pPr>
              <w:snapToGrid w:val="0"/>
              <w:spacing w:beforeLines="50" w:line="360" w:lineRule="auto"/>
              <w:jc w:val="center"/>
              <w:rPr>
                <w:rFonts w:ascii="宋体" w:hAnsi="宋体" w:hint="eastAsia"/>
                <w:color w:val="000000"/>
                <w:szCs w:val="21"/>
              </w:rPr>
            </w:pPr>
            <w:r w:rsidRPr="00097A6C">
              <w:rPr>
                <w:rFonts w:ascii="宋体" w:hAnsi="宋体" w:hint="eastAsia"/>
                <w:color w:val="000000"/>
                <w:szCs w:val="21"/>
              </w:rPr>
              <w:t>汇丰晋信大盘股票型证券投资基金</w:t>
            </w:r>
            <w:r w:rsidRPr="00097A6C">
              <w:rPr>
                <w:rFonts w:ascii="宋体" w:hAnsi="宋体"/>
                <w:color w:val="000000"/>
                <w:szCs w:val="21"/>
              </w:rPr>
              <w:t>C</w:t>
            </w:r>
            <w:r w:rsidRPr="00097A6C">
              <w:rPr>
                <w:rFonts w:ascii="宋体" w:hAnsi="宋体" w:hint="eastAsia"/>
                <w:color w:val="000000"/>
                <w:szCs w:val="21"/>
              </w:rPr>
              <w:t>类</w:t>
            </w:r>
          </w:p>
        </w:tc>
        <w:tc>
          <w:tcPr>
            <w:tcW w:w="1021" w:type="pct"/>
            <w:tcBorders>
              <w:top w:val="nil"/>
              <w:left w:val="nil"/>
              <w:bottom w:val="single" w:sz="4" w:space="0" w:color="auto"/>
              <w:right w:val="single" w:sz="4" w:space="0" w:color="auto"/>
            </w:tcBorders>
            <w:shd w:val="clear" w:color="auto" w:fill="auto"/>
            <w:vAlign w:val="center"/>
          </w:tcPr>
          <w:p w:rsidR="00881C76" w:rsidRPr="00097A6C" w:rsidRDefault="00881C76" w:rsidP="00881C76">
            <w:pPr>
              <w:snapToGrid w:val="0"/>
              <w:spacing w:beforeLines="50" w:line="360" w:lineRule="auto"/>
              <w:jc w:val="center"/>
              <w:rPr>
                <w:rFonts w:ascii="宋体" w:hAnsi="宋体" w:hint="eastAsia"/>
                <w:color w:val="000000"/>
                <w:szCs w:val="21"/>
              </w:rPr>
            </w:pPr>
            <w:r w:rsidRPr="00097A6C">
              <w:rPr>
                <w:rFonts w:ascii="宋体" w:hAnsi="宋体" w:hint="eastAsia"/>
                <w:color w:val="000000"/>
                <w:szCs w:val="21"/>
              </w:rPr>
              <w:t>019243</w:t>
            </w:r>
          </w:p>
        </w:tc>
      </w:tr>
      <w:tr w:rsidR="00881C76" w:rsidRPr="00097A6C" w:rsidTr="00ED2056">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881C76" w:rsidRPr="00097A6C" w:rsidRDefault="00890F90" w:rsidP="00881C76">
            <w:pPr>
              <w:snapToGrid w:val="0"/>
              <w:spacing w:beforeLines="50" w:line="360" w:lineRule="auto"/>
              <w:jc w:val="center"/>
              <w:rPr>
                <w:rFonts w:hint="eastAsia"/>
                <w:color w:val="000000"/>
                <w:szCs w:val="21"/>
              </w:rPr>
            </w:pPr>
            <w:r w:rsidRPr="00097A6C">
              <w:rPr>
                <w:rFonts w:eastAsia="等线" w:hint="eastAsia"/>
                <w:color w:val="000000"/>
                <w:szCs w:val="21"/>
              </w:rPr>
              <w:t>3</w:t>
            </w:r>
          </w:p>
        </w:tc>
        <w:tc>
          <w:tcPr>
            <w:tcW w:w="3122" w:type="pct"/>
            <w:tcBorders>
              <w:top w:val="nil"/>
              <w:left w:val="nil"/>
              <w:bottom w:val="single" w:sz="4" w:space="0" w:color="auto"/>
              <w:right w:val="single" w:sz="4" w:space="0" w:color="auto"/>
            </w:tcBorders>
            <w:shd w:val="clear" w:color="auto" w:fill="auto"/>
            <w:vAlign w:val="center"/>
          </w:tcPr>
          <w:p w:rsidR="00881C76" w:rsidRPr="00097A6C" w:rsidRDefault="00881C76" w:rsidP="00881C76">
            <w:pPr>
              <w:snapToGrid w:val="0"/>
              <w:spacing w:beforeLines="50" w:line="360" w:lineRule="auto"/>
              <w:jc w:val="center"/>
              <w:rPr>
                <w:rFonts w:ascii="宋体" w:hAnsi="宋体" w:hint="eastAsia"/>
                <w:color w:val="000000"/>
                <w:szCs w:val="21"/>
              </w:rPr>
            </w:pPr>
            <w:r w:rsidRPr="00097A6C">
              <w:rPr>
                <w:rFonts w:ascii="宋体" w:hAnsi="宋体" w:hint="eastAsia"/>
                <w:color w:val="000000"/>
                <w:szCs w:val="21"/>
              </w:rPr>
              <w:t>汇丰晋信中小盘股票型证券投资基金</w:t>
            </w:r>
          </w:p>
        </w:tc>
        <w:tc>
          <w:tcPr>
            <w:tcW w:w="1021" w:type="pct"/>
            <w:tcBorders>
              <w:top w:val="nil"/>
              <w:left w:val="nil"/>
              <w:bottom w:val="single" w:sz="4" w:space="0" w:color="auto"/>
              <w:right w:val="single" w:sz="4" w:space="0" w:color="auto"/>
            </w:tcBorders>
            <w:shd w:val="clear" w:color="auto" w:fill="auto"/>
            <w:vAlign w:val="center"/>
          </w:tcPr>
          <w:p w:rsidR="00881C76" w:rsidRPr="00097A6C" w:rsidRDefault="00881C76" w:rsidP="00881C76">
            <w:pPr>
              <w:snapToGrid w:val="0"/>
              <w:spacing w:beforeLines="50" w:line="360" w:lineRule="auto"/>
              <w:jc w:val="center"/>
              <w:rPr>
                <w:rFonts w:ascii="宋体" w:hAnsi="宋体" w:hint="eastAsia"/>
                <w:color w:val="000000"/>
                <w:szCs w:val="21"/>
              </w:rPr>
            </w:pPr>
            <w:r w:rsidRPr="00097A6C">
              <w:rPr>
                <w:rFonts w:ascii="宋体" w:hAnsi="宋体"/>
                <w:color w:val="000000"/>
                <w:szCs w:val="21"/>
              </w:rPr>
              <w:t>540007</w:t>
            </w:r>
          </w:p>
        </w:tc>
      </w:tr>
      <w:tr w:rsidR="00881C76" w:rsidRPr="00097A6C" w:rsidTr="00ED2056">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881C76" w:rsidRPr="00097A6C" w:rsidRDefault="00890F90" w:rsidP="00881C76">
            <w:pPr>
              <w:snapToGrid w:val="0"/>
              <w:spacing w:beforeLines="50" w:line="360" w:lineRule="auto"/>
              <w:jc w:val="center"/>
              <w:rPr>
                <w:rFonts w:hint="eastAsia"/>
                <w:color w:val="000000"/>
                <w:szCs w:val="21"/>
              </w:rPr>
            </w:pPr>
            <w:r w:rsidRPr="00097A6C">
              <w:rPr>
                <w:rFonts w:eastAsia="等线" w:hint="eastAsia"/>
                <w:color w:val="000000"/>
                <w:szCs w:val="21"/>
              </w:rPr>
              <w:t>4</w:t>
            </w:r>
          </w:p>
        </w:tc>
        <w:tc>
          <w:tcPr>
            <w:tcW w:w="3122" w:type="pct"/>
            <w:tcBorders>
              <w:top w:val="nil"/>
              <w:left w:val="nil"/>
              <w:bottom w:val="single" w:sz="4" w:space="0" w:color="auto"/>
              <w:right w:val="single" w:sz="4" w:space="0" w:color="auto"/>
            </w:tcBorders>
            <w:shd w:val="clear" w:color="auto" w:fill="auto"/>
            <w:vAlign w:val="center"/>
          </w:tcPr>
          <w:p w:rsidR="00881C76" w:rsidRPr="00097A6C" w:rsidRDefault="00881C76" w:rsidP="00881C76">
            <w:pPr>
              <w:snapToGrid w:val="0"/>
              <w:spacing w:beforeLines="50" w:line="360" w:lineRule="auto"/>
              <w:jc w:val="center"/>
              <w:rPr>
                <w:rFonts w:ascii="宋体" w:hAnsi="宋体" w:hint="eastAsia"/>
                <w:color w:val="000000"/>
                <w:szCs w:val="21"/>
              </w:rPr>
            </w:pPr>
            <w:r w:rsidRPr="00097A6C">
              <w:rPr>
                <w:rFonts w:ascii="宋体" w:hAnsi="宋体" w:hint="eastAsia"/>
                <w:color w:val="000000"/>
                <w:szCs w:val="21"/>
              </w:rPr>
              <w:t>汇丰晋信消费红利股票型证券投资基金</w:t>
            </w:r>
          </w:p>
        </w:tc>
        <w:tc>
          <w:tcPr>
            <w:tcW w:w="1021" w:type="pct"/>
            <w:tcBorders>
              <w:top w:val="nil"/>
              <w:left w:val="nil"/>
              <w:bottom w:val="single" w:sz="4" w:space="0" w:color="auto"/>
              <w:right w:val="single" w:sz="4" w:space="0" w:color="auto"/>
            </w:tcBorders>
            <w:shd w:val="clear" w:color="auto" w:fill="auto"/>
            <w:vAlign w:val="center"/>
          </w:tcPr>
          <w:p w:rsidR="00881C76" w:rsidRPr="00097A6C" w:rsidRDefault="00881C76" w:rsidP="00881C76">
            <w:pPr>
              <w:snapToGrid w:val="0"/>
              <w:spacing w:beforeLines="50" w:line="360" w:lineRule="auto"/>
              <w:jc w:val="center"/>
              <w:rPr>
                <w:rFonts w:ascii="宋体" w:hAnsi="宋体" w:hint="eastAsia"/>
                <w:color w:val="000000"/>
                <w:szCs w:val="21"/>
              </w:rPr>
            </w:pPr>
            <w:r w:rsidRPr="00097A6C">
              <w:rPr>
                <w:rFonts w:ascii="宋体" w:hAnsi="宋体"/>
                <w:color w:val="000000"/>
                <w:szCs w:val="21"/>
              </w:rPr>
              <w:t>540009</w:t>
            </w:r>
          </w:p>
        </w:tc>
      </w:tr>
      <w:tr w:rsidR="00881C76" w:rsidRPr="00097A6C" w:rsidTr="00ED2056">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881C76" w:rsidRPr="00097A6C" w:rsidRDefault="00890F90" w:rsidP="00881C76">
            <w:pPr>
              <w:snapToGrid w:val="0"/>
              <w:spacing w:beforeLines="50" w:line="360" w:lineRule="auto"/>
              <w:jc w:val="center"/>
              <w:rPr>
                <w:rFonts w:hint="eastAsia"/>
                <w:color w:val="000000"/>
                <w:szCs w:val="21"/>
              </w:rPr>
            </w:pPr>
            <w:r w:rsidRPr="00097A6C">
              <w:rPr>
                <w:rFonts w:eastAsia="等线" w:hint="eastAsia"/>
                <w:color w:val="000000"/>
                <w:szCs w:val="21"/>
              </w:rPr>
              <w:t>5</w:t>
            </w:r>
          </w:p>
        </w:tc>
        <w:tc>
          <w:tcPr>
            <w:tcW w:w="3122" w:type="pct"/>
            <w:tcBorders>
              <w:top w:val="nil"/>
              <w:left w:val="nil"/>
              <w:bottom w:val="single" w:sz="4" w:space="0" w:color="auto"/>
              <w:right w:val="single" w:sz="4" w:space="0" w:color="auto"/>
            </w:tcBorders>
            <w:shd w:val="clear" w:color="auto" w:fill="auto"/>
            <w:vAlign w:val="center"/>
          </w:tcPr>
          <w:p w:rsidR="00881C76" w:rsidRPr="00097A6C" w:rsidRDefault="00881C76" w:rsidP="00881C76">
            <w:pPr>
              <w:snapToGrid w:val="0"/>
              <w:spacing w:beforeLines="50" w:line="360" w:lineRule="auto"/>
              <w:jc w:val="center"/>
              <w:rPr>
                <w:rFonts w:ascii="宋体" w:hAnsi="宋体" w:hint="eastAsia"/>
                <w:color w:val="000000"/>
                <w:szCs w:val="21"/>
              </w:rPr>
            </w:pPr>
            <w:r w:rsidRPr="00097A6C">
              <w:rPr>
                <w:rFonts w:ascii="宋体" w:hAnsi="宋体" w:hint="eastAsia"/>
                <w:color w:val="000000"/>
                <w:szCs w:val="21"/>
              </w:rPr>
              <w:t>汇丰晋信科技先锋股票型证券投资基金</w:t>
            </w:r>
          </w:p>
        </w:tc>
        <w:tc>
          <w:tcPr>
            <w:tcW w:w="1021" w:type="pct"/>
            <w:tcBorders>
              <w:top w:val="nil"/>
              <w:left w:val="nil"/>
              <w:bottom w:val="single" w:sz="4" w:space="0" w:color="auto"/>
              <w:right w:val="single" w:sz="4" w:space="0" w:color="auto"/>
            </w:tcBorders>
            <w:shd w:val="clear" w:color="auto" w:fill="auto"/>
            <w:vAlign w:val="center"/>
          </w:tcPr>
          <w:p w:rsidR="00881C76" w:rsidRPr="00097A6C" w:rsidRDefault="00881C76" w:rsidP="00881C76">
            <w:pPr>
              <w:snapToGrid w:val="0"/>
              <w:spacing w:beforeLines="50" w:line="360" w:lineRule="auto"/>
              <w:jc w:val="center"/>
              <w:rPr>
                <w:rFonts w:ascii="宋体" w:hAnsi="宋体" w:hint="eastAsia"/>
                <w:color w:val="000000"/>
                <w:szCs w:val="21"/>
              </w:rPr>
            </w:pPr>
            <w:r w:rsidRPr="00097A6C">
              <w:rPr>
                <w:rFonts w:ascii="宋体" w:hAnsi="宋体"/>
                <w:color w:val="000000"/>
                <w:szCs w:val="21"/>
              </w:rPr>
              <w:t>540010</w:t>
            </w:r>
          </w:p>
        </w:tc>
      </w:tr>
      <w:tr w:rsidR="00881C76" w:rsidRPr="00097A6C" w:rsidTr="00ED2056">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881C76" w:rsidRPr="00097A6C" w:rsidRDefault="00890F90" w:rsidP="00881C76">
            <w:pPr>
              <w:snapToGrid w:val="0"/>
              <w:spacing w:beforeLines="50" w:line="360" w:lineRule="auto"/>
              <w:jc w:val="center"/>
              <w:rPr>
                <w:rFonts w:hint="eastAsia"/>
                <w:color w:val="000000"/>
                <w:szCs w:val="21"/>
              </w:rPr>
            </w:pPr>
            <w:r w:rsidRPr="00097A6C">
              <w:rPr>
                <w:rFonts w:eastAsia="等线" w:hint="eastAsia"/>
                <w:color w:val="000000"/>
                <w:szCs w:val="21"/>
              </w:rPr>
              <w:t>6</w:t>
            </w:r>
          </w:p>
        </w:tc>
        <w:tc>
          <w:tcPr>
            <w:tcW w:w="3122" w:type="pct"/>
            <w:tcBorders>
              <w:top w:val="nil"/>
              <w:left w:val="nil"/>
              <w:bottom w:val="single" w:sz="4" w:space="0" w:color="auto"/>
              <w:right w:val="single" w:sz="4" w:space="0" w:color="auto"/>
            </w:tcBorders>
            <w:shd w:val="clear" w:color="auto" w:fill="auto"/>
            <w:vAlign w:val="center"/>
          </w:tcPr>
          <w:p w:rsidR="00881C76" w:rsidRPr="00097A6C" w:rsidRDefault="00881C76" w:rsidP="00881C76">
            <w:pPr>
              <w:snapToGrid w:val="0"/>
              <w:spacing w:beforeLines="50" w:line="360" w:lineRule="auto"/>
              <w:jc w:val="center"/>
              <w:rPr>
                <w:rFonts w:ascii="宋体" w:hAnsi="宋体" w:hint="eastAsia"/>
                <w:color w:val="000000"/>
                <w:szCs w:val="21"/>
              </w:rPr>
            </w:pPr>
            <w:r w:rsidRPr="00097A6C">
              <w:rPr>
                <w:rFonts w:ascii="宋体" w:hAnsi="宋体" w:hint="eastAsia"/>
                <w:color w:val="000000"/>
                <w:szCs w:val="21"/>
              </w:rPr>
              <w:t>汇丰晋信货币市场基金B类</w:t>
            </w:r>
          </w:p>
        </w:tc>
        <w:tc>
          <w:tcPr>
            <w:tcW w:w="1021" w:type="pct"/>
            <w:tcBorders>
              <w:top w:val="nil"/>
              <w:left w:val="nil"/>
              <w:bottom w:val="single" w:sz="4" w:space="0" w:color="auto"/>
              <w:right w:val="single" w:sz="4" w:space="0" w:color="auto"/>
            </w:tcBorders>
            <w:shd w:val="clear" w:color="auto" w:fill="auto"/>
            <w:vAlign w:val="center"/>
          </w:tcPr>
          <w:p w:rsidR="00881C76" w:rsidRPr="00097A6C" w:rsidRDefault="00881C76" w:rsidP="00881C76">
            <w:pPr>
              <w:snapToGrid w:val="0"/>
              <w:spacing w:beforeLines="50" w:line="360" w:lineRule="auto"/>
              <w:jc w:val="center"/>
              <w:rPr>
                <w:rFonts w:ascii="宋体" w:hAnsi="宋体" w:hint="eastAsia"/>
                <w:color w:val="000000"/>
                <w:szCs w:val="21"/>
              </w:rPr>
            </w:pPr>
            <w:r w:rsidRPr="00097A6C">
              <w:rPr>
                <w:rFonts w:ascii="宋体" w:hAnsi="宋体"/>
                <w:color w:val="000000"/>
                <w:szCs w:val="21"/>
              </w:rPr>
              <w:t>541011</w:t>
            </w:r>
          </w:p>
        </w:tc>
      </w:tr>
      <w:tr w:rsidR="00890F90" w:rsidRPr="00097A6C" w:rsidTr="00ED2056">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eastAsia="等线"/>
                <w:color w:val="000000"/>
                <w:szCs w:val="21"/>
              </w:rPr>
            </w:pPr>
            <w:r w:rsidRPr="00097A6C">
              <w:rPr>
                <w:rFonts w:eastAsia="等线" w:hint="eastAsia"/>
                <w:color w:val="000000"/>
                <w:szCs w:val="21"/>
              </w:rPr>
              <w:t>7</w:t>
            </w:r>
          </w:p>
        </w:tc>
        <w:tc>
          <w:tcPr>
            <w:tcW w:w="3122" w:type="pct"/>
            <w:tcBorders>
              <w:top w:val="nil"/>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hint="eastAsia"/>
                <w:color w:val="000000"/>
                <w:szCs w:val="21"/>
              </w:rPr>
            </w:pPr>
            <w:r w:rsidRPr="00097A6C">
              <w:rPr>
                <w:rFonts w:ascii="宋体" w:hAnsi="宋体" w:hint="eastAsia"/>
                <w:color w:val="000000"/>
                <w:szCs w:val="21"/>
              </w:rPr>
              <w:t>汇丰晋信货币市场基金C类</w:t>
            </w:r>
          </w:p>
        </w:tc>
        <w:tc>
          <w:tcPr>
            <w:tcW w:w="1021" w:type="pct"/>
            <w:tcBorders>
              <w:top w:val="nil"/>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color w:val="000000"/>
                <w:szCs w:val="21"/>
              </w:rPr>
            </w:pPr>
            <w:r w:rsidRPr="00097A6C">
              <w:rPr>
                <w:rFonts w:ascii="宋体" w:hAnsi="宋体" w:hint="eastAsia"/>
                <w:color w:val="000000"/>
                <w:szCs w:val="21"/>
              </w:rPr>
              <w:t>018782</w:t>
            </w:r>
          </w:p>
        </w:tc>
      </w:tr>
      <w:tr w:rsidR="00890F90" w:rsidRPr="00097A6C" w:rsidTr="00ED2056">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hint="eastAsia"/>
                <w:color w:val="000000"/>
                <w:szCs w:val="21"/>
              </w:rPr>
            </w:pPr>
            <w:r w:rsidRPr="00097A6C">
              <w:rPr>
                <w:rFonts w:eastAsia="等线" w:hint="eastAsia"/>
                <w:color w:val="000000"/>
                <w:szCs w:val="21"/>
              </w:rPr>
              <w:lastRenderedPageBreak/>
              <w:t>8</w:t>
            </w:r>
          </w:p>
        </w:tc>
        <w:tc>
          <w:tcPr>
            <w:tcW w:w="3122" w:type="pct"/>
            <w:tcBorders>
              <w:top w:val="nil"/>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hint="eastAsia"/>
                <w:color w:val="000000"/>
                <w:szCs w:val="21"/>
              </w:rPr>
            </w:pPr>
            <w:r w:rsidRPr="00097A6C">
              <w:rPr>
                <w:rFonts w:ascii="宋体" w:hAnsi="宋体" w:hint="eastAsia"/>
                <w:color w:val="000000"/>
                <w:szCs w:val="21"/>
              </w:rPr>
              <w:t>汇丰晋信沪港深股票型证券投资基金A类</w:t>
            </w:r>
          </w:p>
        </w:tc>
        <w:tc>
          <w:tcPr>
            <w:tcW w:w="1021" w:type="pct"/>
            <w:tcBorders>
              <w:top w:val="nil"/>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hint="eastAsia"/>
                <w:color w:val="000000"/>
                <w:szCs w:val="21"/>
              </w:rPr>
            </w:pPr>
            <w:r w:rsidRPr="00097A6C">
              <w:rPr>
                <w:rFonts w:ascii="宋体" w:hAnsi="宋体"/>
                <w:color w:val="000000"/>
                <w:szCs w:val="21"/>
              </w:rPr>
              <w:t>002332</w:t>
            </w:r>
          </w:p>
        </w:tc>
      </w:tr>
      <w:tr w:rsidR="00890F90" w:rsidRPr="00097A6C" w:rsidTr="00ED2056">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hint="eastAsia"/>
                <w:color w:val="000000"/>
                <w:szCs w:val="21"/>
              </w:rPr>
            </w:pPr>
            <w:r w:rsidRPr="00097A6C">
              <w:rPr>
                <w:rFonts w:eastAsia="等线" w:hint="eastAsia"/>
                <w:color w:val="000000"/>
                <w:szCs w:val="21"/>
              </w:rPr>
              <w:t>9</w:t>
            </w:r>
          </w:p>
        </w:tc>
        <w:tc>
          <w:tcPr>
            <w:tcW w:w="3122" w:type="pct"/>
            <w:tcBorders>
              <w:top w:val="nil"/>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hint="eastAsia"/>
                <w:color w:val="000000"/>
                <w:szCs w:val="21"/>
              </w:rPr>
            </w:pPr>
            <w:r w:rsidRPr="00097A6C">
              <w:rPr>
                <w:rFonts w:ascii="宋体" w:hAnsi="宋体" w:hint="eastAsia"/>
                <w:color w:val="000000"/>
                <w:szCs w:val="21"/>
              </w:rPr>
              <w:t>汇丰晋信沪港深股票型证券投资基金C类</w:t>
            </w:r>
          </w:p>
        </w:tc>
        <w:tc>
          <w:tcPr>
            <w:tcW w:w="1021" w:type="pct"/>
            <w:tcBorders>
              <w:top w:val="nil"/>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hint="eastAsia"/>
                <w:color w:val="000000"/>
                <w:szCs w:val="21"/>
              </w:rPr>
            </w:pPr>
            <w:r w:rsidRPr="00097A6C">
              <w:rPr>
                <w:rFonts w:ascii="宋体" w:hAnsi="宋体"/>
                <w:color w:val="000000"/>
                <w:szCs w:val="21"/>
              </w:rPr>
              <w:t>002333</w:t>
            </w:r>
          </w:p>
        </w:tc>
      </w:tr>
      <w:tr w:rsidR="00890F90" w:rsidRPr="00097A6C" w:rsidTr="00ED2056">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hint="eastAsia"/>
                <w:color w:val="000000"/>
                <w:szCs w:val="21"/>
              </w:rPr>
            </w:pPr>
            <w:r w:rsidRPr="00097A6C">
              <w:rPr>
                <w:rFonts w:eastAsia="等线" w:hint="eastAsia"/>
                <w:color w:val="000000"/>
                <w:szCs w:val="21"/>
              </w:rPr>
              <w:t>10</w:t>
            </w:r>
          </w:p>
        </w:tc>
        <w:tc>
          <w:tcPr>
            <w:tcW w:w="3122" w:type="pct"/>
            <w:tcBorders>
              <w:top w:val="nil"/>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hint="eastAsia"/>
                <w:color w:val="000000"/>
                <w:szCs w:val="21"/>
              </w:rPr>
            </w:pPr>
            <w:r w:rsidRPr="00097A6C">
              <w:rPr>
                <w:rFonts w:ascii="宋体" w:hAnsi="宋体" w:hint="eastAsia"/>
                <w:color w:val="000000"/>
                <w:szCs w:val="21"/>
              </w:rPr>
              <w:t>汇丰晋信大盘波动精选股票型证券投资基金A类</w:t>
            </w:r>
          </w:p>
        </w:tc>
        <w:tc>
          <w:tcPr>
            <w:tcW w:w="1021" w:type="pct"/>
            <w:tcBorders>
              <w:top w:val="nil"/>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hint="eastAsia"/>
                <w:color w:val="000000"/>
                <w:szCs w:val="21"/>
              </w:rPr>
            </w:pPr>
            <w:r w:rsidRPr="00097A6C">
              <w:rPr>
                <w:rFonts w:ascii="宋体" w:hAnsi="宋体"/>
                <w:color w:val="000000"/>
                <w:szCs w:val="21"/>
              </w:rPr>
              <w:t>002334</w:t>
            </w:r>
          </w:p>
        </w:tc>
      </w:tr>
      <w:tr w:rsidR="00890F90" w:rsidRPr="00097A6C" w:rsidTr="00ED2056">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hint="eastAsia"/>
                <w:color w:val="000000"/>
                <w:szCs w:val="21"/>
              </w:rPr>
            </w:pPr>
            <w:r w:rsidRPr="00097A6C">
              <w:rPr>
                <w:rFonts w:eastAsia="等线" w:hint="eastAsia"/>
                <w:color w:val="000000"/>
                <w:szCs w:val="21"/>
              </w:rPr>
              <w:t>11</w:t>
            </w:r>
          </w:p>
        </w:tc>
        <w:tc>
          <w:tcPr>
            <w:tcW w:w="3122" w:type="pct"/>
            <w:tcBorders>
              <w:top w:val="nil"/>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hint="eastAsia"/>
                <w:color w:val="000000"/>
                <w:szCs w:val="21"/>
              </w:rPr>
            </w:pPr>
            <w:r w:rsidRPr="00097A6C">
              <w:rPr>
                <w:rFonts w:ascii="宋体" w:hAnsi="宋体" w:hint="eastAsia"/>
                <w:color w:val="000000"/>
                <w:szCs w:val="21"/>
              </w:rPr>
              <w:t>汇丰晋信大盘波动精选股票型证券投资基金C类</w:t>
            </w:r>
          </w:p>
        </w:tc>
        <w:tc>
          <w:tcPr>
            <w:tcW w:w="1021" w:type="pct"/>
            <w:tcBorders>
              <w:top w:val="nil"/>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hint="eastAsia"/>
                <w:color w:val="000000"/>
                <w:szCs w:val="21"/>
              </w:rPr>
            </w:pPr>
            <w:r w:rsidRPr="00097A6C">
              <w:rPr>
                <w:rFonts w:ascii="宋体" w:hAnsi="宋体"/>
                <w:color w:val="000000"/>
                <w:szCs w:val="21"/>
              </w:rPr>
              <w:t>002335</w:t>
            </w:r>
          </w:p>
        </w:tc>
      </w:tr>
      <w:tr w:rsidR="00890F90" w:rsidRPr="00097A6C" w:rsidTr="00ED2056">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color w:val="000000"/>
                <w:szCs w:val="21"/>
              </w:rPr>
            </w:pPr>
            <w:r w:rsidRPr="00097A6C">
              <w:rPr>
                <w:rFonts w:eastAsia="等线" w:hint="eastAsia"/>
                <w:color w:val="000000"/>
                <w:szCs w:val="21"/>
              </w:rPr>
              <w:t>1</w:t>
            </w:r>
            <w:r w:rsidRPr="00097A6C">
              <w:rPr>
                <w:rFonts w:eastAsia="等线"/>
                <w:color w:val="000000"/>
                <w:szCs w:val="21"/>
              </w:rPr>
              <w:t>2</w:t>
            </w:r>
          </w:p>
        </w:tc>
        <w:tc>
          <w:tcPr>
            <w:tcW w:w="3122" w:type="pct"/>
            <w:tcBorders>
              <w:top w:val="nil"/>
              <w:left w:val="nil"/>
              <w:bottom w:val="single" w:sz="4" w:space="0" w:color="auto"/>
              <w:right w:val="single" w:sz="4" w:space="0" w:color="auto"/>
            </w:tcBorders>
            <w:shd w:val="clear" w:color="auto" w:fill="auto"/>
            <w:vAlign w:val="center"/>
          </w:tcPr>
          <w:p w:rsidR="00890F90" w:rsidRPr="00097A6C" w:rsidRDefault="00890F90" w:rsidP="00890F90">
            <w:pPr>
              <w:widowControl/>
              <w:snapToGrid w:val="0"/>
              <w:spacing w:beforeLines="50" w:line="360" w:lineRule="auto"/>
              <w:jc w:val="center"/>
              <w:rPr>
                <w:rFonts w:ascii="宋体" w:hAnsi="宋体"/>
                <w:color w:val="000000"/>
                <w:szCs w:val="21"/>
              </w:rPr>
            </w:pPr>
            <w:r w:rsidRPr="00097A6C">
              <w:rPr>
                <w:rFonts w:ascii="宋体" w:hAnsi="宋体" w:hint="eastAsia"/>
                <w:color w:val="000000"/>
                <w:szCs w:val="21"/>
              </w:rPr>
              <w:t>汇丰晋信价值先锋股票型证券投资基金A类</w:t>
            </w:r>
          </w:p>
        </w:tc>
        <w:tc>
          <w:tcPr>
            <w:tcW w:w="1021" w:type="pct"/>
            <w:tcBorders>
              <w:top w:val="nil"/>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hint="eastAsia"/>
                <w:color w:val="000000"/>
                <w:szCs w:val="21"/>
              </w:rPr>
            </w:pPr>
            <w:r w:rsidRPr="00097A6C">
              <w:rPr>
                <w:rFonts w:ascii="宋体" w:hAnsi="宋体" w:hint="eastAsia"/>
                <w:color w:val="000000"/>
                <w:szCs w:val="21"/>
              </w:rPr>
              <w:t>004350</w:t>
            </w:r>
          </w:p>
        </w:tc>
      </w:tr>
      <w:tr w:rsidR="00890F90" w:rsidRPr="00097A6C" w:rsidTr="00ED2056">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color w:val="000000"/>
                <w:szCs w:val="21"/>
              </w:rPr>
            </w:pPr>
            <w:r w:rsidRPr="00097A6C">
              <w:rPr>
                <w:rFonts w:eastAsia="等线" w:hint="eastAsia"/>
                <w:color w:val="000000"/>
                <w:szCs w:val="21"/>
              </w:rPr>
              <w:t>1</w:t>
            </w:r>
            <w:r w:rsidRPr="00097A6C">
              <w:rPr>
                <w:rFonts w:eastAsia="等线"/>
                <w:color w:val="000000"/>
                <w:szCs w:val="21"/>
              </w:rPr>
              <w:t>3</w:t>
            </w:r>
          </w:p>
        </w:tc>
        <w:tc>
          <w:tcPr>
            <w:tcW w:w="3122" w:type="pct"/>
            <w:tcBorders>
              <w:top w:val="nil"/>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hint="eastAsia"/>
                <w:color w:val="000000"/>
                <w:szCs w:val="21"/>
              </w:rPr>
            </w:pPr>
            <w:r w:rsidRPr="00097A6C">
              <w:rPr>
                <w:rFonts w:ascii="宋体" w:hAnsi="宋体" w:hint="eastAsia"/>
                <w:color w:val="000000"/>
                <w:szCs w:val="21"/>
              </w:rPr>
              <w:t>汇丰晋信价值先锋股票型证券投资基金C类</w:t>
            </w:r>
          </w:p>
        </w:tc>
        <w:tc>
          <w:tcPr>
            <w:tcW w:w="1021" w:type="pct"/>
            <w:tcBorders>
              <w:top w:val="nil"/>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hint="eastAsia"/>
                <w:color w:val="000000"/>
                <w:szCs w:val="21"/>
              </w:rPr>
            </w:pPr>
            <w:r w:rsidRPr="00097A6C">
              <w:rPr>
                <w:rFonts w:ascii="宋体" w:hAnsi="宋体" w:hint="eastAsia"/>
                <w:color w:val="000000"/>
                <w:szCs w:val="21"/>
              </w:rPr>
              <w:t>015364</w:t>
            </w:r>
          </w:p>
        </w:tc>
      </w:tr>
      <w:tr w:rsidR="00890F90" w:rsidRPr="00097A6C" w:rsidTr="00ED2056">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hint="eastAsia"/>
                <w:color w:val="000000"/>
                <w:szCs w:val="21"/>
              </w:rPr>
            </w:pPr>
            <w:r w:rsidRPr="00097A6C">
              <w:rPr>
                <w:rFonts w:eastAsia="等线" w:hint="eastAsia"/>
                <w:color w:val="000000"/>
                <w:szCs w:val="21"/>
              </w:rPr>
              <w:t>14</w:t>
            </w:r>
          </w:p>
        </w:tc>
        <w:tc>
          <w:tcPr>
            <w:tcW w:w="3122" w:type="pct"/>
            <w:tcBorders>
              <w:top w:val="nil"/>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hint="eastAsia"/>
                <w:color w:val="000000"/>
                <w:szCs w:val="21"/>
              </w:rPr>
            </w:pPr>
            <w:r w:rsidRPr="00097A6C">
              <w:rPr>
                <w:rFonts w:ascii="宋体" w:hAnsi="宋体" w:hint="eastAsia"/>
                <w:color w:val="000000"/>
                <w:szCs w:val="21"/>
              </w:rPr>
              <w:t>汇丰晋信港股通精选股票型证券投资基金</w:t>
            </w:r>
          </w:p>
        </w:tc>
        <w:tc>
          <w:tcPr>
            <w:tcW w:w="1021" w:type="pct"/>
            <w:tcBorders>
              <w:top w:val="nil"/>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color w:val="000000"/>
                <w:szCs w:val="21"/>
              </w:rPr>
            </w:pPr>
            <w:r w:rsidRPr="00097A6C">
              <w:rPr>
                <w:rFonts w:ascii="宋体" w:hAnsi="宋体" w:hint="eastAsia"/>
                <w:color w:val="000000"/>
                <w:szCs w:val="21"/>
              </w:rPr>
              <w:t>006781</w:t>
            </w:r>
          </w:p>
        </w:tc>
      </w:tr>
      <w:tr w:rsidR="00890F90" w:rsidRPr="00097A6C" w:rsidTr="00ED2056">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hint="eastAsia"/>
                <w:color w:val="000000"/>
                <w:szCs w:val="21"/>
              </w:rPr>
            </w:pPr>
            <w:r w:rsidRPr="00097A6C">
              <w:rPr>
                <w:rFonts w:eastAsia="等线" w:hint="eastAsia"/>
                <w:color w:val="000000"/>
                <w:szCs w:val="21"/>
              </w:rPr>
              <w:t>15</w:t>
            </w:r>
          </w:p>
        </w:tc>
        <w:tc>
          <w:tcPr>
            <w:tcW w:w="3122" w:type="pct"/>
            <w:tcBorders>
              <w:top w:val="nil"/>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hint="eastAsia"/>
                <w:color w:val="000000"/>
                <w:szCs w:val="21"/>
              </w:rPr>
            </w:pPr>
            <w:r w:rsidRPr="00097A6C">
              <w:rPr>
                <w:rFonts w:ascii="宋体" w:hAnsi="宋体" w:hint="eastAsia"/>
                <w:color w:val="000000"/>
                <w:szCs w:val="21"/>
              </w:rPr>
              <w:t>汇丰晋信中小盘低波动策略股票型证券投资基金A类</w:t>
            </w:r>
          </w:p>
        </w:tc>
        <w:tc>
          <w:tcPr>
            <w:tcW w:w="1021" w:type="pct"/>
            <w:tcBorders>
              <w:top w:val="nil"/>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hint="eastAsia"/>
                <w:color w:val="000000"/>
                <w:szCs w:val="21"/>
              </w:rPr>
            </w:pPr>
            <w:r w:rsidRPr="00097A6C">
              <w:rPr>
                <w:rFonts w:ascii="宋体" w:hAnsi="宋体"/>
                <w:color w:val="000000"/>
                <w:szCs w:val="21"/>
              </w:rPr>
              <w:t>009658</w:t>
            </w:r>
          </w:p>
        </w:tc>
      </w:tr>
      <w:tr w:rsidR="00890F90" w:rsidRPr="00097A6C" w:rsidTr="00ED2056">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hint="eastAsia"/>
                <w:color w:val="000000"/>
                <w:szCs w:val="21"/>
              </w:rPr>
            </w:pPr>
            <w:r w:rsidRPr="00097A6C">
              <w:rPr>
                <w:rFonts w:eastAsia="等线" w:hint="eastAsia"/>
                <w:color w:val="000000"/>
                <w:szCs w:val="21"/>
              </w:rPr>
              <w:t>16</w:t>
            </w:r>
          </w:p>
        </w:tc>
        <w:tc>
          <w:tcPr>
            <w:tcW w:w="3122" w:type="pct"/>
            <w:tcBorders>
              <w:top w:val="nil"/>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hint="eastAsia"/>
                <w:color w:val="000000"/>
                <w:szCs w:val="21"/>
              </w:rPr>
            </w:pPr>
            <w:r w:rsidRPr="00097A6C">
              <w:rPr>
                <w:rFonts w:ascii="宋体" w:hAnsi="宋体" w:hint="eastAsia"/>
                <w:color w:val="000000"/>
                <w:szCs w:val="21"/>
              </w:rPr>
              <w:t>汇丰晋信中小盘低波动策略股票型证券投资基金C类</w:t>
            </w:r>
          </w:p>
        </w:tc>
        <w:tc>
          <w:tcPr>
            <w:tcW w:w="1021" w:type="pct"/>
            <w:tcBorders>
              <w:top w:val="nil"/>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hint="eastAsia"/>
                <w:color w:val="000000"/>
                <w:szCs w:val="21"/>
              </w:rPr>
            </w:pPr>
            <w:r w:rsidRPr="00097A6C">
              <w:rPr>
                <w:rFonts w:ascii="宋体" w:hAnsi="宋体"/>
                <w:color w:val="000000"/>
                <w:szCs w:val="21"/>
              </w:rPr>
              <w:t>009775</w:t>
            </w:r>
          </w:p>
        </w:tc>
      </w:tr>
      <w:tr w:rsidR="00890F90" w:rsidRPr="00097A6C" w:rsidTr="00ED2056">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hint="eastAsia"/>
                <w:color w:val="000000"/>
                <w:szCs w:val="21"/>
              </w:rPr>
            </w:pPr>
            <w:r w:rsidRPr="00097A6C">
              <w:rPr>
                <w:rFonts w:eastAsia="等线" w:hint="eastAsia"/>
                <w:color w:val="000000"/>
                <w:szCs w:val="21"/>
              </w:rPr>
              <w:t>17</w:t>
            </w:r>
          </w:p>
        </w:tc>
        <w:tc>
          <w:tcPr>
            <w:tcW w:w="3122" w:type="pct"/>
            <w:tcBorders>
              <w:top w:val="nil"/>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hint="eastAsia"/>
                <w:color w:val="000000"/>
                <w:szCs w:val="21"/>
              </w:rPr>
            </w:pPr>
            <w:r w:rsidRPr="00097A6C">
              <w:rPr>
                <w:rFonts w:ascii="宋体" w:hAnsi="宋体" w:hint="eastAsia"/>
                <w:color w:val="000000"/>
                <w:szCs w:val="21"/>
              </w:rPr>
              <w:t>汇丰晋信创新先锋股票型证券投资基金</w:t>
            </w:r>
          </w:p>
        </w:tc>
        <w:tc>
          <w:tcPr>
            <w:tcW w:w="1021" w:type="pct"/>
            <w:tcBorders>
              <w:top w:val="nil"/>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color w:val="000000"/>
                <w:szCs w:val="21"/>
              </w:rPr>
            </w:pPr>
            <w:r w:rsidRPr="00097A6C">
              <w:rPr>
                <w:rFonts w:ascii="宋体" w:hAnsi="宋体"/>
                <w:color w:val="000000"/>
                <w:szCs w:val="21"/>
              </w:rPr>
              <w:t>011077</w:t>
            </w:r>
          </w:p>
        </w:tc>
      </w:tr>
      <w:tr w:rsidR="00890F90" w:rsidRPr="00097A6C" w:rsidTr="00ED2056">
        <w:trPr>
          <w:jc w:val="center"/>
        </w:trPr>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hint="eastAsia"/>
                <w:color w:val="000000"/>
                <w:szCs w:val="21"/>
              </w:rPr>
            </w:pPr>
            <w:r w:rsidRPr="00097A6C">
              <w:rPr>
                <w:rFonts w:eastAsia="等线" w:hint="eastAsia"/>
                <w:color w:val="000000"/>
                <w:szCs w:val="21"/>
              </w:rPr>
              <w:t>18</w:t>
            </w:r>
          </w:p>
        </w:tc>
        <w:tc>
          <w:tcPr>
            <w:tcW w:w="3122" w:type="pct"/>
            <w:tcBorders>
              <w:top w:val="single" w:sz="4" w:space="0" w:color="auto"/>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hint="eastAsia"/>
                <w:color w:val="000000"/>
                <w:szCs w:val="21"/>
              </w:rPr>
            </w:pPr>
            <w:r w:rsidRPr="00097A6C">
              <w:rPr>
                <w:rFonts w:ascii="宋体" w:hAnsi="宋体" w:hint="eastAsia"/>
                <w:color w:val="000000"/>
                <w:szCs w:val="21"/>
              </w:rPr>
              <w:t>汇丰晋信中证同业存单AAA指数7天持有期证券投资基金</w:t>
            </w:r>
          </w:p>
        </w:tc>
        <w:tc>
          <w:tcPr>
            <w:tcW w:w="1021" w:type="pct"/>
            <w:tcBorders>
              <w:top w:val="single" w:sz="4" w:space="0" w:color="auto"/>
              <w:left w:val="nil"/>
              <w:bottom w:val="single" w:sz="4" w:space="0" w:color="auto"/>
              <w:right w:val="single" w:sz="4" w:space="0" w:color="auto"/>
            </w:tcBorders>
            <w:shd w:val="clear" w:color="auto" w:fill="auto"/>
            <w:vAlign w:val="center"/>
          </w:tcPr>
          <w:p w:rsidR="00890F90" w:rsidRPr="00097A6C" w:rsidRDefault="00890F90" w:rsidP="00890F90">
            <w:pPr>
              <w:snapToGrid w:val="0"/>
              <w:spacing w:beforeLines="50" w:line="360" w:lineRule="auto"/>
              <w:jc w:val="center"/>
              <w:rPr>
                <w:rFonts w:ascii="宋体" w:hAnsi="宋体" w:hint="eastAsia"/>
                <w:color w:val="000000"/>
                <w:szCs w:val="21"/>
              </w:rPr>
            </w:pPr>
            <w:r w:rsidRPr="00097A6C">
              <w:rPr>
                <w:rFonts w:ascii="宋体" w:hAnsi="宋体" w:hint="eastAsia"/>
                <w:color w:val="000000"/>
                <w:szCs w:val="21"/>
              </w:rPr>
              <w:t>019017</w:t>
            </w:r>
          </w:p>
        </w:tc>
      </w:tr>
    </w:tbl>
    <w:p w:rsidR="00C02C6B" w:rsidRPr="00097A6C" w:rsidRDefault="00C02C6B" w:rsidP="00ED2056">
      <w:pPr>
        <w:rPr>
          <w:rFonts w:hint="eastAsia"/>
          <w:color w:val="000000"/>
          <w:sz w:val="24"/>
        </w:rPr>
      </w:pPr>
    </w:p>
    <w:p w:rsidR="00A13756" w:rsidRPr="00097A6C" w:rsidRDefault="00C02C6B" w:rsidP="00917A6E">
      <w:pPr>
        <w:ind w:firstLineChars="200" w:firstLine="504"/>
        <w:rPr>
          <w:rFonts w:ascii="宋体" w:hAnsi="宋体" w:hint="eastAsia"/>
          <w:sz w:val="24"/>
        </w:rPr>
      </w:pPr>
      <w:r w:rsidRPr="00097A6C">
        <w:rPr>
          <w:rFonts w:ascii="宋体" w:hAnsi="宋体" w:hint="eastAsia"/>
          <w:sz w:val="24"/>
        </w:rPr>
        <w:t>二</w:t>
      </w:r>
      <w:r w:rsidR="00A13756" w:rsidRPr="00097A6C">
        <w:rPr>
          <w:rFonts w:ascii="宋体" w:hAnsi="宋体" w:hint="eastAsia"/>
          <w:sz w:val="24"/>
        </w:rPr>
        <w:t>、投资者可通过以下途径咨询详情</w:t>
      </w:r>
    </w:p>
    <w:p w:rsidR="00890F90" w:rsidRPr="00AA0E6F" w:rsidRDefault="002535CF" w:rsidP="00890F90">
      <w:pPr>
        <w:tabs>
          <w:tab w:val="left" w:pos="720"/>
        </w:tabs>
        <w:ind w:firstLineChars="200" w:firstLine="504"/>
        <w:rPr>
          <w:color w:val="000000"/>
          <w:sz w:val="24"/>
        </w:rPr>
      </w:pPr>
      <w:r w:rsidRPr="00097A6C">
        <w:rPr>
          <w:rFonts w:hint="eastAsia"/>
          <w:sz w:val="24"/>
        </w:rPr>
        <w:t>（</w:t>
      </w:r>
      <w:r w:rsidRPr="00097A6C">
        <w:rPr>
          <w:rFonts w:hint="eastAsia"/>
          <w:sz w:val="24"/>
        </w:rPr>
        <w:t>1</w:t>
      </w:r>
      <w:r w:rsidRPr="00097A6C">
        <w:rPr>
          <w:rFonts w:hint="eastAsia"/>
          <w:sz w:val="24"/>
        </w:rPr>
        <w:t>）</w:t>
      </w:r>
      <w:r w:rsidR="00890F90" w:rsidRPr="00097A6C">
        <w:rPr>
          <w:rFonts w:hint="eastAsia"/>
          <w:sz w:val="24"/>
        </w:rPr>
        <w:t>嘉实</w:t>
      </w:r>
      <w:r w:rsidR="00890F90" w:rsidRPr="00AA0E6F">
        <w:rPr>
          <w:rFonts w:hint="eastAsia"/>
          <w:color w:val="000000"/>
          <w:sz w:val="24"/>
        </w:rPr>
        <w:t>财富管理有限公司</w:t>
      </w:r>
    </w:p>
    <w:p w:rsidR="00890F90" w:rsidRPr="00AA0E6F" w:rsidRDefault="00890F90" w:rsidP="00890F90">
      <w:pPr>
        <w:tabs>
          <w:tab w:val="left" w:pos="720"/>
        </w:tabs>
        <w:ind w:firstLineChars="200" w:firstLine="504"/>
        <w:rPr>
          <w:color w:val="000000"/>
          <w:sz w:val="24"/>
        </w:rPr>
      </w:pPr>
      <w:r w:rsidRPr="00AA0E6F">
        <w:rPr>
          <w:rFonts w:hint="eastAsia"/>
          <w:color w:val="000000"/>
          <w:sz w:val="24"/>
        </w:rPr>
        <w:t>公司网站：</w:t>
      </w:r>
      <w:r w:rsidRPr="00AA0E6F">
        <w:rPr>
          <w:color w:val="000000"/>
          <w:sz w:val="24"/>
        </w:rPr>
        <w:t>www.harvestwm.cn</w:t>
      </w:r>
    </w:p>
    <w:p w:rsidR="00890F90" w:rsidRPr="00AA0E6F" w:rsidRDefault="00890F90" w:rsidP="00890F90">
      <w:pPr>
        <w:tabs>
          <w:tab w:val="left" w:pos="720"/>
        </w:tabs>
        <w:ind w:firstLineChars="200" w:firstLine="504"/>
        <w:rPr>
          <w:color w:val="000000"/>
          <w:sz w:val="24"/>
        </w:rPr>
      </w:pPr>
      <w:r w:rsidRPr="00AA0E6F">
        <w:rPr>
          <w:rFonts w:hint="eastAsia"/>
          <w:color w:val="000000"/>
          <w:sz w:val="24"/>
        </w:rPr>
        <w:t>客户服务电话：</w:t>
      </w:r>
      <w:r w:rsidRPr="00AA0E6F">
        <w:rPr>
          <w:color w:val="000000"/>
          <w:sz w:val="24"/>
        </w:rPr>
        <w:t>400-021-8850</w:t>
      </w:r>
    </w:p>
    <w:p w:rsidR="00ED2056" w:rsidRPr="00AA0E6F" w:rsidRDefault="00ED2056" w:rsidP="00890F90">
      <w:pPr>
        <w:tabs>
          <w:tab w:val="left" w:pos="720"/>
        </w:tabs>
        <w:ind w:firstLineChars="200" w:firstLine="504"/>
        <w:rPr>
          <w:color w:val="000000"/>
          <w:sz w:val="24"/>
        </w:rPr>
      </w:pPr>
    </w:p>
    <w:p w:rsidR="002535CF" w:rsidRPr="00AA0E6F" w:rsidRDefault="002535CF" w:rsidP="00890F90">
      <w:pPr>
        <w:tabs>
          <w:tab w:val="left" w:pos="720"/>
        </w:tabs>
        <w:ind w:firstLineChars="200" w:firstLine="504"/>
        <w:rPr>
          <w:rFonts w:hint="eastAsia"/>
          <w:color w:val="000000"/>
          <w:sz w:val="24"/>
        </w:rPr>
      </w:pPr>
      <w:r w:rsidRPr="00AA0E6F">
        <w:rPr>
          <w:rFonts w:hint="eastAsia"/>
          <w:color w:val="000000"/>
          <w:sz w:val="24"/>
        </w:rPr>
        <w:t>（</w:t>
      </w:r>
      <w:r w:rsidRPr="00AA0E6F">
        <w:rPr>
          <w:rFonts w:hint="eastAsia"/>
          <w:color w:val="000000"/>
          <w:sz w:val="24"/>
        </w:rPr>
        <w:t>2</w:t>
      </w:r>
      <w:r w:rsidRPr="00AA0E6F">
        <w:rPr>
          <w:rFonts w:hint="eastAsia"/>
          <w:color w:val="000000"/>
          <w:sz w:val="24"/>
        </w:rPr>
        <w:t>）汇丰晋信基金管理有限公司</w:t>
      </w:r>
    </w:p>
    <w:p w:rsidR="002535CF" w:rsidRPr="00AA0E6F" w:rsidRDefault="002535CF" w:rsidP="00890F90">
      <w:pPr>
        <w:tabs>
          <w:tab w:val="left" w:pos="720"/>
        </w:tabs>
        <w:ind w:firstLineChars="200" w:firstLine="504"/>
        <w:rPr>
          <w:rFonts w:hint="eastAsia"/>
          <w:color w:val="000000"/>
          <w:sz w:val="24"/>
        </w:rPr>
      </w:pPr>
      <w:r w:rsidRPr="00AA0E6F">
        <w:rPr>
          <w:rFonts w:hint="eastAsia"/>
          <w:color w:val="000000"/>
          <w:sz w:val="24"/>
        </w:rPr>
        <w:t>公司网站：</w:t>
      </w:r>
      <w:hyperlink r:id="rId7" w:history="1">
        <w:r w:rsidRPr="00AA0E6F">
          <w:rPr>
            <w:rFonts w:hint="eastAsia"/>
            <w:color w:val="000000"/>
            <w:sz w:val="24"/>
          </w:rPr>
          <w:t>www.hsbcjt.cn</w:t>
        </w:r>
      </w:hyperlink>
    </w:p>
    <w:p w:rsidR="002535CF" w:rsidRPr="00AA0E6F" w:rsidRDefault="002535CF" w:rsidP="00890F90">
      <w:pPr>
        <w:tabs>
          <w:tab w:val="left" w:pos="720"/>
        </w:tabs>
        <w:ind w:firstLineChars="200" w:firstLine="504"/>
        <w:rPr>
          <w:rFonts w:hint="eastAsia"/>
          <w:color w:val="000000"/>
          <w:sz w:val="24"/>
        </w:rPr>
      </w:pPr>
      <w:r w:rsidRPr="00AA0E6F">
        <w:rPr>
          <w:rFonts w:hint="eastAsia"/>
          <w:color w:val="000000"/>
          <w:sz w:val="24"/>
        </w:rPr>
        <w:lastRenderedPageBreak/>
        <w:t>客户服务电话：</w:t>
      </w:r>
      <w:r w:rsidRPr="00AA0E6F">
        <w:rPr>
          <w:rFonts w:hint="eastAsia"/>
          <w:color w:val="000000"/>
          <w:sz w:val="24"/>
        </w:rPr>
        <w:t>021-20376888</w:t>
      </w:r>
    </w:p>
    <w:p w:rsidR="00A13756" w:rsidRPr="00AA0E6F" w:rsidRDefault="006F4383" w:rsidP="00A13756">
      <w:pPr>
        <w:autoSpaceDE w:val="0"/>
        <w:autoSpaceDN w:val="0"/>
        <w:adjustRightInd w:val="0"/>
        <w:spacing w:before="240" w:line="360" w:lineRule="auto"/>
        <w:ind w:firstLineChars="236" w:firstLine="594"/>
        <w:jc w:val="left"/>
        <w:rPr>
          <w:rFonts w:hint="eastAsia"/>
          <w:color w:val="000000"/>
          <w:sz w:val="24"/>
        </w:rPr>
      </w:pPr>
      <w:r w:rsidRPr="00AA0E6F">
        <w:rPr>
          <w:rFonts w:hint="eastAsia"/>
          <w:color w:val="000000"/>
          <w:sz w:val="24"/>
        </w:rPr>
        <w:t>三</w:t>
      </w:r>
      <w:r w:rsidR="00A13756" w:rsidRPr="00AA0E6F">
        <w:rPr>
          <w:rFonts w:hint="eastAsia"/>
          <w:color w:val="000000"/>
          <w:sz w:val="24"/>
        </w:rPr>
        <w:t>、</w:t>
      </w:r>
      <w:r w:rsidR="00A13756" w:rsidRPr="00AA0E6F">
        <w:rPr>
          <w:color w:val="000000"/>
          <w:sz w:val="24"/>
        </w:rPr>
        <w:t>其他需要提示的事项</w:t>
      </w:r>
    </w:p>
    <w:p w:rsidR="00AA0E6F" w:rsidRDefault="002535CF">
      <w:pPr>
        <w:tabs>
          <w:tab w:val="left" w:pos="720"/>
        </w:tabs>
        <w:ind w:firstLineChars="200" w:firstLine="504"/>
        <w:rPr>
          <w:sz w:val="24"/>
        </w:rPr>
      </w:pPr>
      <w:r w:rsidRPr="00097A6C">
        <w:rPr>
          <w:rFonts w:hint="eastAsia"/>
          <w:sz w:val="24"/>
        </w:rPr>
        <w:t>（</w:t>
      </w:r>
      <w:r w:rsidRPr="00097A6C">
        <w:rPr>
          <w:rFonts w:hint="eastAsia"/>
          <w:sz w:val="24"/>
        </w:rPr>
        <w:t>1</w:t>
      </w:r>
      <w:r w:rsidRPr="00097A6C">
        <w:rPr>
          <w:rFonts w:hint="eastAsia"/>
          <w:sz w:val="24"/>
        </w:rPr>
        <w:t>）</w:t>
      </w:r>
      <w:r w:rsidR="00AA0E6F" w:rsidRPr="00AA0E6F">
        <w:rPr>
          <w:rFonts w:hint="eastAsia"/>
          <w:sz w:val="24"/>
        </w:rPr>
        <w:t>自</w:t>
      </w:r>
      <w:r w:rsidR="00AA0E6F" w:rsidRPr="00AA0E6F">
        <w:rPr>
          <w:rFonts w:hint="eastAsia"/>
          <w:sz w:val="24"/>
        </w:rPr>
        <w:t>2025</w:t>
      </w:r>
      <w:r w:rsidR="00AA0E6F" w:rsidRPr="00AA0E6F">
        <w:rPr>
          <w:rFonts w:hint="eastAsia"/>
          <w:sz w:val="24"/>
        </w:rPr>
        <w:t>年</w:t>
      </w:r>
      <w:r w:rsidR="00AA0E6F">
        <w:rPr>
          <w:rFonts w:hint="eastAsia"/>
          <w:sz w:val="24"/>
        </w:rPr>
        <w:t>10</w:t>
      </w:r>
      <w:r w:rsidR="00AA0E6F" w:rsidRPr="00AA0E6F">
        <w:rPr>
          <w:rFonts w:hint="eastAsia"/>
          <w:sz w:val="24"/>
        </w:rPr>
        <w:t>月</w:t>
      </w:r>
      <w:r w:rsidR="00AA0E6F" w:rsidRPr="00AA0E6F">
        <w:rPr>
          <w:rFonts w:hint="eastAsia"/>
          <w:sz w:val="24"/>
        </w:rPr>
        <w:t>2</w:t>
      </w:r>
      <w:r w:rsidR="00AA0E6F">
        <w:rPr>
          <w:rFonts w:hint="eastAsia"/>
          <w:sz w:val="24"/>
        </w:rPr>
        <w:t>8</w:t>
      </w:r>
      <w:r w:rsidR="00AA0E6F" w:rsidRPr="00AA0E6F">
        <w:rPr>
          <w:rFonts w:hint="eastAsia"/>
          <w:sz w:val="24"/>
        </w:rPr>
        <w:t>日起，本公司有权拒绝个人投资者在嘉实财富单日累计申购（含普通定期定额投资及转换转入）汇丰晋信货币市场基金</w:t>
      </w:r>
      <w:r w:rsidR="00AA0E6F" w:rsidRPr="00AA0E6F">
        <w:rPr>
          <w:rFonts w:hint="eastAsia"/>
          <w:sz w:val="24"/>
        </w:rPr>
        <w:t>B</w:t>
      </w:r>
      <w:r w:rsidR="00AA0E6F" w:rsidRPr="00AA0E6F">
        <w:rPr>
          <w:rFonts w:hint="eastAsia"/>
          <w:sz w:val="24"/>
        </w:rPr>
        <w:t>级基金份额和</w:t>
      </w:r>
      <w:r w:rsidR="00AA0E6F" w:rsidRPr="00AA0E6F">
        <w:rPr>
          <w:rFonts w:hint="eastAsia"/>
          <w:sz w:val="24"/>
        </w:rPr>
        <w:t>C</w:t>
      </w:r>
      <w:r w:rsidR="00AA0E6F" w:rsidRPr="00AA0E6F">
        <w:rPr>
          <w:rFonts w:hint="eastAsia"/>
          <w:sz w:val="24"/>
        </w:rPr>
        <w:t>级基金份额超过</w:t>
      </w:r>
      <w:r w:rsidR="00AA0E6F" w:rsidRPr="00AA0E6F">
        <w:rPr>
          <w:rFonts w:hint="eastAsia"/>
          <w:sz w:val="24"/>
        </w:rPr>
        <w:t>500</w:t>
      </w:r>
      <w:r w:rsidR="00AA0E6F" w:rsidRPr="00AA0E6F">
        <w:rPr>
          <w:rFonts w:hint="eastAsia"/>
          <w:sz w:val="24"/>
        </w:rPr>
        <w:t>万元的申请，有权拒绝机构投资者在嘉实财富单日累计申购（含普通定期定额投资及转换转入）汇丰晋信货币市场基金</w:t>
      </w:r>
      <w:r w:rsidR="00AA0E6F" w:rsidRPr="00AA0E6F">
        <w:rPr>
          <w:rFonts w:hint="eastAsia"/>
          <w:sz w:val="24"/>
        </w:rPr>
        <w:t>B</w:t>
      </w:r>
      <w:r w:rsidR="00AA0E6F" w:rsidRPr="00AA0E6F">
        <w:rPr>
          <w:rFonts w:hint="eastAsia"/>
          <w:sz w:val="24"/>
        </w:rPr>
        <w:t>级基金份额和</w:t>
      </w:r>
      <w:r w:rsidR="00AA0E6F" w:rsidRPr="00AA0E6F">
        <w:rPr>
          <w:rFonts w:hint="eastAsia"/>
          <w:sz w:val="24"/>
        </w:rPr>
        <w:t>C</w:t>
      </w:r>
      <w:r w:rsidR="00AA0E6F" w:rsidRPr="00AA0E6F">
        <w:rPr>
          <w:rFonts w:hint="eastAsia"/>
          <w:sz w:val="24"/>
        </w:rPr>
        <w:t>级基金份额超过</w:t>
      </w:r>
      <w:r w:rsidR="00AA0E6F" w:rsidRPr="00AA0E6F">
        <w:rPr>
          <w:rFonts w:hint="eastAsia"/>
          <w:sz w:val="24"/>
        </w:rPr>
        <w:t>100</w:t>
      </w:r>
      <w:r w:rsidR="00AA0E6F" w:rsidRPr="00AA0E6F">
        <w:rPr>
          <w:rFonts w:hint="eastAsia"/>
          <w:sz w:val="24"/>
        </w:rPr>
        <w:t>万元的申请，</w:t>
      </w:r>
      <w:r w:rsidR="00AA0E6F" w:rsidRPr="00AA0E6F">
        <w:rPr>
          <w:rFonts w:hint="eastAsia"/>
          <w:sz w:val="24"/>
        </w:rPr>
        <w:t>B</w:t>
      </w:r>
      <w:r w:rsidR="00AA0E6F" w:rsidRPr="00AA0E6F">
        <w:rPr>
          <w:rFonts w:hint="eastAsia"/>
          <w:sz w:val="24"/>
        </w:rPr>
        <w:t>级基金份额和</w:t>
      </w:r>
      <w:r w:rsidR="00AA0E6F" w:rsidRPr="00AA0E6F">
        <w:rPr>
          <w:rFonts w:hint="eastAsia"/>
          <w:sz w:val="24"/>
        </w:rPr>
        <w:t>C</w:t>
      </w:r>
      <w:r w:rsidR="00AA0E6F" w:rsidRPr="00AA0E6F">
        <w:rPr>
          <w:rFonts w:hint="eastAsia"/>
          <w:sz w:val="24"/>
        </w:rPr>
        <w:t>级基金份额分别判断。对于投资者提交的申请，本基金管理人将根据基金资产运作情况进行评估。</w:t>
      </w:r>
    </w:p>
    <w:p w:rsidR="000F6E91" w:rsidRPr="00097A6C" w:rsidRDefault="00AA0E6F">
      <w:pPr>
        <w:tabs>
          <w:tab w:val="left" w:pos="720"/>
        </w:tabs>
        <w:ind w:firstLineChars="200" w:firstLine="504"/>
        <w:rPr>
          <w:sz w:val="24"/>
        </w:rPr>
      </w:pPr>
      <w:r w:rsidRPr="00097A6C">
        <w:rPr>
          <w:rFonts w:hint="eastAsia"/>
          <w:sz w:val="24"/>
        </w:rPr>
        <w:t>（</w:t>
      </w:r>
      <w:r w:rsidRPr="00097A6C">
        <w:rPr>
          <w:rFonts w:hint="eastAsia"/>
          <w:sz w:val="24"/>
        </w:rPr>
        <w:t>2</w:t>
      </w:r>
      <w:r w:rsidRPr="00097A6C">
        <w:rPr>
          <w:rFonts w:hint="eastAsia"/>
          <w:sz w:val="24"/>
        </w:rPr>
        <w:t>）</w:t>
      </w:r>
      <w:r w:rsidR="000F6E91" w:rsidRPr="00097A6C">
        <w:rPr>
          <w:rFonts w:hint="eastAsia"/>
          <w:sz w:val="24"/>
        </w:rPr>
        <w:t>本公告仅对本公司</w:t>
      </w:r>
      <w:r w:rsidR="00B77744" w:rsidRPr="00097A6C">
        <w:rPr>
          <w:rFonts w:hint="eastAsia"/>
          <w:sz w:val="24"/>
        </w:rPr>
        <w:t>新增</w:t>
      </w:r>
      <w:r w:rsidR="00890F90" w:rsidRPr="00097A6C">
        <w:rPr>
          <w:rFonts w:hint="eastAsia"/>
          <w:sz w:val="24"/>
        </w:rPr>
        <w:t>嘉实财富</w:t>
      </w:r>
      <w:r w:rsidR="00B77744" w:rsidRPr="00097A6C">
        <w:rPr>
          <w:rFonts w:hint="eastAsia"/>
          <w:sz w:val="24"/>
        </w:rPr>
        <w:t>为旗下部分开放式基金代销机构予以说明</w:t>
      </w:r>
      <w:r w:rsidR="00D31428" w:rsidRPr="00097A6C">
        <w:rPr>
          <w:rFonts w:hint="eastAsia"/>
          <w:sz w:val="24"/>
        </w:rPr>
        <w:t>。</w:t>
      </w:r>
      <w:r w:rsidR="00CC6822" w:rsidRPr="00097A6C">
        <w:rPr>
          <w:rFonts w:hint="eastAsia"/>
          <w:sz w:val="24"/>
        </w:rPr>
        <w:t>代销机构是否支持办理本基金的定期定额投资及转换业务以代销机构规定为准，具体业务规则请遵循各代销机构的具体规则执行。</w:t>
      </w:r>
      <w:r w:rsidR="00D071A9" w:rsidRPr="00097A6C">
        <w:rPr>
          <w:rFonts w:hint="eastAsia"/>
          <w:sz w:val="24"/>
        </w:rPr>
        <w:t>代销机构可以在不违反法律法规规定及基金合同约定的情形下根据市场情况制定基金促销计划，定期或不定期地开展基金促销活动，具体促销安排和业务规则以代销机构的规定和执行为准。投资者欲了解基金的详细情况，请仔细阅读基金合同、最新的招募说明书等相关基金法律文件。</w:t>
      </w:r>
    </w:p>
    <w:p w:rsidR="002535CF" w:rsidRPr="00097A6C" w:rsidRDefault="00AA0E6F">
      <w:pPr>
        <w:ind w:firstLineChars="200" w:firstLine="504"/>
        <w:rPr>
          <w:sz w:val="24"/>
        </w:rPr>
      </w:pPr>
      <w:r w:rsidRPr="00097A6C">
        <w:rPr>
          <w:rFonts w:hint="eastAsia"/>
          <w:sz w:val="24"/>
        </w:rPr>
        <w:t>（</w:t>
      </w:r>
      <w:r>
        <w:rPr>
          <w:rFonts w:hint="eastAsia"/>
          <w:sz w:val="24"/>
        </w:rPr>
        <w:t>3</w:t>
      </w:r>
      <w:r w:rsidRPr="00097A6C">
        <w:rPr>
          <w:rFonts w:hint="eastAsia"/>
          <w:sz w:val="24"/>
        </w:rPr>
        <w:t>）</w:t>
      </w:r>
      <w:r w:rsidR="002535CF" w:rsidRPr="00097A6C">
        <w:rPr>
          <w:rFonts w:hint="eastAsia"/>
          <w:sz w:val="24"/>
        </w:rPr>
        <w:t>风险提示：本基金管理人承诺以诚实信用、勤勉尽责的原则管理和运用基金资产，但不保证本基金一定盈利，也不保证最低收益。基金的过往业绩及其净值高低并不预示其未来业绩表现，基金管理人管理的其他基金的业绩不构成对新基金业绩表现的保证。投资有风险，敬请投资者在投资基金前认真阅读《基金合同》、《招募说明书》</w:t>
      </w:r>
      <w:r w:rsidR="00871E0A" w:rsidRPr="00097A6C">
        <w:rPr>
          <w:rFonts w:hint="eastAsia"/>
          <w:sz w:val="24"/>
        </w:rPr>
        <w:t>、《产品资料概要》</w:t>
      </w:r>
      <w:r w:rsidR="002535CF" w:rsidRPr="00097A6C">
        <w:rPr>
          <w:rFonts w:hint="eastAsia"/>
          <w:sz w:val="24"/>
        </w:rPr>
        <w:t>等基金法律文件，了解基金的风险收益特征，并根据自身的风险承受能力选择适合自己的基金产品。基金管理人提醒投资人基金投资的“买者自负”原则，在做出投资决策后，基金运营状况与基金净值变化引致的投资风险，由投资人自行负担。敬请投资人在购买基金前认真考虑、谨慎决策。</w:t>
      </w:r>
    </w:p>
    <w:p w:rsidR="00C65BE0" w:rsidRPr="00097A6C" w:rsidRDefault="00C65BE0">
      <w:pPr>
        <w:ind w:firstLineChars="200" w:firstLine="504"/>
        <w:rPr>
          <w:rFonts w:hint="eastAsia"/>
          <w:sz w:val="24"/>
        </w:rPr>
      </w:pPr>
      <w:r w:rsidRPr="00097A6C">
        <w:rPr>
          <w:rFonts w:hint="eastAsia"/>
          <w:sz w:val="24"/>
        </w:rPr>
        <w:t>通过港股通机制参与香港股票市场交易的公募基金会面临港股通机制下因投资环境、投资标的、市场制度以及交易规则等差异带来的特有风险，包括港股市场股价波动较大的风险（港股市场实行</w:t>
      </w:r>
      <w:r w:rsidRPr="00097A6C">
        <w:rPr>
          <w:rFonts w:hint="eastAsia"/>
          <w:sz w:val="24"/>
        </w:rPr>
        <w:t>T+0</w:t>
      </w:r>
      <w:r w:rsidRPr="00097A6C">
        <w:rPr>
          <w:rFonts w:hint="eastAsia"/>
          <w:sz w:val="24"/>
        </w:rPr>
        <w:t>回转交易，且对个股不设涨跌幅限制，港股股价可能表示出比</w:t>
      </w:r>
      <w:r w:rsidRPr="00097A6C">
        <w:rPr>
          <w:rFonts w:hint="eastAsia"/>
          <w:sz w:val="24"/>
        </w:rPr>
        <w:t>A</w:t>
      </w:r>
      <w:r w:rsidRPr="00097A6C">
        <w:rPr>
          <w:rFonts w:hint="eastAsia"/>
          <w:sz w:val="24"/>
        </w:rPr>
        <w:t>股更为剧烈的股价波动）、汇率风险</w:t>
      </w:r>
      <w:r w:rsidRPr="00097A6C">
        <w:rPr>
          <w:rFonts w:hint="eastAsia"/>
          <w:sz w:val="24"/>
        </w:rPr>
        <w:t>(</w:t>
      </w:r>
      <w:r w:rsidRPr="00097A6C">
        <w:rPr>
          <w:rFonts w:hint="eastAsia"/>
          <w:sz w:val="24"/>
        </w:rPr>
        <w:t>汇率波动可能对基金的投资收益造成损失</w:t>
      </w:r>
      <w:r w:rsidRPr="00097A6C">
        <w:rPr>
          <w:rFonts w:hint="eastAsia"/>
          <w:sz w:val="24"/>
        </w:rPr>
        <w:t>)</w:t>
      </w:r>
      <w:r w:rsidRPr="00097A6C">
        <w:rPr>
          <w:rFonts w:hint="eastAsia"/>
          <w:sz w:val="24"/>
        </w:rPr>
        <w:t>、港股通机制下交易日不连贯可能带来的风险（在内地开市香港休市的情形下，港股通不能正常交易，港股不能及时卖出，可能带来一定的流动风险）等。基金可根据投资策略需要或不同配置地市场环境的变化，选择将部分基金资产投资于港股或选择不将基金资产投资于港股，基金资产并非必然投资港股。</w:t>
      </w:r>
    </w:p>
    <w:p w:rsidR="00531F17" w:rsidRPr="00097A6C" w:rsidRDefault="00531F17" w:rsidP="00DA4272">
      <w:pPr>
        <w:ind w:firstLineChars="200" w:firstLine="504"/>
        <w:rPr>
          <w:rFonts w:hint="eastAsia"/>
          <w:sz w:val="24"/>
        </w:rPr>
      </w:pPr>
      <w:r w:rsidRPr="00097A6C">
        <w:rPr>
          <w:rFonts w:hint="eastAsia"/>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2535CF" w:rsidRPr="00097A6C" w:rsidRDefault="002535CF">
      <w:pPr>
        <w:ind w:firstLineChars="200" w:firstLine="504"/>
        <w:rPr>
          <w:rFonts w:hint="eastAsia"/>
          <w:sz w:val="24"/>
        </w:rPr>
      </w:pPr>
      <w:r w:rsidRPr="00097A6C">
        <w:rPr>
          <w:rFonts w:hint="eastAsia"/>
          <w:sz w:val="24"/>
        </w:rPr>
        <w:t>特此公告。</w:t>
      </w:r>
    </w:p>
    <w:p w:rsidR="002535CF" w:rsidRPr="00097A6C" w:rsidRDefault="002535CF">
      <w:pPr>
        <w:ind w:firstLineChars="200" w:firstLine="504"/>
        <w:rPr>
          <w:rFonts w:hint="eastAsia"/>
          <w:sz w:val="24"/>
        </w:rPr>
      </w:pPr>
    </w:p>
    <w:p w:rsidR="002535CF" w:rsidRPr="00097A6C" w:rsidRDefault="002535CF">
      <w:pPr>
        <w:wordWrap w:val="0"/>
        <w:jc w:val="right"/>
        <w:rPr>
          <w:rFonts w:hint="eastAsia"/>
          <w:sz w:val="24"/>
        </w:rPr>
      </w:pPr>
      <w:r w:rsidRPr="00097A6C">
        <w:rPr>
          <w:rFonts w:hint="eastAsia"/>
          <w:sz w:val="24"/>
        </w:rPr>
        <w:t xml:space="preserve">  </w:t>
      </w:r>
      <w:r w:rsidRPr="00097A6C">
        <w:rPr>
          <w:rFonts w:hint="eastAsia"/>
          <w:sz w:val="24"/>
        </w:rPr>
        <w:t>汇丰晋信基金管理有限公司</w:t>
      </w:r>
      <w:r w:rsidRPr="00097A6C">
        <w:rPr>
          <w:rFonts w:hint="eastAsia"/>
          <w:sz w:val="24"/>
        </w:rPr>
        <w:t xml:space="preserve"> </w:t>
      </w:r>
    </w:p>
    <w:p w:rsidR="002535CF" w:rsidRPr="00097A6C" w:rsidRDefault="002535CF">
      <w:pPr>
        <w:jc w:val="right"/>
        <w:rPr>
          <w:rFonts w:hint="eastAsia"/>
          <w:sz w:val="24"/>
        </w:rPr>
      </w:pPr>
      <w:r w:rsidRPr="00097A6C">
        <w:rPr>
          <w:rFonts w:hint="eastAsia"/>
          <w:sz w:val="24"/>
        </w:rPr>
        <w:t xml:space="preserve">     </w:t>
      </w:r>
    </w:p>
    <w:p w:rsidR="002535CF" w:rsidRDefault="00623C5B">
      <w:pPr>
        <w:wordWrap w:val="0"/>
        <w:jc w:val="right"/>
        <w:rPr>
          <w:rFonts w:hint="eastAsia"/>
        </w:rPr>
      </w:pPr>
      <w:r w:rsidRPr="00097A6C">
        <w:rPr>
          <w:rFonts w:ascii="宋体" w:hAnsi="宋体"/>
          <w:sz w:val="24"/>
        </w:rPr>
        <w:t>20</w:t>
      </w:r>
      <w:r w:rsidR="00871E0A" w:rsidRPr="00097A6C">
        <w:rPr>
          <w:rFonts w:ascii="宋体" w:hAnsi="宋体" w:hint="eastAsia"/>
          <w:sz w:val="24"/>
        </w:rPr>
        <w:t>2</w:t>
      </w:r>
      <w:r w:rsidR="00890F90" w:rsidRPr="00097A6C">
        <w:rPr>
          <w:rFonts w:ascii="宋体" w:hAnsi="宋体" w:hint="eastAsia"/>
          <w:sz w:val="24"/>
        </w:rPr>
        <w:t>5</w:t>
      </w:r>
      <w:r w:rsidRPr="00097A6C">
        <w:rPr>
          <w:rFonts w:ascii="宋体" w:hAnsi="宋体"/>
          <w:sz w:val="24"/>
        </w:rPr>
        <w:t>年</w:t>
      </w:r>
      <w:r w:rsidR="002107DA" w:rsidRPr="00097A6C">
        <w:rPr>
          <w:rFonts w:ascii="宋体" w:hAnsi="宋体"/>
          <w:sz w:val="24"/>
        </w:rPr>
        <w:t>1</w:t>
      </w:r>
      <w:r w:rsidR="00890F90" w:rsidRPr="00097A6C">
        <w:rPr>
          <w:rFonts w:ascii="宋体" w:hAnsi="宋体" w:hint="eastAsia"/>
          <w:sz w:val="24"/>
        </w:rPr>
        <w:t>0</w:t>
      </w:r>
      <w:r w:rsidRPr="00097A6C">
        <w:rPr>
          <w:rFonts w:ascii="宋体" w:hAnsi="宋体"/>
          <w:sz w:val="24"/>
        </w:rPr>
        <w:t>月</w:t>
      </w:r>
      <w:r w:rsidR="00890F90" w:rsidRPr="00097A6C">
        <w:rPr>
          <w:rFonts w:ascii="宋体" w:hAnsi="宋体" w:hint="eastAsia"/>
          <w:sz w:val="24"/>
        </w:rPr>
        <w:t>29</w:t>
      </w:r>
      <w:r w:rsidRPr="00097A6C">
        <w:rPr>
          <w:rFonts w:ascii="宋体" w:hAnsi="宋体"/>
          <w:sz w:val="24"/>
        </w:rPr>
        <w:t>日</w:t>
      </w:r>
      <w:r w:rsidR="002535CF">
        <w:rPr>
          <w:rFonts w:hint="eastAsia"/>
          <w:sz w:val="24"/>
        </w:rPr>
        <w:t xml:space="preserve"> </w:t>
      </w:r>
    </w:p>
    <w:sectPr w:rsidR="002535CF">
      <w:headerReference w:type="default" r:id="rId8"/>
      <w:footerReference w:type="default" r:id="rId9"/>
      <w:pgSz w:w="11907" w:h="16840"/>
      <w:pgMar w:top="2098" w:right="1588" w:bottom="2098" w:left="1588" w:header="851" w:footer="1701" w:gutter="0"/>
      <w:cols w:space="720"/>
      <w:docGrid w:type="linesAndChars" w:linePitch="574" w:charSpace="24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C7C" w:rsidRDefault="007A7C7C">
      <w:r>
        <w:separator/>
      </w:r>
    </w:p>
  </w:endnote>
  <w:endnote w:type="continuationSeparator" w:id="0">
    <w:p w:rsidR="007A7C7C" w:rsidRDefault="007A7C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35" w:rsidRDefault="00003B35">
    <w:pPr>
      <w:pStyle w:val="a8"/>
    </w:pPr>
    <w:r>
      <w:rPr>
        <w:noProof/>
      </w:rPr>
      <w:pict>
        <v:shapetype id="_x0000_t202" coordsize="21600,21600" o:spt="202" path="m,l,21600r21600,l21600,xe">
          <v:stroke joinstyle="miter"/>
          <v:path gradientshapeok="t" o:connecttype="rect"/>
        </v:shapetype>
        <v:shape id="MSIPCMc2434f7dbf5a7a9779f577c7" o:spid="_x0000_s1025" type="#_x0000_t202" alt="{&quot;HashCode&quot;:1316537984,&quot;Height&quot;:842.0,&quot;Width&quot;:595.0,&quot;Placement&quot;:&quot;Footer&quot;,&quot;Index&quot;:&quot;Primary&quot;,&quot;Section&quot;:1,&quot;Top&quot;:0.0,&quot;Left&quot;:0.0}" style="position:absolute;margin-left:0;margin-top:805.45pt;width:595.35pt;height:21.55pt;z-index:251657728;mso-position-horizontal-relative:page;mso-position-vertical-relative:page;v-text-anchor:bottom" o:allowincell="f" filled="f" stroked="f">
          <v:textbox inset=",0,,0">
            <w:txbxContent>
              <w:p w:rsidR="00003B35" w:rsidRPr="00097A6C" w:rsidRDefault="00097A6C" w:rsidP="00097A6C">
                <w:pPr>
                  <w:jc w:val="center"/>
                  <w:rPr>
                    <w:rFonts w:ascii="Calibri" w:hAnsi="Calibri" w:cs="Calibri"/>
                    <w:color w:val="000000"/>
                    <w:sz w:val="20"/>
                  </w:rPr>
                </w:pPr>
                <w:r w:rsidRPr="00097A6C">
                  <w:rPr>
                    <w:rFonts w:ascii="Calibri" w:hAnsi="Calibri" w:cs="Calibri"/>
                    <w:color w:val="000000"/>
                    <w:sz w:val="20"/>
                  </w:rPr>
                  <w:t>PUBLIC</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C7C" w:rsidRDefault="007A7C7C">
      <w:r>
        <w:separator/>
      </w:r>
    </w:p>
  </w:footnote>
  <w:footnote w:type="continuationSeparator" w:id="0">
    <w:p w:rsidR="007A7C7C" w:rsidRDefault="007A7C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5CF" w:rsidRDefault="002535CF">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66"/>
  <w:drawingGridVerticalSpacing w:val="287"/>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3218"/>
    <w:rsid w:val="000001BF"/>
    <w:rsid w:val="00003B35"/>
    <w:rsid w:val="000076D5"/>
    <w:rsid w:val="00010718"/>
    <w:rsid w:val="000108EA"/>
    <w:rsid w:val="0001517B"/>
    <w:rsid w:val="00022F75"/>
    <w:rsid w:val="00030BFB"/>
    <w:rsid w:val="00033E4D"/>
    <w:rsid w:val="00035C27"/>
    <w:rsid w:val="00036D99"/>
    <w:rsid w:val="00042B8B"/>
    <w:rsid w:val="00045334"/>
    <w:rsid w:val="00052F1E"/>
    <w:rsid w:val="00061AC2"/>
    <w:rsid w:val="00064221"/>
    <w:rsid w:val="00066EAA"/>
    <w:rsid w:val="00075954"/>
    <w:rsid w:val="000779B3"/>
    <w:rsid w:val="00091265"/>
    <w:rsid w:val="00097A6C"/>
    <w:rsid w:val="000A314D"/>
    <w:rsid w:val="000A6EB1"/>
    <w:rsid w:val="000B7A71"/>
    <w:rsid w:val="000D79F8"/>
    <w:rsid w:val="000E06D6"/>
    <w:rsid w:val="000E3984"/>
    <w:rsid w:val="000F2F23"/>
    <w:rsid w:val="000F6E91"/>
    <w:rsid w:val="00101986"/>
    <w:rsid w:val="001106DB"/>
    <w:rsid w:val="00112F74"/>
    <w:rsid w:val="00121497"/>
    <w:rsid w:val="00122BFE"/>
    <w:rsid w:val="00133218"/>
    <w:rsid w:val="001343FA"/>
    <w:rsid w:val="001404E5"/>
    <w:rsid w:val="0014251D"/>
    <w:rsid w:val="00143FED"/>
    <w:rsid w:val="001469D5"/>
    <w:rsid w:val="0014764F"/>
    <w:rsid w:val="0015190E"/>
    <w:rsid w:val="00161AC9"/>
    <w:rsid w:val="00172A62"/>
    <w:rsid w:val="00174621"/>
    <w:rsid w:val="0017776F"/>
    <w:rsid w:val="00182D7E"/>
    <w:rsid w:val="001A14B6"/>
    <w:rsid w:val="001A2AC0"/>
    <w:rsid w:val="001A7E50"/>
    <w:rsid w:val="001B1551"/>
    <w:rsid w:val="001B1EEF"/>
    <w:rsid w:val="001B32CB"/>
    <w:rsid w:val="001D3656"/>
    <w:rsid w:val="001D5732"/>
    <w:rsid w:val="001E57EE"/>
    <w:rsid w:val="001F1FA4"/>
    <w:rsid w:val="001F6E55"/>
    <w:rsid w:val="001F7396"/>
    <w:rsid w:val="001F7793"/>
    <w:rsid w:val="001F7D2A"/>
    <w:rsid w:val="002024E2"/>
    <w:rsid w:val="002107DA"/>
    <w:rsid w:val="00212325"/>
    <w:rsid w:val="00224696"/>
    <w:rsid w:val="00231000"/>
    <w:rsid w:val="00232A05"/>
    <w:rsid w:val="00236A4A"/>
    <w:rsid w:val="00240891"/>
    <w:rsid w:val="00242E10"/>
    <w:rsid w:val="0024785E"/>
    <w:rsid w:val="002535CF"/>
    <w:rsid w:val="00266931"/>
    <w:rsid w:val="00267B99"/>
    <w:rsid w:val="00267E5E"/>
    <w:rsid w:val="00267ED3"/>
    <w:rsid w:val="00284639"/>
    <w:rsid w:val="0028670B"/>
    <w:rsid w:val="0028781E"/>
    <w:rsid w:val="002A2C4C"/>
    <w:rsid w:val="002B34C0"/>
    <w:rsid w:val="002B6EAF"/>
    <w:rsid w:val="002C529B"/>
    <w:rsid w:val="002C6AFD"/>
    <w:rsid w:val="002E3962"/>
    <w:rsid w:val="002E6F77"/>
    <w:rsid w:val="002F137A"/>
    <w:rsid w:val="002F788F"/>
    <w:rsid w:val="0030079B"/>
    <w:rsid w:val="00317982"/>
    <w:rsid w:val="00325376"/>
    <w:rsid w:val="0032663A"/>
    <w:rsid w:val="00333C32"/>
    <w:rsid w:val="0033440C"/>
    <w:rsid w:val="00335D91"/>
    <w:rsid w:val="0033781D"/>
    <w:rsid w:val="00341A17"/>
    <w:rsid w:val="00343340"/>
    <w:rsid w:val="00345423"/>
    <w:rsid w:val="00345D7A"/>
    <w:rsid w:val="00362903"/>
    <w:rsid w:val="003639B9"/>
    <w:rsid w:val="00366542"/>
    <w:rsid w:val="0037281D"/>
    <w:rsid w:val="00374830"/>
    <w:rsid w:val="003849C9"/>
    <w:rsid w:val="00385F69"/>
    <w:rsid w:val="00391AAC"/>
    <w:rsid w:val="003925BD"/>
    <w:rsid w:val="0039564E"/>
    <w:rsid w:val="003A558A"/>
    <w:rsid w:val="003B510A"/>
    <w:rsid w:val="003B733A"/>
    <w:rsid w:val="003C26E5"/>
    <w:rsid w:val="003F6C24"/>
    <w:rsid w:val="00404964"/>
    <w:rsid w:val="00416249"/>
    <w:rsid w:val="00423D3D"/>
    <w:rsid w:val="00424BF5"/>
    <w:rsid w:val="004345CD"/>
    <w:rsid w:val="00436A7C"/>
    <w:rsid w:val="004422BB"/>
    <w:rsid w:val="0044241D"/>
    <w:rsid w:val="00447559"/>
    <w:rsid w:val="00447595"/>
    <w:rsid w:val="00447F85"/>
    <w:rsid w:val="004552A1"/>
    <w:rsid w:val="00456401"/>
    <w:rsid w:val="00462C39"/>
    <w:rsid w:val="00463849"/>
    <w:rsid w:val="00471425"/>
    <w:rsid w:val="00483043"/>
    <w:rsid w:val="004850D2"/>
    <w:rsid w:val="004867B0"/>
    <w:rsid w:val="004A5044"/>
    <w:rsid w:val="004B4355"/>
    <w:rsid w:val="004B4E72"/>
    <w:rsid w:val="004C18AB"/>
    <w:rsid w:val="004C2860"/>
    <w:rsid w:val="004C5260"/>
    <w:rsid w:val="004D0D81"/>
    <w:rsid w:val="004D3E09"/>
    <w:rsid w:val="004D4314"/>
    <w:rsid w:val="004E720E"/>
    <w:rsid w:val="004F3032"/>
    <w:rsid w:val="005210BE"/>
    <w:rsid w:val="00531F17"/>
    <w:rsid w:val="00532679"/>
    <w:rsid w:val="00537BF7"/>
    <w:rsid w:val="00562141"/>
    <w:rsid w:val="00573506"/>
    <w:rsid w:val="00585A16"/>
    <w:rsid w:val="005955A8"/>
    <w:rsid w:val="005A47A5"/>
    <w:rsid w:val="005B4EE0"/>
    <w:rsid w:val="005B679E"/>
    <w:rsid w:val="005C59A1"/>
    <w:rsid w:val="005D0962"/>
    <w:rsid w:val="005D3749"/>
    <w:rsid w:val="005D5A57"/>
    <w:rsid w:val="005E3938"/>
    <w:rsid w:val="005E44B7"/>
    <w:rsid w:val="005E7464"/>
    <w:rsid w:val="005F35A1"/>
    <w:rsid w:val="00615BA8"/>
    <w:rsid w:val="00623C5B"/>
    <w:rsid w:val="00625D40"/>
    <w:rsid w:val="006266AA"/>
    <w:rsid w:val="00626A11"/>
    <w:rsid w:val="00627686"/>
    <w:rsid w:val="0063091B"/>
    <w:rsid w:val="00632555"/>
    <w:rsid w:val="00634A1D"/>
    <w:rsid w:val="0064419A"/>
    <w:rsid w:val="00644B31"/>
    <w:rsid w:val="00651D93"/>
    <w:rsid w:val="00651E92"/>
    <w:rsid w:val="00663F0D"/>
    <w:rsid w:val="00683DD2"/>
    <w:rsid w:val="00690319"/>
    <w:rsid w:val="00695D88"/>
    <w:rsid w:val="006A721E"/>
    <w:rsid w:val="006B1FD5"/>
    <w:rsid w:val="006C14FD"/>
    <w:rsid w:val="006C743B"/>
    <w:rsid w:val="006D56F6"/>
    <w:rsid w:val="006F25F6"/>
    <w:rsid w:val="006F4383"/>
    <w:rsid w:val="00702504"/>
    <w:rsid w:val="00713DB1"/>
    <w:rsid w:val="007172E6"/>
    <w:rsid w:val="00725378"/>
    <w:rsid w:val="007277EF"/>
    <w:rsid w:val="007311AE"/>
    <w:rsid w:val="00737943"/>
    <w:rsid w:val="00742AC1"/>
    <w:rsid w:val="007445EF"/>
    <w:rsid w:val="007453F1"/>
    <w:rsid w:val="00745B32"/>
    <w:rsid w:val="00752129"/>
    <w:rsid w:val="0075732A"/>
    <w:rsid w:val="007624CB"/>
    <w:rsid w:val="00762ABA"/>
    <w:rsid w:val="00764A43"/>
    <w:rsid w:val="00764D1D"/>
    <w:rsid w:val="00787A58"/>
    <w:rsid w:val="00790078"/>
    <w:rsid w:val="0079427B"/>
    <w:rsid w:val="007A44D9"/>
    <w:rsid w:val="007A6AE8"/>
    <w:rsid w:val="007A7C7C"/>
    <w:rsid w:val="007B22DB"/>
    <w:rsid w:val="007B2E08"/>
    <w:rsid w:val="007B3811"/>
    <w:rsid w:val="007C2479"/>
    <w:rsid w:val="007D1983"/>
    <w:rsid w:val="007D4EA3"/>
    <w:rsid w:val="007E0A18"/>
    <w:rsid w:val="007E15E8"/>
    <w:rsid w:val="007E4C39"/>
    <w:rsid w:val="007F2F52"/>
    <w:rsid w:val="007F452A"/>
    <w:rsid w:val="007F7A20"/>
    <w:rsid w:val="00802838"/>
    <w:rsid w:val="00812AAE"/>
    <w:rsid w:val="008157C1"/>
    <w:rsid w:val="00827C85"/>
    <w:rsid w:val="0084021D"/>
    <w:rsid w:val="00840F26"/>
    <w:rsid w:val="00841B16"/>
    <w:rsid w:val="00842CEF"/>
    <w:rsid w:val="00846675"/>
    <w:rsid w:val="00851779"/>
    <w:rsid w:val="00851DB2"/>
    <w:rsid w:val="0085359A"/>
    <w:rsid w:val="00864ACC"/>
    <w:rsid w:val="00871373"/>
    <w:rsid w:val="00871E0A"/>
    <w:rsid w:val="00872036"/>
    <w:rsid w:val="00872688"/>
    <w:rsid w:val="0087590A"/>
    <w:rsid w:val="00881C76"/>
    <w:rsid w:val="00886B29"/>
    <w:rsid w:val="00890F90"/>
    <w:rsid w:val="008927F6"/>
    <w:rsid w:val="0089333C"/>
    <w:rsid w:val="00896FBD"/>
    <w:rsid w:val="0089786B"/>
    <w:rsid w:val="008A12A9"/>
    <w:rsid w:val="008A589D"/>
    <w:rsid w:val="008A5F84"/>
    <w:rsid w:val="008B49B7"/>
    <w:rsid w:val="008C7D88"/>
    <w:rsid w:val="008D24EB"/>
    <w:rsid w:val="008D68B0"/>
    <w:rsid w:val="008D74D2"/>
    <w:rsid w:val="0090144D"/>
    <w:rsid w:val="00912349"/>
    <w:rsid w:val="009145B7"/>
    <w:rsid w:val="00917A6E"/>
    <w:rsid w:val="00920324"/>
    <w:rsid w:val="00922ACE"/>
    <w:rsid w:val="00923C20"/>
    <w:rsid w:val="00925441"/>
    <w:rsid w:val="00935216"/>
    <w:rsid w:val="00935AD8"/>
    <w:rsid w:val="00937E0C"/>
    <w:rsid w:val="00947607"/>
    <w:rsid w:val="00950F29"/>
    <w:rsid w:val="009659C6"/>
    <w:rsid w:val="00972325"/>
    <w:rsid w:val="00973218"/>
    <w:rsid w:val="009865AA"/>
    <w:rsid w:val="00993306"/>
    <w:rsid w:val="00993AF8"/>
    <w:rsid w:val="009A05AB"/>
    <w:rsid w:val="009A2039"/>
    <w:rsid w:val="009A4599"/>
    <w:rsid w:val="009B0A92"/>
    <w:rsid w:val="009B4071"/>
    <w:rsid w:val="009B5A10"/>
    <w:rsid w:val="009C2C0C"/>
    <w:rsid w:val="009D0542"/>
    <w:rsid w:val="009D5BE1"/>
    <w:rsid w:val="00A046D2"/>
    <w:rsid w:val="00A13756"/>
    <w:rsid w:val="00A15490"/>
    <w:rsid w:val="00A15FE7"/>
    <w:rsid w:val="00A169B4"/>
    <w:rsid w:val="00A20F96"/>
    <w:rsid w:val="00A22AB4"/>
    <w:rsid w:val="00A242F7"/>
    <w:rsid w:val="00A2669A"/>
    <w:rsid w:val="00A31E12"/>
    <w:rsid w:val="00A40572"/>
    <w:rsid w:val="00A413E9"/>
    <w:rsid w:val="00A44A3F"/>
    <w:rsid w:val="00A52369"/>
    <w:rsid w:val="00A60788"/>
    <w:rsid w:val="00A60ABB"/>
    <w:rsid w:val="00A6525B"/>
    <w:rsid w:val="00A65B08"/>
    <w:rsid w:val="00A82F8F"/>
    <w:rsid w:val="00A83B75"/>
    <w:rsid w:val="00A862D4"/>
    <w:rsid w:val="00A90D09"/>
    <w:rsid w:val="00A948C5"/>
    <w:rsid w:val="00AA0E6F"/>
    <w:rsid w:val="00AA2232"/>
    <w:rsid w:val="00AA4C6E"/>
    <w:rsid w:val="00AA5BA3"/>
    <w:rsid w:val="00AD2933"/>
    <w:rsid w:val="00AD5D40"/>
    <w:rsid w:val="00AF1946"/>
    <w:rsid w:val="00AF5A6A"/>
    <w:rsid w:val="00B13294"/>
    <w:rsid w:val="00B16A92"/>
    <w:rsid w:val="00B17B0F"/>
    <w:rsid w:val="00B21DFA"/>
    <w:rsid w:val="00B23D72"/>
    <w:rsid w:val="00B2466D"/>
    <w:rsid w:val="00B246F1"/>
    <w:rsid w:val="00B403DE"/>
    <w:rsid w:val="00B40CBB"/>
    <w:rsid w:val="00B53B98"/>
    <w:rsid w:val="00B54BE0"/>
    <w:rsid w:val="00B55D04"/>
    <w:rsid w:val="00B656BF"/>
    <w:rsid w:val="00B730D8"/>
    <w:rsid w:val="00B77744"/>
    <w:rsid w:val="00B827EF"/>
    <w:rsid w:val="00B9024B"/>
    <w:rsid w:val="00B9182E"/>
    <w:rsid w:val="00B93E86"/>
    <w:rsid w:val="00B95541"/>
    <w:rsid w:val="00BA04D1"/>
    <w:rsid w:val="00BA3664"/>
    <w:rsid w:val="00BA6441"/>
    <w:rsid w:val="00BB0A3B"/>
    <w:rsid w:val="00BB455D"/>
    <w:rsid w:val="00BB6E57"/>
    <w:rsid w:val="00BB741B"/>
    <w:rsid w:val="00BE08BB"/>
    <w:rsid w:val="00BE1F1C"/>
    <w:rsid w:val="00BE50C3"/>
    <w:rsid w:val="00C02C6B"/>
    <w:rsid w:val="00C32CFF"/>
    <w:rsid w:val="00C348FE"/>
    <w:rsid w:val="00C435A8"/>
    <w:rsid w:val="00C46632"/>
    <w:rsid w:val="00C517FA"/>
    <w:rsid w:val="00C546A5"/>
    <w:rsid w:val="00C61898"/>
    <w:rsid w:val="00C636A2"/>
    <w:rsid w:val="00C63F6E"/>
    <w:rsid w:val="00C65BE0"/>
    <w:rsid w:val="00C66F27"/>
    <w:rsid w:val="00C675DB"/>
    <w:rsid w:val="00C73BFC"/>
    <w:rsid w:val="00C81637"/>
    <w:rsid w:val="00C90775"/>
    <w:rsid w:val="00C9714F"/>
    <w:rsid w:val="00CA3F60"/>
    <w:rsid w:val="00CB309C"/>
    <w:rsid w:val="00CC6822"/>
    <w:rsid w:val="00CD3DA2"/>
    <w:rsid w:val="00CE06F0"/>
    <w:rsid w:val="00CF32F1"/>
    <w:rsid w:val="00CF732B"/>
    <w:rsid w:val="00CF77D1"/>
    <w:rsid w:val="00D071A9"/>
    <w:rsid w:val="00D15E98"/>
    <w:rsid w:val="00D22EC5"/>
    <w:rsid w:val="00D31428"/>
    <w:rsid w:val="00D41014"/>
    <w:rsid w:val="00D4146A"/>
    <w:rsid w:val="00D41865"/>
    <w:rsid w:val="00D42991"/>
    <w:rsid w:val="00D43457"/>
    <w:rsid w:val="00D56EAD"/>
    <w:rsid w:val="00D570D7"/>
    <w:rsid w:val="00D67B13"/>
    <w:rsid w:val="00D746C8"/>
    <w:rsid w:val="00D82BB1"/>
    <w:rsid w:val="00D86D0D"/>
    <w:rsid w:val="00D87FDC"/>
    <w:rsid w:val="00DA4272"/>
    <w:rsid w:val="00DA51AA"/>
    <w:rsid w:val="00DB3C18"/>
    <w:rsid w:val="00DB545C"/>
    <w:rsid w:val="00DB7C2D"/>
    <w:rsid w:val="00DC23D5"/>
    <w:rsid w:val="00DE0D4D"/>
    <w:rsid w:val="00DE20BC"/>
    <w:rsid w:val="00DF753F"/>
    <w:rsid w:val="00E011F8"/>
    <w:rsid w:val="00E13D0C"/>
    <w:rsid w:val="00E20CE0"/>
    <w:rsid w:val="00E46DA7"/>
    <w:rsid w:val="00E50AD8"/>
    <w:rsid w:val="00E51F2E"/>
    <w:rsid w:val="00E544D5"/>
    <w:rsid w:val="00E6211F"/>
    <w:rsid w:val="00E63283"/>
    <w:rsid w:val="00E710B7"/>
    <w:rsid w:val="00E71AA7"/>
    <w:rsid w:val="00E72D75"/>
    <w:rsid w:val="00E802E6"/>
    <w:rsid w:val="00E9171B"/>
    <w:rsid w:val="00EA4B74"/>
    <w:rsid w:val="00EB1740"/>
    <w:rsid w:val="00EC06F9"/>
    <w:rsid w:val="00EC6B4E"/>
    <w:rsid w:val="00EC7314"/>
    <w:rsid w:val="00ED0070"/>
    <w:rsid w:val="00ED2056"/>
    <w:rsid w:val="00ED3F4C"/>
    <w:rsid w:val="00EE6E60"/>
    <w:rsid w:val="00EF0A8F"/>
    <w:rsid w:val="00EF7B66"/>
    <w:rsid w:val="00EF7FF2"/>
    <w:rsid w:val="00F13EDD"/>
    <w:rsid w:val="00F22738"/>
    <w:rsid w:val="00F2462E"/>
    <w:rsid w:val="00F27741"/>
    <w:rsid w:val="00F43362"/>
    <w:rsid w:val="00F44351"/>
    <w:rsid w:val="00F444A9"/>
    <w:rsid w:val="00F53490"/>
    <w:rsid w:val="00F56A1C"/>
    <w:rsid w:val="00F615C2"/>
    <w:rsid w:val="00F6544A"/>
    <w:rsid w:val="00F6603C"/>
    <w:rsid w:val="00F749B5"/>
    <w:rsid w:val="00F870B5"/>
    <w:rsid w:val="00F93A14"/>
    <w:rsid w:val="00FB29F5"/>
    <w:rsid w:val="00FB48C9"/>
    <w:rsid w:val="00FB7DA1"/>
    <w:rsid w:val="00FC36DF"/>
    <w:rsid w:val="00FC5B2C"/>
    <w:rsid w:val="00FD0A8A"/>
    <w:rsid w:val="00FD4545"/>
    <w:rsid w:val="00FF57D4"/>
    <w:rsid w:val="7A1D51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annotation reference"/>
    <w:rPr>
      <w:sz w:val="21"/>
      <w:szCs w:val="21"/>
    </w:rPr>
  </w:style>
  <w:style w:type="character" w:customStyle="1" w:styleId="txtcontent11">
    <w:name w:val="txtcontent11"/>
    <w:rPr>
      <w:rFonts w:ascii="ˎ̥" w:hAnsi="ˎ̥" w:hint="default"/>
      <w:b w:val="0"/>
      <w:bCs w:val="0"/>
      <w:color w:val="000000"/>
      <w:sz w:val="21"/>
      <w:szCs w:val="21"/>
    </w:rPr>
  </w:style>
  <w:style w:type="paragraph" w:styleId="a5">
    <w:name w:val="annotation subject"/>
    <w:basedOn w:val="a6"/>
    <w:next w:val="a6"/>
    <w:semiHidden/>
    <w:rPr>
      <w:b/>
      <w:bCs/>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6">
    <w:name w:val="annotation text"/>
    <w:basedOn w:val="a"/>
    <w:link w:val="Char"/>
    <w:pPr>
      <w:jc w:val="left"/>
    </w:pPr>
  </w:style>
  <w:style w:type="paragraph" w:styleId="a9">
    <w:name w:val="Balloon Text"/>
    <w:basedOn w:val="a"/>
    <w:semiHidden/>
    <w:rPr>
      <w:sz w:val="18"/>
      <w:szCs w:val="18"/>
    </w:rPr>
  </w:style>
  <w:style w:type="paragraph" w:customStyle="1" w:styleId="ParaChar">
    <w:name w:val="默认段落字体 Para Char"/>
    <w:basedOn w:val="a"/>
  </w:style>
  <w:style w:type="character" w:customStyle="1" w:styleId="Char">
    <w:name w:val="批注文字 Char"/>
    <w:link w:val="a6"/>
    <w:rsid w:val="00695D88"/>
    <w:rPr>
      <w:kern w:val="2"/>
      <w:sz w:val="21"/>
      <w:szCs w:val="24"/>
    </w:rPr>
  </w:style>
  <w:style w:type="paragraph" w:customStyle="1" w:styleId="Default">
    <w:name w:val="Default"/>
    <w:rsid w:val="00922ACE"/>
    <w:pPr>
      <w:widowControl w:val="0"/>
      <w:autoSpaceDE w:val="0"/>
      <w:autoSpaceDN w:val="0"/>
      <w:adjustRightInd w:val="0"/>
    </w:pPr>
    <w:rPr>
      <w:rFonts w:ascii="宋体" w:hAnsi="宋体" w:cs="宋体"/>
      <w:color w:val="000000"/>
      <w:sz w:val="24"/>
      <w:szCs w:val="24"/>
    </w:rPr>
  </w:style>
  <w:style w:type="paragraph" w:styleId="aa">
    <w:name w:val="Date"/>
    <w:basedOn w:val="a"/>
    <w:next w:val="a"/>
    <w:link w:val="Char0"/>
    <w:rsid w:val="00A862D4"/>
    <w:pPr>
      <w:ind w:leftChars="2500" w:left="100"/>
    </w:pPr>
  </w:style>
  <w:style w:type="character" w:customStyle="1" w:styleId="Char0">
    <w:name w:val="日期 Char"/>
    <w:link w:val="aa"/>
    <w:rsid w:val="00A862D4"/>
    <w:rPr>
      <w:kern w:val="2"/>
      <w:sz w:val="21"/>
      <w:szCs w:val="24"/>
    </w:rPr>
  </w:style>
  <w:style w:type="paragraph" w:styleId="ab">
    <w:name w:val="Revision"/>
    <w:hidden/>
    <w:uiPriority w:val="99"/>
    <w:unhideWhenUsed/>
    <w:rsid w:val="00890F90"/>
    <w:rPr>
      <w:kern w:val="2"/>
      <w:sz w:val="21"/>
      <w:szCs w:val="24"/>
    </w:rPr>
  </w:style>
</w:styles>
</file>

<file path=word/webSettings.xml><?xml version="1.0" encoding="utf-8"?>
<w:webSettings xmlns:r="http://schemas.openxmlformats.org/officeDocument/2006/relationships" xmlns:w="http://schemas.openxmlformats.org/wordprocessingml/2006/main">
  <w:divs>
    <w:div w:id="21325377">
      <w:bodyDiv w:val="1"/>
      <w:marLeft w:val="0"/>
      <w:marRight w:val="0"/>
      <w:marTop w:val="0"/>
      <w:marBottom w:val="0"/>
      <w:divBdr>
        <w:top w:val="none" w:sz="0" w:space="0" w:color="auto"/>
        <w:left w:val="none" w:sz="0" w:space="0" w:color="auto"/>
        <w:bottom w:val="none" w:sz="0" w:space="0" w:color="auto"/>
        <w:right w:val="none" w:sz="0" w:space="0" w:color="auto"/>
      </w:divBdr>
      <w:divsChild>
        <w:div w:id="1668241401">
          <w:marLeft w:val="0"/>
          <w:marRight w:val="0"/>
          <w:marTop w:val="0"/>
          <w:marBottom w:val="0"/>
          <w:divBdr>
            <w:top w:val="none" w:sz="0" w:space="0" w:color="auto"/>
            <w:left w:val="none" w:sz="0" w:space="0" w:color="auto"/>
            <w:bottom w:val="none" w:sz="0" w:space="0" w:color="auto"/>
            <w:right w:val="none" w:sz="0" w:space="0" w:color="auto"/>
          </w:divBdr>
          <w:divsChild>
            <w:div w:id="1324894823">
              <w:marLeft w:val="0"/>
              <w:marRight w:val="0"/>
              <w:marTop w:val="0"/>
              <w:marBottom w:val="0"/>
              <w:divBdr>
                <w:top w:val="none" w:sz="0" w:space="0" w:color="auto"/>
                <w:left w:val="none" w:sz="0" w:space="0" w:color="auto"/>
                <w:bottom w:val="none" w:sz="0" w:space="0" w:color="auto"/>
                <w:right w:val="none" w:sz="0" w:space="0" w:color="auto"/>
              </w:divBdr>
              <w:divsChild>
                <w:div w:id="478419832">
                  <w:marLeft w:val="0"/>
                  <w:marRight w:val="0"/>
                  <w:marTop w:val="120"/>
                  <w:marBottom w:val="0"/>
                  <w:divBdr>
                    <w:top w:val="single" w:sz="6" w:space="0" w:color="AFC4D5"/>
                    <w:left w:val="single" w:sz="6" w:space="0" w:color="AFC4D5"/>
                    <w:bottom w:val="single" w:sz="6" w:space="0" w:color="AFC4D5"/>
                    <w:right w:val="single" w:sz="6" w:space="0" w:color="AFC4D5"/>
                  </w:divBdr>
                  <w:divsChild>
                    <w:div w:id="11780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473321">
      <w:bodyDiv w:val="1"/>
      <w:marLeft w:val="0"/>
      <w:marRight w:val="0"/>
      <w:marTop w:val="0"/>
      <w:marBottom w:val="0"/>
      <w:divBdr>
        <w:top w:val="none" w:sz="0" w:space="0" w:color="auto"/>
        <w:left w:val="none" w:sz="0" w:space="0" w:color="auto"/>
        <w:bottom w:val="none" w:sz="0" w:space="0" w:color="auto"/>
        <w:right w:val="none" w:sz="0" w:space="0" w:color="auto"/>
      </w:divBdr>
    </w:div>
    <w:div w:id="669216994">
      <w:bodyDiv w:val="1"/>
      <w:marLeft w:val="0"/>
      <w:marRight w:val="0"/>
      <w:marTop w:val="0"/>
      <w:marBottom w:val="0"/>
      <w:divBdr>
        <w:top w:val="none" w:sz="0" w:space="0" w:color="auto"/>
        <w:left w:val="none" w:sz="0" w:space="0" w:color="auto"/>
        <w:bottom w:val="none" w:sz="0" w:space="0" w:color="auto"/>
        <w:right w:val="none" w:sz="0" w:space="0" w:color="auto"/>
      </w:divBdr>
    </w:div>
    <w:div w:id="1205944482">
      <w:bodyDiv w:val="1"/>
      <w:marLeft w:val="0"/>
      <w:marRight w:val="0"/>
      <w:marTop w:val="0"/>
      <w:marBottom w:val="0"/>
      <w:divBdr>
        <w:top w:val="none" w:sz="0" w:space="0" w:color="auto"/>
        <w:left w:val="none" w:sz="0" w:space="0" w:color="auto"/>
        <w:bottom w:val="none" w:sz="0" w:space="0" w:color="auto"/>
        <w:right w:val="none" w:sz="0" w:space="0" w:color="auto"/>
      </w:divBdr>
    </w:div>
    <w:div w:id="1314455860">
      <w:bodyDiv w:val="1"/>
      <w:marLeft w:val="0"/>
      <w:marRight w:val="0"/>
      <w:marTop w:val="0"/>
      <w:marBottom w:val="0"/>
      <w:divBdr>
        <w:top w:val="none" w:sz="0" w:space="0" w:color="auto"/>
        <w:left w:val="none" w:sz="0" w:space="0" w:color="auto"/>
        <w:bottom w:val="none" w:sz="0" w:space="0" w:color="auto"/>
        <w:right w:val="none" w:sz="0" w:space="0" w:color="auto"/>
      </w:divBdr>
    </w:div>
    <w:div w:id="1333218634">
      <w:bodyDiv w:val="1"/>
      <w:marLeft w:val="0"/>
      <w:marRight w:val="0"/>
      <w:marTop w:val="0"/>
      <w:marBottom w:val="0"/>
      <w:divBdr>
        <w:top w:val="none" w:sz="0" w:space="0" w:color="auto"/>
        <w:left w:val="none" w:sz="0" w:space="0" w:color="auto"/>
        <w:bottom w:val="none" w:sz="0" w:space="0" w:color="auto"/>
        <w:right w:val="none" w:sz="0" w:space="0" w:color="auto"/>
      </w:divBdr>
    </w:div>
    <w:div w:id="1404991759">
      <w:bodyDiv w:val="1"/>
      <w:marLeft w:val="0"/>
      <w:marRight w:val="0"/>
      <w:marTop w:val="0"/>
      <w:marBottom w:val="0"/>
      <w:divBdr>
        <w:top w:val="none" w:sz="0" w:space="0" w:color="auto"/>
        <w:left w:val="none" w:sz="0" w:space="0" w:color="auto"/>
        <w:bottom w:val="none" w:sz="0" w:space="0" w:color="auto"/>
        <w:right w:val="none" w:sz="0" w:space="0" w:color="auto"/>
      </w:divBdr>
    </w:div>
    <w:div w:id="1721972297">
      <w:bodyDiv w:val="1"/>
      <w:marLeft w:val="0"/>
      <w:marRight w:val="0"/>
      <w:marTop w:val="0"/>
      <w:marBottom w:val="0"/>
      <w:divBdr>
        <w:top w:val="none" w:sz="0" w:space="0" w:color="auto"/>
        <w:left w:val="none" w:sz="0" w:space="0" w:color="auto"/>
        <w:bottom w:val="none" w:sz="0" w:space="0" w:color="auto"/>
        <w:right w:val="none" w:sz="0" w:space="0" w:color="auto"/>
      </w:divBdr>
    </w:div>
    <w:div w:id="198993819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sbcjt.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E8192-4634-4EBB-8615-CB82ECBB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1802</Characters>
  <Application>Microsoft Office Word</Application>
  <DocSecurity>4</DocSecurity>
  <PresentationFormat/>
  <Lines>15</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汇丰晋信基金管理有限公司关于新增中欧财富为旗下开放式基金代销机构的公告</vt:lpstr>
    </vt:vector>
  </TitlesOfParts>
  <Manager/>
  <Company>HSBCJT</Company>
  <LinksUpToDate>false</LinksUpToDate>
  <CharactersWithSpaces>2113</CharactersWithSpaces>
  <SharedDoc>false</SharedDoc>
  <HLinks>
    <vt:vector size="6" baseType="variant">
      <vt:variant>
        <vt:i4>720983</vt:i4>
      </vt:variant>
      <vt:variant>
        <vt:i4>0</vt:i4>
      </vt:variant>
      <vt:variant>
        <vt:i4>0</vt:i4>
      </vt:variant>
      <vt:variant>
        <vt:i4>5</vt:i4>
      </vt:variant>
      <vt:variant>
        <vt:lpwstr>http://www.hsbcjt.cn/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汇丰晋信基金管理有限公司关于新增嘉实财富为旗下开放式基金代销机构的公告</dc:title>
  <dc:subject/>
  <dc:creator>Cindy Zhou</dc:creator>
  <cp:keywords>PUBLIC -</cp:keywords>
  <dc:description>PUBLIC -</dc:description>
  <cp:lastModifiedBy>ZHONGM</cp:lastModifiedBy>
  <cp:revision>2</cp:revision>
  <cp:lastPrinted>2025-10-28T08:27:00Z</cp:lastPrinted>
  <dcterms:created xsi:type="dcterms:W3CDTF">2025-10-28T16:02:00Z</dcterms:created>
  <dcterms:modified xsi:type="dcterms:W3CDTF">2025-10-28T16:02:00Z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Internal</vt:lpwstr>
  </property>
  <property fmtid="{D5CDD505-2E9C-101B-9397-08002B2CF9AE}" pid="3" name="Footers">
    <vt:lpwstr>No Footers</vt:lpwstr>
  </property>
  <property fmtid="{D5CDD505-2E9C-101B-9397-08002B2CF9AE}" pid="4" name="KSOProductBuildVer">
    <vt:lpwstr>2052-10.1.0.5457</vt:lpwstr>
  </property>
  <property fmtid="{D5CDD505-2E9C-101B-9397-08002B2CF9AE}" pid="5" name="MSIP_Label_3486a02c-2dfb-4efe-823f-aa2d1f0e6ab7_Enabled">
    <vt:lpwstr>true</vt:lpwstr>
  </property>
  <property fmtid="{D5CDD505-2E9C-101B-9397-08002B2CF9AE}" pid="6" name="MSIP_Label_3486a02c-2dfb-4efe-823f-aa2d1f0e6ab7_SetDate">
    <vt:lpwstr>2025-10-28T08:27:55Z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047915f3-c984-4843-ab56-74873a6d0b6c</vt:lpwstr>
  </property>
  <property fmtid="{D5CDD505-2E9C-101B-9397-08002B2CF9AE}" pid="11" name="MSIP_Label_3486a02c-2dfb-4efe-823f-aa2d1f0e6ab7_ContentBits">
    <vt:lpwstr>2</vt:lpwstr>
  </property>
  <property fmtid="{D5CDD505-2E9C-101B-9397-08002B2CF9AE}" pid="12" name="Classification">
    <vt:lpwstr>PUBLIC</vt:lpwstr>
  </property>
</Properties>
</file>