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0" w:rsidRDefault="00487B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关于调整工银瑞信中证港股通高股息精选交易型开放式指数证券投资基金主流动性服务商为一般流动性服务商的公告</w:t>
      </w:r>
    </w:p>
    <w:p w:rsidR="006D5D10" w:rsidRDefault="006D5D10">
      <w:pPr>
        <w:widowControl/>
        <w:snapToGrid w:val="0"/>
        <w:spacing w:line="440" w:lineRule="exact"/>
        <w:ind w:firstLine="600"/>
        <w:jc w:val="center"/>
        <w:rPr>
          <w:rFonts w:ascii="宋体" w:hAnsi="宋体"/>
          <w:kern w:val="0"/>
          <w:sz w:val="30"/>
          <w:szCs w:val="30"/>
        </w:rPr>
      </w:pPr>
    </w:p>
    <w:p w:rsidR="006D5D10" w:rsidRDefault="00487B53">
      <w:pPr>
        <w:spacing w:line="440" w:lineRule="exact"/>
        <w:ind w:firstLine="420"/>
        <w:rPr>
          <w:rFonts w:ascii="宋体" w:hAnsi="宋体"/>
          <w:szCs w:val="21"/>
        </w:rPr>
      </w:pPr>
      <w:r>
        <w:rPr>
          <w:rFonts w:ascii="宋体" w:hAnsi="宋体" w:hint="eastAsia"/>
          <w:szCs w:val="21"/>
        </w:rPr>
        <w:t>根据《深圳证券交易所证券投资基金业务指引第</w:t>
      </w:r>
      <w:r>
        <w:rPr>
          <w:rFonts w:ascii="宋体" w:hAnsi="宋体" w:hint="eastAsia"/>
          <w:szCs w:val="21"/>
        </w:rPr>
        <w:t>2</w:t>
      </w:r>
      <w:r>
        <w:rPr>
          <w:rFonts w:ascii="宋体" w:hAnsi="宋体" w:hint="eastAsia"/>
          <w:szCs w:val="21"/>
        </w:rPr>
        <w:t>号——流动性服务》等有关规定，自</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w:t>
      </w:r>
      <w:r>
        <w:rPr>
          <w:rFonts w:ascii="宋体" w:hAnsi="宋体" w:hint="eastAsia"/>
          <w:szCs w:val="21"/>
        </w:rPr>
        <w:t>7</w:t>
      </w:r>
      <w:r>
        <w:rPr>
          <w:rFonts w:ascii="宋体" w:hAnsi="宋体" w:hint="eastAsia"/>
          <w:szCs w:val="21"/>
        </w:rPr>
        <w:t>日起，本公司</w:t>
      </w:r>
      <w:r>
        <w:t>将下列证券投资基金的主流动性服务商调整为一般流动性服务商：</w:t>
      </w:r>
    </w:p>
    <w:p w:rsidR="006D5D10" w:rsidRDefault="00487B53">
      <w:pPr>
        <w:spacing w:line="440" w:lineRule="exact"/>
        <w:ind w:firstLineChars="300" w:firstLine="63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bCs/>
          <w:szCs w:val="21"/>
        </w:rPr>
        <w:t>工</w:t>
      </w:r>
      <w:r>
        <w:rPr>
          <w:rFonts w:ascii="宋体" w:hAnsi="宋体" w:hint="eastAsia"/>
          <w:szCs w:val="21"/>
        </w:rPr>
        <w:t>银瑞信中证港股通高股息精选交易型开放式指数证券投资基金（基金代码：</w:t>
      </w:r>
      <w:r>
        <w:rPr>
          <w:rFonts w:ascii="宋体" w:hAnsi="宋体" w:hint="eastAsia"/>
          <w:szCs w:val="21"/>
        </w:rPr>
        <w:t>1596</w:t>
      </w:r>
      <w:r>
        <w:rPr>
          <w:rFonts w:ascii="宋体" w:hAnsi="宋体" w:hint="eastAsia"/>
          <w:szCs w:val="21"/>
        </w:rPr>
        <w:t>91</w:t>
      </w:r>
      <w:r>
        <w:rPr>
          <w:rFonts w:ascii="宋体" w:hAnsi="宋体" w:hint="eastAsia"/>
          <w:szCs w:val="21"/>
        </w:rPr>
        <w:t>，场内简称：</w:t>
      </w:r>
      <w:r>
        <w:rPr>
          <w:rFonts w:ascii="宋体" w:hAnsi="宋体" w:hint="eastAsia"/>
          <w:szCs w:val="21"/>
        </w:rPr>
        <w:t>港股红利</w:t>
      </w:r>
      <w:r>
        <w:rPr>
          <w:rFonts w:ascii="宋体" w:hAnsi="宋体" w:hint="eastAsia"/>
          <w:szCs w:val="21"/>
        </w:rPr>
        <w:t>ETF</w:t>
      </w:r>
      <w:r>
        <w:rPr>
          <w:rFonts w:ascii="宋体" w:hAnsi="宋体" w:hint="eastAsia"/>
          <w:szCs w:val="21"/>
        </w:rPr>
        <w:t>）：</w:t>
      </w:r>
    </w:p>
    <w:p w:rsidR="006D5D10" w:rsidRDefault="00487B53">
      <w:pPr>
        <w:spacing w:line="440" w:lineRule="exact"/>
        <w:ind w:firstLineChars="400" w:firstLine="840"/>
        <w:rPr>
          <w:rFonts w:ascii="宋体" w:hAnsi="宋体"/>
          <w:szCs w:val="21"/>
        </w:rPr>
      </w:pPr>
      <w:r>
        <w:rPr>
          <w:rFonts w:ascii="宋体" w:hAnsi="宋体" w:hint="eastAsia"/>
          <w:szCs w:val="21"/>
        </w:rPr>
        <w:t xml:space="preserve"> </w:t>
      </w:r>
      <w:r>
        <w:rPr>
          <w:rFonts w:ascii="宋体" w:hAnsi="宋体" w:hint="eastAsia"/>
          <w:szCs w:val="21"/>
        </w:rPr>
        <w:t>招商证券股份</w:t>
      </w:r>
      <w:r>
        <w:rPr>
          <w:rFonts w:ascii="宋体" w:hAnsi="宋体" w:hint="eastAsia"/>
          <w:szCs w:val="21"/>
        </w:rPr>
        <w:t>有限公司</w:t>
      </w:r>
    </w:p>
    <w:p w:rsidR="006D5D10" w:rsidRDefault="006D5D10">
      <w:pPr>
        <w:spacing w:line="440" w:lineRule="exact"/>
        <w:ind w:firstLineChars="400" w:firstLine="840"/>
        <w:rPr>
          <w:rFonts w:ascii="宋体" w:hAnsi="宋体"/>
          <w:szCs w:val="21"/>
        </w:rPr>
      </w:pPr>
    </w:p>
    <w:p w:rsidR="006D5D10" w:rsidRDefault="00487B53">
      <w:pPr>
        <w:spacing w:line="440" w:lineRule="exact"/>
        <w:ind w:firstLine="420"/>
        <w:jc w:val="left"/>
        <w:rPr>
          <w:rFonts w:ascii="宋体" w:hAnsi="宋体"/>
          <w:szCs w:val="21"/>
        </w:rPr>
      </w:pPr>
      <w:r>
        <w:rPr>
          <w:rFonts w:ascii="宋体" w:hAnsi="宋体" w:hint="eastAsia"/>
          <w:szCs w:val="21"/>
        </w:rPr>
        <w:t>特此公告。</w:t>
      </w:r>
    </w:p>
    <w:p w:rsidR="006D5D10" w:rsidRDefault="00487B53">
      <w:pPr>
        <w:spacing w:line="440" w:lineRule="exact"/>
        <w:ind w:firstLine="420"/>
        <w:jc w:val="right"/>
        <w:rPr>
          <w:rFonts w:ascii="宋体" w:hAnsi="宋体"/>
          <w:szCs w:val="21"/>
        </w:rPr>
      </w:pPr>
      <w:r>
        <w:rPr>
          <w:rFonts w:ascii="宋体" w:hAnsi="宋体" w:hint="eastAsia"/>
          <w:szCs w:val="21"/>
        </w:rPr>
        <w:t xml:space="preserve"> </w:t>
      </w:r>
    </w:p>
    <w:p w:rsidR="006D5D10" w:rsidRDefault="00487B53">
      <w:pPr>
        <w:spacing w:line="440" w:lineRule="exact"/>
        <w:ind w:firstLine="420"/>
        <w:jc w:val="right"/>
        <w:rPr>
          <w:rFonts w:ascii="宋体" w:hAnsi="宋体"/>
          <w:szCs w:val="21"/>
        </w:rPr>
      </w:pPr>
      <w:r>
        <w:rPr>
          <w:rFonts w:ascii="宋体" w:hAnsi="宋体" w:hint="eastAsia"/>
          <w:szCs w:val="21"/>
        </w:rPr>
        <w:t>工银瑞信基金管理有限公司</w:t>
      </w:r>
    </w:p>
    <w:p w:rsidR="006D5D10" w:rsidRDefault="00487B53">
      <w:pPr>
        <w:spacing w:line="440" w:lineRule="exact"/>
        <w:ind w:firstLine="420"/>
        <w:jc w:val="right"/>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w:t>
      </w:r>
      <w:r>
        <w:rPr>
          <w:rFonts w:ascii="宋体" w:hAnsi="宋体" w:hint="eastAsia"/>
          <w:szCs w:val="21"/>
        </w:rPr>
        <w:t>9</w:t>
      </w:r>
      <w:r>
        <w:rPr>
          <w:rFonts w:ascii="宋体" w:hAnsi="宋体" w:hint="eastAsia"/>
          <w:szCs w:val="21"/>
        </w:rPr>
        <w:t>日</w:t>
      </w:r>
    </w:p>
    <w:p w:rsidR="006D5D10" w:rsidRDefault="006D5D10">
      <w:bookmarkStart w:id="0" w:name="_GoBack"/>
      <w:bookmarkEnd w:id="0"/>
    </w:p>
    <w:sectPr w:rsidR="006D5D10" w:rsidSect="006D5D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132D7"/>
    <w:rsid w:val="00047816"/>
    <w:rsid w:val="002833E7"/>
    <w:rsid w:val="003237BA"/>
    <w:rsid w:val="00405470"/>
    <w:rsid w:val="00484425"/>
    <w:rsid w:val="00487B53"/>
    <w:rsid w:val="00495B35"/>
    <w:rsid w:val="004A5685"/>
    <w:rsid w:val="005A2B85"/>
    <w:rsid w:val="005A5429"/>
    <w:rsid w:val="005F3992"/>
    <w:rsid w:val="006D5D10"/>
    <w:rsid w:val="00711463"/>
    <w:rsid w:val="00741978"/>
    <w:rsid w:val="0076627A"/>
    <w:rsid w:val="007D5861"/>
    <w:rsid w:val="008B6B83"/>
    <w:rsid w:val="009473D2"/>
    <w:rsid w:val="00B138F4"/>
    <w:rsid w:val="00CC0BC5"/>
    <w:rsid w:val="00E132D7"/>
    <w:rsid w:val="00EB0A11"/>
    <w:rsid w:val="00F76774"/>
    <w:rsid w:val="00FB6E3A"/>
    <w:rsid w:val="02551091"/>
    <w:rsid w:val="0EC15D17"/>
    <w:rsid w:val="17C25FDA"/>
    <w:rsid w:val="26BA22AF"/>
    <w:rsid w:val="319061F2"/>
    <w:rsid w:val="3E1D224B"/>
    <w:rsid w:val="4C491530"/>
    <w:rsid w:val="501A0901"/>
    <w:rsid w:val="547B4A8C"/>
    <w:rsid w:val="63834B13"/>
    <w:rsid w:val="64B36465"/>
    <w:rsid w:val="6B985FC8"/>
    <w:rsid w:val="79C3130E"/>
    <w:rsid w:val="7B2749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5D10"/>
    <w:pPr>
      <w:widowControl w:val="0"/>
      <w:jc w:val="both"/>
    </w:pPr>
    <w:rPr>
      <w:kern w:val="2"/>
      <w:sz w:val="21"/>
      <w:szCs w:val="24"/>
    </w:rPr>
  </w:style>
  <w:style w:type="paragraph" w:styleId="4">
    <w:name w:val="heading 4"/>
    <w:basedOn w:val="a"/>
    <w:next w:val="a"/>
    <w:semiHidden/>
    <w:unhideWhenUsed/>
    <w:qFormat/>
    <w:rsid w:val="006D5D10"/>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D5D10"/>
    <w:pPr>
      <w:jc w:val="left"/>
    </w:pPr>
  </w:style>
  <w:style w:type="paragraph" w:styleId="a4">
    <w:name w:val="Balloon Text"/>
    <w:basedOn w:val="a"/>
    <w:link w:val="Char0"/>
    <w:qFormat/>
    <w:rsid w:val="006D5D10"/>
    <w:rPr>
      <w:sz w:val="18"/>
      <w:szCs w:val="18"/>
    </w:rPr>
  </w:style>
  <w:style w:type="paragraph" w:styleId="a5">
    <w:name w:val="footer"/>
    <w:basedOn w:val="a"/>
    <w:link w:val="Char1"/>
    <w:qFormat/>
    <w:rsid w:val="006D5D10"/>
    <w:pPr>
      <w:tabs>
        <w:tab w:val="center" w:pos="4153"/>
        <w:tab w:val="right" w:pos="8306"/>
      </w:tabs>
      <w:snapToGrid w:val="0"/>
      <w:jc w:val="left"/>
    </w:pPr>
    <w:rPr>
      <w:sz w:val="18"/>
      <w:szCs w:val="18"/>
    </w:rPr>
  </w:style>
  <w:style w:type="paragraph" w:styleId="a6">
    <w:name w:val="header"/>
    <w:basedOn w:val="a"/>
    <w:link w:val="Char2"/>
    <w:qFormat/>
    <w:rsid w:val="006D5D1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6D5D10"/>
    <w:rPr>
      <w:b/>
      <w:bCs/>
    </w:rPr>
  </w:style>
  <w:style w:type="character" w:styleId="a8">
    <w:name w:val="annotation reference"/>
    <w:basedOn w:val="a0"/>
    <w:qFormat/>
    <w:rsid w:val="006D5D10"/>
    <w:rPr>
      <w:sz w:val="21"/>
      <w:szCs w:val="21"/>
    </w:rPr>
  </w:style>
  <w:style w:type="paragraph" w:customStyle="1" w:styleId="1">
    <w:name w:val="样式1"/>
    <w:basedOn w:val="4"/>
    <w:next w:val="a"/>
    <w:qFormat/>
    <w:rsid w:val="006D5D10"/>
    <w:pPr>
      <w:numPr>
        <w:numId w:val="1"/>
      </w:numPr>
    </w:pPr>
    <w:rPr>
      <w:rFonts w:asciiTheme="minorHAnsi" w:hAnsiTheme="minorHAnsi"/>
      <w:sz w:val="24"/>
    </w:rPr>
  </w:style>
  <w:style w:type="character" w:customStyle="1" w:styleId="Char2">
    <w:name w:val="页眉 Char"/>
    <w:basedOn w:val="a0"/>
    <w:link w:val="a6"/>
    <w:qFormat/>
    <w:rsid w:val="006D5D10"/>
    <w:rPr>
      <w:rFonts w:ascii="Times New Roman" w:eastAsia="宋体" w:hAnsi="Times New Roman" w:cs="Times New Roman"/>
      <w:kern w:val="2"/>
      <w:sz w:val="18"/>
      <w:szCs w:val="18"/>
    </w:rPr>
  </w:style>
  <w:style w:type="character" w:customStyle="1" w:styleId="Char1">
    <w:name w:val="页脚 Char"/>
    <w:basedOn w:val="a0"/>
    <w:link w:val="a5"/>
    <w:qFormat/>
    <w:rsid w:val="006D5D10"/>
    <w:rPr>
      <w:rFonts w:ascii="Times New Roman" w:eastAsia="宋体" w:hAnsi="Times New Roman" w:cs="Times New Roman"/>
      <w:kern w:val="2"/>
      <w:sz w:val="18"/>
      <w:szCs w:val="18"/>
    </w:rPr>
  </w:style>
  <w:style w:type="character" w:customStyle="1" w:styleId="Char0">
    <w:name w:val="批注框文本 Char"/>
    <w:basedOn w:val="a0"/>
    <w:link w:val="a4"/>
    <w:qFormat/>
    <w:rsid w:val="006D5D10"/>
    <w:rPr>
      <w:rFonts w:ascii="Times New Roman" w:eastAsia="宋体" w:hAnsi="Times New Roman" w:cs="Times New Roman"/>
      <w:kern w:val="2"/>
      <w:sz w:val="18"/>
      <w:szCs w:val="18"/>
    </w:rPr>
  </w:style>
  <w:style w:type="character" w:customStyle="1" w:styleId="Char">
    <w:name w:val="批注文字 Char"/>
    <w:basedOn w:val="a0"/>
    <w:link w:val="a3"/>
    <w:qFormat/>
    <w:rsid w:val="006D5D10"/>
    <w:rPr>
      <w:rFonts w:ascii="Times New Roman" w:eastAsia="宋体" w:hAnsi="Times New Roman" w:cs="Times New Roman"/>
      <w:kern w:val="2"/>
      <w:sz w:val="21"/>
      <w:szCs w:val="24"/>
    </w:rPr>
  </w:style>
  <w:style w:type="character" w:customStyle="1" w:styleId="Char3">
    <w:name w:val="批注主题 Char"/>
    <w:basedOn w:val="Char"/>
    <w:link w:val="a7"/>
    <w:qFormat/>
    <w:rsid w:val="006D5D10"/>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4</DocSecurity>
  <Lines>1</Lines>
  <Paragraphs>1</Paragraphs>
  <ScaleCrop>false</ScaleCrop>
  <Company>ICBC.V20200907.01</Company>
  <LinksUpToDate>false</LinksUpToDate>
  <CharactersWithSpaces>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cp:lastPrinted>2024-07-22T09:32:00Z</cp:lastPrinted>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B00C3DA7780E49CFB28798986B20F482</vt:lpwstr>
  </property>
</Properties>
</file>