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59F" w:rsidRDefault="00A1759F">
      <w:pPr>
        <w:pStyle w:val="biaogecenter"/>
        <w:rPr>
          <w:sz w:val="30"/>
          <w:szCs w:val="30"/>
        </w:rPr>
      </w:pPr>
      <w:r>
        <w:rPr>
          <w:rFonts w:hint="eastAsia"/>
          <w:b/>
          <w:bCs/>
          <w:sz w:val="30"/>
          <w:szCs w:val="30"/>
        </w:rPr>
        <w:t>财通资管鸿曜90天持有期债券型证券投资基金基金合同生效公告</w:t>
      </w:r>
    </w:p>
    <w:p w:rsidR="00A1759F" w:rsidRDefault="00A1759F">
      <w:pPr>
        <w:pStyle w:val="biaogecenter"/>
        <w:rPr>
          <w:rFonts w:hint="eastAsia"/>
        </w:rPr>
      </w:pPr>
    </w:p>
    <w:p w:rsidR="00A1759F" w:rsidRDefault="00A1759F">
      <w:pPr>
        <w:pStyle w:val="a5"/>
        <w:jc w:val="center"/>
        <w:rPr>
          <w:rFonts w:hint="eastAsia"/>
        </w:rPr>
      </w:pPr>
      <w:r>
        <w:rPr>
          <w:rFonts w:hint="eastAsia"/>
        </w:rPr>
        <w:t>公告送出日期：2025年10月29日</w:t>
      </w:r>
    </w:p>
    <w:p w:rsidR="00A1759F" w:rsidRDefault="00A1759F">
      <w:pPr>
        <w:widowControl/>
        <w:jc w:val="left"/>
        <w:rPr>
          <w:rFonts w:ascii="宋体" w:hAnsi="宋体" w:cs="宋体" w:hint="eastAsia"/>
          <w:kern w:val="0"/>
          <w:sz w:val="24"/>
          <w:szCs w:val="24"/>
        </w:rPr>
      </w:pPr>
    </w:p>
    <w:p w:rsidR="00A1759F" w:rsidRDefault="00A1759F">
      <w:pPr>
        <w:pStyle w:val="dazhangjie"/>
        <w:rPr>
          <w:rFonts w:hint="eastAsia"/>
        </w:rPr>
      </w:pPr>
      <w:r w:rsidRPr="002C37E9">
        <w:rPr>
          <w:rFonts w:hAnsi="Calibri" w:hint="eastAsia"/>
          <w:b/>
          <w:color w:val="000000"/>
        </w:rPr>
        <w:t>1 公告基本信息</w:t>
      </w:r>
    </w:p>
    <w:p w:rsidR="00A1759F" w:rsidRDefault="00A1759F">
      <w:pPr>
        <w:widowControl/>
        <w:jc w:val="left"/>
        <w:rPr>
          <w:rFonts w:ascii="宋体" w:hAnsi="宋体" w:cs="宋体" w:hint="eastAsia"/>
          <w:kern w:val="0"/>
          <w:sz w:val="24"/>
          <w:szCs w:val="24"/>
        </w:rPr>
      </w:pPr>
    </w:p>
    <w:tbl>
      <w:tblPr>
        <w:tblW w:w="8250" w:type="dxa"/>
        <w:tblInd w:w="108" w:type="dxa"/>
        <w:tblLook w:val="04A0"/>
      </w:tblPr>
      <w:tblGrid>
        <w:gridCol w:w="3300"/>
        <w:gridCol w:w="2475"/>
        <w:gridCol w:w="2475"/>
      </w:tblGrid>
      <w:tr w:rsidR="00A1759F" w:rsidRPr="002C37E9">
        <w:tc>
          <w:tcPr>
            <w:tcW w:w="2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基金名称</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财通资管鸿曜90天持有期债券型证券投资基金</w:t>
            </w:r>
          </w:p>
        </w:tc>
      </w:tr>
      <w:tr w:rsidR="00A1759F" w:rsidRPr="002C37E9">
        <w:tc>
          <w:tcPr>
            <w:tcW w:w="0" w:type="auto"/>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基金简称</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财通资管鸿曜90天持有债券</w:t>
            </w:r>
          </w:p>
        </w:tc>
      </w:tr>
      <w:tr w:rsidR="00A1759F" w:rsidRPr="002C37E9">
        <w:tc>
          <w:tcPr>
            <w:tcW w:w="0" w:type="auto"/>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基金主代码</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024303</w:t>
            </w:r>
          </w:p>
        </w:tc>
      </w:tr>
      <w:tr w:rsidR="00A1759F" w:rsidRPr="002C37E9">
        <w:tc>
          <w:tcPr>
            <w:tcW w:w="0" w:type="auto"/>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基金运作方式</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契约型开放式</w:t>
            </w:r>
          </w:p>
        </w:tc>
      </w:tr>
      <w:tr w:rsidR="00A1759F" w:rsidRPr="002C37E9">
        <w:tc>
          <w:tcPr>
            <w:tcW w:w="0" w:type="auto"/>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基金合同生效日</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2025年10月28日</w:t>
            </w:r>
          </w:p>
        </w:tc>
      </w:tr>
      <w:tr w:rsidR="00A1759F" w:rsidRPr="002C37E9">
        <w:tc>
          <w:tcPr>
            <w:tcW w:w="3600" w:type="dxa"/>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基金管理人名称</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财通证券资产管理有限公司</w:t>
            </w:r>
          </w:p>
        </w:tc>
      </w:tr>
      <w:tr w:rsidR="00A1759F" w:rsidRPr="002C37E9">
        <w:tc>
          <w:tcPr>
            <w:tcW w:w="0" w:type="auto"/>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基金托管人名称</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中国农业银行股份有限公司</w:t>
            </w:r>
          </w:p>
        </w:tc>
      </w:tr>
      <w:tr w:rsidR="00A1759F" w:rsidRPr="002C37E9">
        <w:tc>
          <w:tcPr>
            <w:tcW w:w="0" w:type="auto"/>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公告依据</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《中华人民共和国证券投资基金法》、《公开募集证券投资基金运作管理办法》、《财通资管鸿曜90天持有期债券型证券投资基金基金合同》、《财通资管鸿曜90天持有期债券型证券投资基金招募说明书》等</w:t>
            </w:r>
          </w:p>
        </w:tc>
      </w:tr>
      <w:tr w:rsidR="00A1759F" w:rsidRPr="002C37E9">
        <w:tc>
          <w:tcPr>
            <w:tcW w:w="2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下属分级基金的基金简称</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财通资管鸿曜90天持有债券A</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财通资管鸿曜90天持有债券C</w:t>
            </w:r>
          </w:p>
        </w:tc>
      </w:tr>
      <w:tr w:rsidR="00A1759F" w:rsidRPr="002C37E9">
        <w:tc>
          <w:tcPr>
            <w:tcW w:w="2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下属分级基金的交易代码</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024303</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024304</w:t>
            </w:r>
          </w:p>
        </w:tc>
      </w:tr>
    </w:tbl>
    <w:p w:rsidR="00A1759F" w:rsidRDefault="00A1759F">
      <w:pPr>
        <w:widowControl/>
        <w:jc w:val="left"/>
        <w:rPr>
          <w:rFonts w:ascii="宋体" w:hAnsi="宋体" w:cs="宋体" w:hint="eastAsia"/>
          <w:kern w:val="0"/>
          <w:sz w:val="24"/>
          <w:szCs w:val="24"/>
        </w:rPr>
      </w:pPr>
    </w:p>
    <w:p w:rsidR="00A1759F" w:rsidRDefault="00A1759F">
      <w:pPr>
        <w:pStyle w:val="dazhangjie"/>
        <w:divId w:val="2077194204"/>
        <w:rPr>
          <w:rFonts w:hint="eastAsia"/>
        </w:rPr>
      </w:pPr>
      <w:r w:rsidRPr="002C37E9">
        <w:rPr>
          <w:rFonts w:hAnsi="Calibri" w:hint="eastAsia"/>
          <w:b/>
          <w:color w:val="000000"/>
        </w:rPr>
        <w:t>2 基金募集情况</w:t>
      </w:r>
    </w:p>
    <w:p w:rsidR="00A1759F" w:rsidRDefault="00A1759F">
      <w:pPr>
        <w:widowControl/>
        <w:jc w:val="left"/>
        <w:divId w:val="2077194204"/>
        <w:rPr>
          <w:rFonts w:ascii="宋体" w:hAnsi="宋体" w:cs="宋体" w:hint="eastAsia"/>
          <w:kern w:val="0"/>
          <w:sz w:val="24"/>
          <w:szCs w:val="24"/>
        </w:rPr>
      </w:pPr>
    </w:p>
    <w:tbl>
      <w:tblPr>
        <w:tblW w:w="8250" w:type="dxa"/>
        <w:tblInd w:w="108" w:type="dxa"/>
        <w:tblLook w:val="04A0"/>
      </w:tblPr>
      <w:tblGrid>
        <w:gridCol w:w="1650"/>
        <w:gridCol w:w="1650"/>
        <w:gridCol w:w="1650"/>
        <w:gridCol w:w="1650"/>
        <w:gridCol w:w="1650"/>
      </w:tblGrid>
      <w:tr w:rsidR="00A1759F" w:rsidRPr="002C37E9">
        <w:trPr>
          <w:divId w:val="2077194204"/>
        </w:trPr>
        <w:tc>
          <w:tcPr>
            <w:tcW w:w="2000" w:type="pct"/>
            <w:gridSpan w:val="2"/>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基金募集申请获中国证监会核准的文号</w:t>
            </w:r>
          </w:p>
        </w:tc>
        <w:tc>
          <w:tcPr>
            <w:tcW w:w="0" w:type="auto"/>
            <w:gridSpan w:val="3"/>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Pr>
                <w:rFonts w:hint="eastAsia"/>
              </w:rPr>
              <w:t>证监许可[2025]963号</w:t>
            </w:r>
          </w:p>
        </w:tc>
      </w:tr>
      <w:tr w:rsidR="00A1759F" w:rsidRPr="002C37E9">
        <w:trPr>
          <w:divId w:val="2077194204"/>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基金募集期间</w:t>
            </w:r>
          </w:p>
        </w:tc>
        <w:tc>
          <w:tcPr>
            <w:tcW w:w="0" w:type="auto"/>
            <w:gridSpan w:val="3"/>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Pr>
                <w:rFonts w:hint="eastAsia"/>
              </w:rPr>
              <w:t>自2025年10月09日至2025年10月24日止</w:t>
            </w:r>
          </w:p>
        </w:tc>
      </w:tr>
      <w:tr w:rsidR="00A1759F" w:rsidRPr="002C37E9">
        <w:trPr>
          <w:divId w:val="2077194204"/>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验资机构名称</w:t>
            </w:r>
          </w:p>
        </w:tc>
        <w:tc>
          <w:tcPr>
            <w:tcW w:w="0" w:type="auto"/>
            <w:gridSpan w:val="3"/>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Pr>
                <w:rFonts w:hint="eastAsia"/>
              </w:rPr>
              <w:t>德勤华永会计师事务所（特殊普通合伙）</w:t>
            </w:r>
          </w:p>
        </w:tc>
      </w:tr>
      <w:tr w:rsidR="00A1759F" w:rsidRPr="002C37E9">
        <w:trPr>
          <w:divId w:val="2077194204"/>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募集资金划入基金托管专户的日期</w:t>
            </w:r>
          </w:p>
        </w:tc>
        <w:tc>
          <w:tcPr>
            <w:tcW w:w="0" w:type="auto"/>
            <w:gridSpan w:val="3"/>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Pr>
                <w:rFonts w:hint="eastAsia"/>
              </w:rPr>
              <w:t>2025年10月28日</w:t>
            </w:r>
          </w:p>
        </w:tc>
      </w:tr>
      <w:tr w:rsidR="00A1759F" w:rsidRPr="002C37E9">
        <w:trPr>
          <w:divId w:val="2077194204"/>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募集有效认购总户数（单位：户）</w:t>
            </w:r>
          </w:p>
        </w:tc>
        <w:tc>
          <w:tcPr>
            <w:tcW w:w="0" w:type="auto"/>
            <w:gridSpan w:val="3"/>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Pr>
                <w:rFonts w:hint="eastAsia"/>
              </w:rPr>
              <w:t>2,704</w:t>
            </w:r>
          </w:p>
        </w:tc>
      </w:tr>
      <w:tr w:rsidR="00A1759F" w:rsidRPr="002C37E9">
        <w:trPr>
          <w:divId w:val="2077194204"/>
        </w:trPr>
        <w:tc>
          <w:tcPr>
            <w:tcW w:w="2000" w:type="pct"/>
            <w:gridSpan w:val="2"/>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lastRenderedPageBreak/>
              <w:t>份额级别</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财通资管鸿曜90天持有债券A</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财通资管鸿曜90天持有债券C</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合计</w:t>
            </w:r>
          </w:p>
        </w:tc>
      </w:tr>
      <w:tr w:rsidR="00A1759F" w:rsidRPr="002C37E9">
        <w:trPr>
          <w:divId w:val="2077194204"/>
        </w:trPr>
        <w:tc>
          <w:tcPr>
            <w:tcW w:w="2000" w:type="pct"/>
            <w:gridSpan w:val="2"/>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募集期间净认购金额（单位：人民币元 ）</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693,038,043.99</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639,859,378.58</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1,332,897,422.57</w:t>
            </w:r>
          </w:p>
        </w:tc>
      </w:tr>
      <w:tr w:rsidR="00A1759F" w:rsidRPr="002C37E9">
        <w:trPr>
          <w:divId w:val="2077194204"/>
        </w:trPr>
        <w:tc>
          <w:tcPr>
            <w:tcW w:w="2000" w:type="pct"/>
            <w:gridSpan w:val="2"/>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认购资金在募集期间产生的利息（单位：人民币元 ）</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250,495.99</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169,655.43</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420,151.42</w:t>
            </w:r>
          </w:p>
        </w:tc>
      </w:tr>
      <w:tr w:rsidR="00A1759F" w:rsidRPr="002C37E9">
        <w:trPr>
          <w:divId w:val="2077194204"/>
        </w:trPr>
        <w:tc>
          <w:tcPr>
            <w:tcW w:w="1000" w:type="pct"/>
            <w:vMerge w:val="restar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募集份额（单位： 份 ）</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有效认购份额</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693,038,043.99</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639,859,378.58</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1,332,897,422.57</w:t>
            </w:r>
          </w:p>
        </w:tc>
      </w:tr>
      <w:tr w:rsidR="00A1759F" w:rsidRPr="002C37E9">
        <w:trPr>
          <w:divId w:val="2077194204"/>
        </w:trPr>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A1759F" w:rsidRDefault="00A1759F">
            <w:pPr>
              <w:widowControl/>
              <w:jc w:val="left"/>
              <w:rPr>
                <w:rFonts w:ascii="宋体" w:hAnsi="宋体" w:cs="宋体"/>
                <w:kern w:val="0"/>
                <w:sz w:val="24"/>
                <w:szCs w:val="24"/>
              </w:rPr>
            </w:pP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利息结转的份额</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250,495.99</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169,655.43</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420,151.42</w:t>
            </w:r>
          </w:p>
        </w:tc>
      </w:tr>
      <w:tr w:rsidR="00A1759F" w:rsidRPr="002C37E9">
        <w:trPr>
          <w:divId w:val="2077194204"/>
        </w:trPr>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A1759F" w:rsidRDefault="00A1759F">
            <w:pPr>
              <w:widowControl/>
              <w:jc w:val="left"/>
              <w:rPr>
                <w:rFonts w:ascii="宋体" w:hAnsi="宋体" w:cs="宋体"/>
                <w:kern w:val="0"/>
                <w:sz w:val="24"/>
                <w:szCs w:val="24"/>
              </w:rPr>
            </w:pP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合计</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693,288,539.98</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640,029,034.01</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1,333,317,573.99</w:t>
            </w:r>
          </w:p>
        </w:tc>
      </w:tr>
      <w:tr w:rsidR="00A1759F" w:rsidRPr="002C37E9">
        <w:trPr>
          <w:divId w:val="2077194204"/>
        </w:trPr>
        <w:tc>
          <w:tcPr>
            <w:tcW w:w="1000" w:type="pct"/>
            <w:vMerge w:val="restar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其中：募集期间基金管理人运用固有资金认购本基金情况</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认购的基金份额（单位：份 ）</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0.00</w:t>
            </w:r>
          </w:p>
        </w:tc>
      </w:tr>
      <w:tr w:rsidR="00A1759F" w:rsidRPr="002C37E9">
        <w:trPr>
          <w:divId w:val="2077194204"/>
        </w:trPr>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A1759F" w:rsidRDefault="00A1759F">
            <w:pPr>
              <w:widowControl/>
              <w:jc w:val="left"/>
              <w:rPr>
                <w:rFonts w:ascii="宋体" w:hAnsi="宋体" w:cs="宋体"/>
                <w:kern w:val="0"/>
                <w:sz w:val="24"/>
                <w:szCs w:val="24"/>
              </w:rPr>
            </w:pP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占基金总份额比例</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0%</w:t>
            </w:r>
          </w:p>
        </w:tc>
      </w:tr>
      <w:tr w:rsidR="00A1759F" w:rsidRPr="002C37E9">
        <w:trPr>
          <w:divId w:val="2077194204"/>
        </w:trPr>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A1759F" w:rsidRDefault="00A1759F">
            <w:pPr>
              <w:widowControl/>
              <w:jc w:val="left"/>
              <w:rPr>
                <w:rFonts w:ascii="宋体" w:hAnsi="宋体" w:cs="宋体"/>
                <w:kern w:val="0"/>
                <w:sz w:val="24"/>
                <w:szCs w:val="24"/>
              </w:rPr>
            </w:pP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其他需要说明的事项</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w:t>
            </w:r>
          </w:p>
        </w:tc>
      </w:tr>
      <w:tr w:rsidR="00A1759F" w:rsidRPr="002C37E9">
        <w:trPr>
          <w:divId w:val="2077194204"/>
        </w:trPr>
        <w:tc>
          <w:tcPr>
            <w:tcW w:w="1000" w:type="pct"/>
            <w:vMerge w:val="restar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其中：募集期间基金管理人的从业人员认购本基金情况</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认购的基金份额（单位：份 ）</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51,406.60</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1,506.05</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52,912.65</w:t>
            </w:r>
          </w:p>
        </w:tc>
      </w:tr>
      <w:tr w:rsidR="00A1759F" w:rsidRPr="002C37E9">
        <w:trPr>
          <w:divId w:val="2077194204"/>
        </w:trPr>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A1759F" w:rsidRDefault="00A1759F">
            <w:pPr>
              <w:widowControl/>
              <w:jc w:val="left"/>
              <w:rPr>
                <w:rFonts w:ascii="宋体" w:hAnsi="宋体" w:cs="宋体"/>
                <w:kern w:val="0"/>
                <w:sz w:val="24"/>
                <w:szCs w:val="24"/>
              </w:rPr>
            </w:pP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占基金总份额比例</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0.0074%</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0.0002%</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sidRPr="002C37E9">
              <w:rPr>
                <w:rFonts w:hAnsi="Calibri" w:hint="eastAsia"/>
                <w:color w:val="000000"/>
              </w:rPr>
              <w:t>0.0040%</w:t>
            </w:r>
          </w:p>
        </w:tc>
      </w:tr>
      <w:tr w:rsidR="00A1759F" w:rsidRPr="002C37E9">
        <w:trPr>
          <w:divId w:val="2077194204"/>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募集期限届满基金是否符合法律法规规定的办理基金备案手续的条件</w:t>
            </w:r>
          </w:p>
        </w:tc>
        <w:tc>
          <w:tcPr>
            <w:tcW w:w="0" w:type="auto"/>
            <w:gridSpan w:val="3"/>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Pr>
                <w:rFonts w:hint="eastAsia"/>
              </w:rPr>
              <w:t>是</w:t>
            </w:r>
          </w:p>
        </w:tc>
      </w:tr>
      <w:tr w:rsidR="00A1759F" w:rsidRPr="002C37E9">
        <w:trPr>
          <w:divId w:val="2077194204"/>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left"/>
              <w:wordWrap w:val="0"/>
            </w:pPr>
            <w:r>
              <w:rPr>
                <w:rFonts w:hint="eastAsia"/>
              </w:rPr>
              <w:t>向中国证监会办理基金备案手续获得书面确认的日期</w:t>
            </w:r>
          </w:p>
        </w:tc>
        <w:tc>
          <w:tcPr>
            <w:tcW w:w="0" w:type="auto"/>
            <w:gridSpan w:val="3"/>
            <w:tcBorders>
              <w:top w:val="single" w:sz="8" w:space="0" w:color="000000"/>
              <w:left w:val="single" w:sz="8" w:space="0" w:color="000000"/>
              <w:bottom w:val="single" w:sz="6" w:space="0" w:color="000000"/>
              <w:right w:val="single" w:sz="8" w:space="0" w:color="000000"/>
            </w:tcBorders>
            <w:vAlign w:val="center"/>
            <w:hideMark/>
          </w:tcPr>
          <w:p w:rsidR="00A1759F" w:rsidRDefault="00A1759F">
            <w:pPr>
              <w:pStyle w:val="biaogecenter"/>
              <w:wordWrap w:val="0"/>
            </w:pPr>
            <w:r>
              <w:rPr>
                <w:rFonts w:hint="eastAsia"/>
              </w:rPr>
              <w:t>2025年10月28日</w:t>
            </w:r>
          </w:p>
        </w:tc>
      </w:tr>
    </w:tbl>
    <w:p w:rsidR="00A1759F" w:rsidRDefault="00A1759F">
      <w:pPr>
        <w:pStyle w:val="neirong"/>
        <w:divId w:val="2077194204"/>
        <w:rPr>
          <w:rFonts w:hint="eastAsia"/>
        </w:rPr>
      </w:pPr>
      <w:r>
        <w:rPr>
          <w:rFonts w:hint="eastAsia"/>
        </w:rPr>
        <w:t>注：1、本基金合同生效前的律师费、会计师费、信息披露费由基金管理人承担，不从基金资产中支付。</w:t>
      </w:r>
      <w:r>
        <w:rPr>
          <w:rFonts w:hint="eastAsia"/>
        </w:rPr>
        <w:br/>
        <w:t>2、本基金管理人的高级管理人员、基金投资和研究部门负责人未认购本基金份额。</w:t>
      </w:r>
      <w:r>
        <w:rPr>
          <w:rFonts w:hint="eastAsia"/>
        </w:rPr>
        <w:br/>
        <w:t>3、本基金的基金经理认购本基金份额 0-10万份。</w:t>
      </w:r>
    </w:p>
    <w:p w:rsidR="00A1759F" w:rsidRDefault="00A1759F">
      <w:pPr>
        <w:widowControl/>
        <w:jc w:val="left"/>
        <w:rPr>
          <w:rFonts w:ascii="宋体" w:hAnsi="宋体" w:cs="宋体" w:hint="eastAsia"/>
          <w:kern w:val="0"/>
          <w:sz w:val="24"/>
          <w:szCs w:val="24"/>
        </w:rPr>
      </w:pPr>
    </w:p>
    <w:p w:rsidR="00A1759F" w:rsidRDefault="00A1759F">
      <w:pPr>
        <w:pStyle w:val="dazhangjie"/>
        <w:rPr>
          <w:rFonts w:hint="eastAsia"/>
        </w:rPr>
      </w:pPr>
      <w:r>
        <w:rPr>
          <w:rFonts w:hint="eastAsia"/>
          <w:b/>
          <w:bCs/>
        </w:rPr>
        <w:t>3 其他需要提示的事项</w:t>
      </w:r>
    </w:p>
    <w:p w:rsidR="00A1759F" w:rsidRDefault="00A1759F">
      <w:pPr>
        <w:pStyle w:val="neirong"/>
        <w:rPr>
          <w:rFonts w:hint="eastAsia"/>
        </w:rPr>
      </w:pPr>
      <w:r>
        <w:rPr>
          <w:rFonts w:hint="eastAsia"/>
        </w:rPr>
        <w:t>  自基金合同生效之日起，本基金管理人正式运作本基金。基金管理人可根据实际情况依法决定本基金开始办理申购的具体日期，基金管理人自基金合同生效日后的第90天（如该日为非工作日，则顺延至下一工作日）开始办理赎回。在确定申购开始与赎回开始时间后，基金管理人应在申购、赎回开放日前依照《信息披露办法》的有关规定在规定媒介上公告申购与赎回的开始时间。</w:t>
      </w:r>
      <w:r>
        <w:rPr>
          <w:rFonts w:hint="eastAsia"/>
        </w:rPr>
        <w:br/>
        <w:t>  风险提示：本公司承诺以诚实信用、勤勉尽责的原则管理和运用基金资产，但不保证基金一定盈利，也不保证最低收益。敬请投资人注意投资风险。投资者投资于上述基金前应认真阅读基金的基金合同、招募说明书。</w:t>
      </w:r>
      <w:r>
        <w:rPr>
          <w:rFonts w:hint="eastAsia"/>
        </w:rPr>
        <w:br/>
        <w:t>  特此公告。</w:t>
      </w:r>
      <w:r>
        <w:rPr>
          <w:rFonts w:hint="eastAsia"/>
        </w:rPr>
        <w:br/>
        <w:t>  </w:t>
      </w:r>
    </w:p>
    <w:p w:rsidR="00A1759F" w:rsidRDefault="00A1759F">
      <w:pPr>
        <w:widowControl/>
        <w:jc w:val="left"/>
        <w:rPr>
          <w:rFonts w:ascii="宋体" w:hAnsi="宋体" w:cs="宋体" w:hint="eastAsia"/>
          <w:kern w:val="0"/>
          <w:sz w:val="24"/>
          <w:szCs w:val="24"/>
        </w:rPr>
      </w:pPr>
    </w:p>
    <w:p w:rsidR="00A1759F" w:rsidRDefault="00A1759F">
      <w:pPr>
        <w:pStyle w:val="biaogeright"/>
        <w:rPr>
          <w:rFonts w:hint="eastAsia"/>
        </w:rPr>
      </w:pPr>
      <w:r w:rsidRPr="002C37E9">
        <w:rPr>
          <w:rFonts w:hAnsi="Calibri" w:hint="eastAsia"/>
          <w:b/>
          <w:bCs/>
          <w:color w:val="000000"/>
        </w:rPr>
        <w:t>财通证券资产管理有限公司</w:t>
      </w:r>
    </w:p>
    <w:p w:rsidR="00A1759F" w:rsidRDefault="00A1759F">
      <w:pPr>
        <w:pStyle w:val="biaogeright"/>
        <w:rPr>
          <w:rFonts w:hint="eastAsia"/>
        </w:rPr>
      </w:pPr>
      <w:r w:rsidRPr="002C37E9">
        <w:rPr>
          <w:rFonts w:hAnsi="Calibri" w:hint="eastAsia"/>
          <w:b/>
          <w:bCs/>
          <w:color w:val="000000"/>
        </w:rPr>
        <w:t>2025年10月29日</w:t>
      </w:r>
    </w:p>
    <w:p w:rsidR="00A1759F" w:rsidRDefault="00A1759F">
      <w:pPr>
        <w:widowControl/>
        <w:spacing w:after="240"/>
        <w:jc w:val="left"/>
        <w:rPr>
          <w:rFonts w:ascii="宋体" w:hAnsi="宋体" w:cs="宋体" w:hint="eastAsia"/>
          <w:kern w:val="0"/>
          <w:sz w:val="24"/>
          <w:szCs w:val="24"/>
        </w:rPr>
      </w:pPr>
      <w:r>
        <w:rPr>
          <w:rFonts w:ascii="宋体" w:hAnsi="宋体" w:cs="宋体" w:hint="eastAsia"/>
          <w:kern w:val="0"/>
          <w:sz w:val="24"/>
          <w:szCs w:val="24"/>
        </w:rPr>
        <w:br/>
      </w:r>
    </w:p>
    <w:sectPr w:rsidR="00A1759F">
      <w:pgSz w:w="11926" w:h="15840"/>
      <w:pgMar w:top="1418" w:right="1418" w:bottom="853"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59F" w:rsidRDefault="00A1759F" w:rsidP="002C37E9">
      <w:r>
        <w:separator/>
      </w:r>
    </w:p>
  </w:endnote>
  <w:endnote w:type="continuationSeparator" w:id="0">
    <w:p w:rsidR="00A1759F" w:rsidRDefault="00A1759F" w:rsidP="002C37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59F" w:rsidRDefault="00A1759F" w:rsidP="002C37E9">
      <w:r>
        <w:separator/>
      </w:r>
    </w:p>
  </w:footnote>
  <w:footnote w:type="continuationSeparator" w:id="0">
    <w:p w:rsidR="00A1759F" w:rsidRDefault="00A1759F" w:rsidP="002C37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720"/>
  <w:noPunctuationKerning/>
  <w:characterSpacingControl w:val="compressPunctuation"/>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C37E9"/>
    <w:rsid w:val="002C37E9"/>
    <w:rsid w:val="00386F2F"/>
    <w:rsid w:val="00A1759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fy">
    <w:name w:val="msonormalfy"/>
    <w:qFormat/>
    <w:pPr>
      <w:widowControl w:val="0"/>
      <w:jc w:val="center"/>
    </w:pPr>
    <w:rPr>
      <w:rFonts w:cs="Times New Roman"/>
      <w:kern w:val="2"/>
      <w:sz w:val="33"/>
      <w:szCs w:val="22"/>
    </w:rPr>
  </w:style>
  <w:style w:type="paragraph" w:customStyle="1" w:styleId="msonormalnone">
    <w:name w:val="msonormal_none"/>
    <w:qFormat/>
    <w:pPr>
      <w:widowControl w:val="0"/>
    </w:pPr>
    <w:rPr>
      <w:rFonts w:cs="Times New Roman"/>
      <w:kern w:val="2"/>
      <w:sz w:val="21"/>
      <w:szCs w:val="22"/>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Pr>
      <w:rFonts w:ascii="Times New Roman" w:hAnsi="Times New Roman" w:cs="Times New Roman" w:hint="default"/>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link w:val="a4"/>
    <w:uiPriority w:val="99"/>
    <w:locked/>
    <w:rPr>
      <w:rFonts w:ascii="Times New Roman" w:hAnsi="Times New Roman" w:cs="Times New Roman" w:hint="default"/>
      <w:sz w:val="18"/>
      <w:szCs w:val="18"/>
    </w:rPr>
  </w:style>
  <w:style w:type="paragraph" w:customStyle="1" w:styleId="msonormal1">
    <w:name w:val="msonormal1"/>
    <w:qFormat/>
    <w:pPr>
      <w:widowControl w:val="0"/>
      <w:jc w:val="both"/>
    </w:pPr>
    <w:rPr>
      <w:rFonts w:cs="Times New Roman"/>
      <w:kern w:val="2"/>
      <w:sz w:val="21"/>
      <w:szCs w:val="22"/>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zhangjiep">
    <w:name w:val="zhangjie_p"/>
    <w:basedOn w:val="a"/>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zhangjiep2">
    <w:name w:val="zhangjie_p2"/>
    <w:basedOn w:val="a"/>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zhongyaotishi">
    <w:name w:val="zhongyaotishi"/>
    <w:basedOn w:val="a"/>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 w:type="paragraph" w:customStyle="1" w:styleId="biaogeright1">
    <w:name w:val="biaoge_right1"/>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styleId="a5">
    <w:name w:val="Normal (Web)"/>
    <w:basedOn w:val="a"/>
    <w:uiPriority w:val="99"/>
    <w:semiHidden/>
    <w:unhideWhenUse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7719420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232</Words>
  <Characters>1323</Characters>
  <Application>Microsoft Office Word</Application>
  <DocSecurity>4</DocSecurity>
  <Lines>11</Lines>
  <Paragraphs>3</Paragraphs>
  <ScaleCrop>false</ScaleCrop>
  <Company/>
  <LinksUpToDate>false</LinksUpToDate>
  <CharactersWithSpaces>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zhuoyue</dc:creator>
  <cp:keywords/>
  <dc:description/>
  <cp:lastModifiedBy>ZHONGM</cp:lastModifiedBy>
  <cp:revision>2</cp:revision>
  <dcterms:created xsi:type="dcterms:W3CDTF">2025-10-28T16:03:00Z</dcterms:created>
  <dcterms:modified xsi:type="dcterms:W3CDTF">2025-10-28T16:03:00Z</dcterms:modified>
</cp:coreProperties>
</file>