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E4" w:rsidRDefault="00AB2E45">
      <w:pPr>
        <w:jc w:val="center"/>
        <w:rPr>
          <w:b/>
          <w:color w:val="000000"/>
          <w:sz w:val="30"/>
          <w:szCs w:val="30"/>
        </w:rPr>
      </w:pPr>
      <w:r>
        <w:rPr>
          <w:rFonts w:ascii="宋体" w:hAnsi="宋体" w:hint="eastAsia"/>
          <w:b/>
          <w:color w:val="000000"/>
          <w:kern w:val="0"/>
          <w:sz w:val="30"/>
          <w:szCs w:val="30"/>
        </w:rPr>
        <w:t>富国稳健添荣债券型证券投资基金基金合同生效公告</w:t>
      </w:r>
    </w:p>
    <w:p w:rsidR="000356E4" w:rsidRDefault="000356E4">
      <w:pPr>
        <w:jc w:val="right"/>
        <w:rPr>
          <w:b/>
          <w:color w:val="000000"/>
          <w:sz w:val="30"/>
          <w:szCs w:val="30"/>
        </w:rPr>
      </w:pPr>
    </w:p>
    <w:p w:rsidR="000356E4" w:rsidRDefault="00AB2E45">
      <w:pPr>
        <w:jc w:val="center"/>
        <w:rPr>
          <w:rFonts w:ascii="宋体" w:hAnsi="宋体"/>
          <w:color w:val="000000"/>
          <w:kern w:val="0"/>
          <w:sz w:val="18"/>
        </w:rPr>
      </w:pPr>
      <w:r>
        <w:rPr>
          <w:rFonts w:ascii="宋体" w:hAnsi="宋体" w:hint="eastAsia"/>
          <w:color w:val="000000"/>
          <w:sz w:val="24"/>
        </w:rPr>
        <w:t>公告送出日期：</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29</w:t>
      </w:r>
      <w:r>
        <w:rPr>
          <w:rFonts w:ascii="宋体" w:hAnsi="宋体" w:hint="eastAsia"/>
          <w:color w:val="000000"/>
          <w:kern w:val="0"/>
          <w:sz w:val="24"/>
        </w:rPr>
        <w:t>日</w:t>
      </w:r>
    </w:p>
    <w:p w:rsidR="000356E4" w:rsidRDefault="000356E4">
      <w:pPr>
        <w:jc w:val="right"/>
      </w:pPr>
    </w:p>
    <w:p w:rsidR="000356E4" w:rsidRDefault="00AB2E45">
      <w:pPr>
        <w:pStyle w:val="1"/>
      </w:pPr>
      <w:r>
        <w:rPr>
          <w:rFonts w:hint="eastAsia"/>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2480"/>
        <w:gridCol w:w="2541"/>
      </w:tblGrid>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基金名称</w:t>
            </w:r>
          </w:p>
        </w:tc>
        <w:tc>
          <w:tcPr>
            <w:tcW w:w="2946" w:type="pct"/>
            <w:gridSpan w:val="2"/>
          </w:tcPr>
          <w:p w:rsidR="000356E4" w:rsidRDefault="00AB2E45">
            <w:pPr>
              <w:rPr>
                <w:rFonts w:ascii="宋体" w:hAnsi="宋体"/>
                <w:color w:val="000000"/>
                <w:sz w:val="24"/>
                <w:highlight w:val="cyan"/>
              </w:rPr>
            </w:pPr>
            <w:r>
              <w:rPr>
                <w:rFonts w:ascii="宋体" w:hAnsi="宋体" w:hint="eastAsia"/>
                <w:color w:val="000000"/>
                <w:kern w:val="0"/>
                <w:sz w:val="24"/>
              </w:rPr>
              <w:t>富国稳健添荣债券型证券投资基金</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基金简称</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富国稳健添荣债券</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基金主代码</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024958</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基金运作方式</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契约型开放式</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基金合同生效日</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28</w:t>
            </w:r>
            <w:r>
              <w:rPr>
                <w:rFonts w:ascii="宋体" w:hAnsi="宋体" w:hint="eastAsia"/>
                <w:color w:val="000000"/>
                <w:kern w:val="0"/>
                <w:sz w:val="24"/>
              </w:rPr>
              <w:t>日</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基金管理人名称</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富国基金管理有限公司</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基金托管人名称</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兴业银行股份有限公司</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公告依据</w:t>
            </w:r>
          </w:p>
        </w:tc>
        <w:tc>
          <w:tcPr>
            <w:tcW w:w="2946" w:type="pct"/>
            <w:gridSpan w:val="2"/>
          </w:tcPr>
          <w:p w:rsidR="000356E4" w:rsidRDefault="00AB2E45">
            <w:pPr>
              <w:rPr>
                <w:rFonts w:ascii="宋体" w:hAnsi="宋体"/>
                <w:color w:val="000000"/>
                <w:kern w:val="0"/>
                <w:sz w:val="24"/>
              </w:rPr>
            </w:pPr>
            <w:r>
              <w:rPr>
                <w:rFonts w:ascii="宋体" w:hAnsi="宋体" w:hint="eastAsia"/>
                <w:color w:val="000000"/>
                <w:kern w:val="0"/>
                <w:sz w:val="24"/>
              </w:rPr>
              <w:t>《中华人民共和国证券投资基金法》及配套法规、《富国稳健添荣债券型证券投资基金基金合同》、《富国稳健添荣债券型证券投资基金招募说明书》</w:t>
            </w:r>
          </w:p>
        </w:tc>
      </w:tr>
      <w:tr w:rsidR="000356E4">
        <w:trPr>
          <w:jc w:val="center"/>
        </w:trPr>
        <w:tc>
          <w:tcPr>
            <w:tcW w:w="2054" w:type="pct"/>
          </w:tcPr>
          <w:p w:rsidR="000356E4" w:rsidRDefault="00AB2E45">
            <w:pPr>
              <w:rPr>
                <w:rFonts w:ascii="宋体" w:hAnsi="宋体"/>
                <w:color w:val="000000"/>
                <w:sz w:val="24"/>
              </w:rPr>
            </w:pPr>
            <w:r>
              <w:rPr>
                <w:rFonts w:ascii="宋体" w:hAnsi="宋体" w:hint="eastAsia"/>
                <w:color w:val="000000"/>
                <w:sz w:val="24"/>
              </w:rPr>
              <w:t>下属分级基金的基金简称</w:t>
            </w:r>
          </w:p>
        </w:tc>
        <w:tc>
          <w:tcPr>
            <w:tcW w:w="1455" w:type="pct"/>
          </w:tcPr>
          <w:p w:rsidR="000356E4" w:rsidRDefault="00AB2E45">
            <w:pPr>
              <w:jc w:val="left"/>
              <w:rPr>
                <w:rFonts w:ascii="宋体" w:hAnsi="宋体"/>
                <w:color w:val="000000"/>
                <w:kern w:val="0"/>
                <w:sz w:val="24"/>
              </w:rPr>
            </w:pPr>
            <w:r>
              <w:rPr>
                <w:rFonts w:ascii="宋体" w:hAnsi="宋体" w:hint="eastAsia"/>
                <w:color w:val="000000"/>
                <w:kern w:val="0"/>
                <w:sz w:val="24"/>
              </w:rPr>
              <w:t>富国稳健添荣债券</w:t>
            </w:r>
            <w:r>
              <w:rPr>
                <w:rFonts w:ascii="宋体" w:hAnsi="宋体" w:hint="eastAsia"/>
                <w:color w:val="000000"/>
                <w:kern w:val="0"/>
                <w:sz w:val="24"/>
              </w:rPr>
              <w:t>A</w:t>
            </w:r>
          </w:p>
        </w:tc>
        <w:tc>
          <w:tcPr>
            <w:tcW w:w="1491" w:type="pct"/>
          </w:tcPr>
          <w:p w:rsidR="000356E4" w:rsidRDefault="00AB2E45">
            <w:pPr>
              <w:jc w:val="left"/>
              <w:rPr>
                <w:rFonts w:ascii="宋体" w:hAnsi="宋体"/>
                <w:color w:val="000000"/>
                <w:kern w:val="0"/>
                <w:sz w:val="24"/>
              </w:rPr>
            </w:pPr>
            <w:r>
              <w:rPr>
                <w:rFonts w:ascii="宋体" w:hAnsi="宋体" w:hint="eastAsia"/>
                <w:color w:val="000000"/>
                <w:kern w:val="0"/>
                <w:sz w:val="24"/>
              </w:rPr>
              <w:t>富国稳健添荣债券</w:t>
            </w:r>
            <w:r>
              <w:rPr>
                <w:rFonts w:ascii="宋体" w:hAnsi="宋体" w:hint="eastAsia"/>
                <w:color w:val="000000"/>
                <w:kern w:val="0"/>
                <w:sz w:val="24"/>
              </w:rPr>
              <w:t>C</w:t>
            </w:r>
          </w:p>
        </w:tc>
      </w:tr>
      <w:tr w:rsidR="000356E4">
        <w:trPr>
          <w:jc w:val="center"/>
        </w:trPr>
        <w:tc>
          <w:tcPr>
            <w:tcW w:w="2054" w:type="pct"/>
            <w:vAlign w:val="center"/>
          </w:tcPr>
          <w:p w:rsidR="000356E4" w:rsidRDefault="00AB2E45">
            <w:pPr>
              <w:rPr>
                <w:rFonts w:ascii="宋体" w:hAnsi="宋体"/>
                <w:color w:val="000000"/>
                <w:sz w:val="24"/>
              </w:rPr>
            </w:pPr>
            <w:r>
              <w:rPr>
                <w:rFonts w:ascii="宋体" w:hAnsi="宋体" w:hint="eastAsia"/>
                <w:color w:val="000000"/>
                <w:sz w:val="24"/>
              </w:rPr>
              <w:t>下属分级基金的交易代码</w:t>
            </w:r>
          </w:p>
        </w:tc>
        <w:tc>
          <w:tcPr>
            <w:tcW w:w="1455" w:type="pct"/>
          </w:tcPr>
          <w:p w:rsidR="000356E4" w:rsidRDefault="00AB2E45">
            <w:pPr>
              <w:jc w:val="left"/>
              <w:rPr>
                <w:rFonts w:ascii="宋体" w:hAnsi="宋体"/>
                <w:color w:val="000000"/>
                <w:kern w:val="0"/>
                <w:sz w:val="24"/>
              </w:rPr>
            </w:pPr>
            <w:r>
              <w:rPr>
                <w:rFonts w:ascii="宋体" w:hAnsi="宋体" w:hint="eastAsia"/>
                <w:color w:val="000000"/>
                <w:kern w:val="0"/>
                <w:sz w:val="24"/>
              </w:rPr>
              <w:t>024958</w:t>
            </w:r>
          </w:p>
        </w:tc>
        <w:tc>
          <w:tcPr>
            <w:tcW w:w="1491" w:type="pct"/>
          </w:tcPr>
          <w:p w:rsidR="000356E4" w:rsidRDefault="00AB2E45">
            <w:pPr>
              <w:jc w:val="left"/>
              <w:rPr>
                <w:rFonts w:ascii="宋体" w:hAnsi="宋体"/>
                <w:color w:val="000000"/>
                <w:kern w:val="0"/>
                <w:sz w:val="24"/>
              </w:rPr>
            </w:pPr>
            <w:r>
              <w:rPr>
                <w:rFonts w:ascii="宋体" w:hAnsi="宋体" w:hint="eastAsia"/>
                <w:color w:val="000000"/>
                <w:kern w:val="0"/>
                <w:sz w:val="24"/>
              </w:rPr>
              <w:t>024959</w:t>
            </w:r>
          </w:p>
        </w:tc>
      </w:tr>
    </w:tbl>
    <w:p w:rsidR="000356E4" w:rsidRDefault="00AB2E45">
      <w:pPr>
        <w:pStyle w:val="1"/>
      </w:pPr>
      <w:bookmarkStart w:id="0" w:name="_Toc249263615"/>
      <w:r>
        <w:rPr>
          <w:rFonts w:hint="eastAsia"/>
        </w:rPr>
        <w:t>基金募集情况</w:t>
      </w:r>
      <w:bookmarkEnd w:id="0"/>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418"/>
        <w:gridCol w:w="2145"/>
        <w:gridCol w:w="2145"/>
        <w:gridCol w:w="2146"/>
      </w:tblGrid>
      <w:tr w:rsidR="000356E4">
        <w:trPr>
          <w:cantSplit/>
          <w:jc w:val="center"/>
        </w:trPr>
        <w:tc>
          <w:tcPr>
            <w:tcW w:w="2689" w:type="dxa"/>
            <w:gridSpan w:val="2"/>
          </w:tcPr>
          <w:p w:rsidR="000356E4" w:rsidRDefault="00AB2E45">
            <w:pPr>
              <w:rPr>
                <w:rFonts w:ascii="宋体" w:hAnsi="宋体"/>
                <w:color w:val="000000"/>
                <w:sz w:val="24"/>
              </w:rPr>
            </w:pPr>
            <w:r>
              <w:rPr>
                <w:rFonts w:ascii="宋体" w:hAnsi="宋体" w:hint="eastAsia"/>
                <w:color w:val="000000"/>
                <w:sz w:val="24"/>
              </w:rPr>
              <w:t>基金募集申请获中国证监会核准的文号</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证监许可〔</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1431</w:t>
            </w:r>
            <w:r>
              <w:rPr>
                <w:rFonts w:ascii="宋体" w:hAnsi="宋体" w:hint="eastAsia"/>
                <w:color w:val="000000"/>
                <w:kern w:val="0"/>
                <w:sz w:val="24"/>
              </w:rPr>
              <w:t>号</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基金募集期间</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自</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13</w:t>
            </w:r>
            <w:r>
              <w:rPr>
                <w:rFonts w:ascii="宋体" w:hAnsi="宋体" w:hint="eastAsia"/>
                <w:color w:val="000000"/>
                <w:kern w:val="0"/>
                <w:sz w:val="24"/>
              </w:rPr>
              <w:t>日至</w:t>
            </w: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24</w:t>
            </w:r>
            <w:r>
              <w:rPr>
                <w:rFonts w:ascii="宋体" w:hAnsi="宋体" w:hint="eastAsia"/>
                <w:color w:val="000000"/>
                <w:kern w:val="0"/>
                <w:sz w:val="24"/>
              </w:rPr>
              <w:t>日止</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验资机构名称</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德勤华永会计师事务所（特殊普通合伙）</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募集资金划入基金托管专户的日期</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28</w:t>
            </w:r>
            <w:r>
              <w:rPr>
                <w:rFonts w:ascii="宋体" w:hAnsi="宋体" w:hint="eastAsia"/>
                <w:color w:val="000000"/>
                <w:kern w:val="0"/>
                <w:sz w:val="24"/>
              </w:rPr>
              <w:t>日</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募集有效认购总户数</w:t>
            </w:r>
            <w:r>
              <w:rPr>
                <w:rFonts w:ascii="宋体" w:hAnsi="宋体" w:hint="eastAsia"/>
                <w:color w:val="000000"/>
                <w:sz w:val="24"/>
              </w:rPr>
              <w:t>(</w:t>
            </w:r>
            <w:r>
              <w:rPr>
                <w:rFonts w:ascii="宋体" w:hAnsi="宋体" w:hint="eastAsia"/>
                <w:color w:val="000000"/>
                <w:sz w:val="24"/>
              </w:rPr>
              <w:t>单位：户</w:t>
            </w:r>
            <w:r>
              <w:rPr>
                <w:rFonts w:ascii="宋体" w:hAnsi="宋体" w:hint="eastAsia"/>
                <w:color w:val="000000"/>
                <w:sz w:val="24"/>
              </w:rPr>
              <w:t>)</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14,729</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份额级别</w:t>
            </w:r>
          </w:p>
        </w:tc>
        <w:tc>
          <w:tcPr>
            <w:tcW w:w="2145" w:type="dxa"/>
          </w:tcPr>
          <w:p w:rsidR="000356E4" w:rsidRDefault="00AB2E45">
            <w:pPr>
              <w:jc w:val="center"/>
              <w:rPr>
                <w:rFonts w:ascii="宋体" w:hAnsi="宋体"/>
                <w:color w:val="000000"/>
                <w:kern w:val="0"/>
                <w:sz w:val="24"/>
              </w:rPr>
            </w:pPr>
            <w:r>
              <w:rPr>
                <w:rFonts w:ascii="宋体" w:hAnsi="宋体" w:hint="eastAsia"/>
                <w:color w:val="000000"/>
                <w:kern w:val="0"/>
                <w:sz w:val="24"/>
              </w:rPr>
              <w:t>富国稳健添荣债券</w:t>
            </w:r>
            <w:r>
              <w:rPr>
                <w:rFonts w:ascii="宋体" w:hAnsi="宋体" w:hint="eastAsia"/>
                <w:color w:val="000000"/>
                <w:kern w:val="0"/>
                <w:sz w:val="24"/>
              </w:rPr>
              <w:t>A</w:t>
            </w:r>
          </w:p>
        </w:tc>
        <w:tc>
          <w:tcPr>
            <w:tcW w:w="2145" w:type="dxa"/>
          </w:tcPr>
          <w:p w:rsidR="000356E4" w:rsidRDefault="00AB2E45">
            <w:pPr>
              <w:jc w:val="center"/>
              <w:rPr>
                <w:rFonts w:ascii="宋体" w:hAnsi="宋体"/>
                <w:color w:val="000000"/>
                <w:kern w:val="0"/>
                <w:sz w:val="24"/>
              </w:rPr>
            </w:pPr>
            <w:r>
              <w:rPr>
                <w:rFonts w:ascii="宋体" w:hAnsi="宋体" w:hint="eastAsia"/>
                <w:color w:val="000000"/>
                <w:kern w:val="0"/>
                <w:sz w:val="24"/>
              </w:rPr>
              <w:t>富国稳健添荣债券</w:t>
            </w:r>
            <w:r>
              <w:rPr>
                <w:rFonts w:ascii="宋体" w:hAnsi="宋体" w:hint="eastAsia"/>
                <w:color w:val="000000"/>
                <w:kern w:val="0"/>
                <w:sz w:val="24"/>
              </w:rPr>
              <w:t>C</w:t>
            </w:r>
          </w:p>
        </w:tc>
        <w:tc>
          <w:tcPr>
            <w:tcW w:w="2146" w:type="dxa"/>
          </w:tcPr>
          <w:p w:rsidR="000356E4" w:rsidRDefault="00AB2E45">
            <w:pPr>
              <w:jc w:val="center"/>
              <w:rPr>
                <w:rFonts w:ascii="宋体" w:hAnsi="宋体"/>
                <w:color w:val="000000"/>
                <w:kern w:val="0"/>
                <w:sz w:val="24"/>
              </w:rPr>
            </w:pPr>
            <w:r>
              <w:rPr>
                <w:rFonts w:ascii="宋体" w:hAnsi="宋体" w:hint="eastAsia"/>
                <w:color w:val="000000"/>
                <w:kern w:val="0"/>
                <w:sz w:val="24"/>
              </w:rPr>
              <w:t>富国稳健添荣债券</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募集期间净</w:t>
            </w:r>
            <w:r>
              <w:rPr>
                <w:rFonts w:ascii="宋体" w:hAnsi="宋体" w:hint="eastAsia"/>
                <w:color w:val="000000"/>
                <w:sz w:val="24"/>
              </w:rPr>
              <w:t>认购金额</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268,862,117.95</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3,299,574,772.47</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3,568,436,890.42</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认购资金在募集期间产生的利息</w:t>
            </w:r>
            <w:r>
              <w:rPr>
                <w:rFonts w:ascii="宋体" w:hAnsi="宋体" w:hint="eastAsia"/>
                <w:color w:val="000000"/>
                <w:sz w:val="24"/>
              </w:rPr>
              <w:t>(</w:t>
            </w:r>
            <w:r>
              <w:rPr>
                <w:rFonts w:ascii="宋体" w:hAnsi="宋体" w:hint="eastAsia"/>
                <w:color w:val="000000"/>
                <w:sz w:val="24"/>
              </w:rPr>
              <w:t>单位：人民币元</w:t>
            </w:r>
            <w:r>
              <w:rPr>
                <w:rFonts w:ascii="宋体" w:hAnsi="宋体" w:hint="eastAsia"/>
                <w:color w:val="00000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85,853.24</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1,137,582.85</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1,223,436.09</w:t>
            </w:r>
          </w:p>
        </w:tc>
      </w:tr>
      <w:tr w:rsidR="000356E4">
        <w:trPr>
          <w:cantSplit/>
          <w:jc w:val="center"/>
        </w:trPr>
        <w:tc>
          <w:tcPr>
            <w:tcW w:w="1271" w:type="dxa"/>
            <w:vMerge w:val="restart"/>
            <w:vAlign w:val="center"/>
          </w:tcPr>
          <w:p w:rsidR="000356E4" w:rsidRDefault="00AB2E45">
            <w:pPr>
              <w:rPr>
                <w:rFonts w:ascii="宋体" w:hAnsi="宋体"/>
                <w:color w:val="000000"/>
                <w:sz w:val="24"/>
              </w:rPr>
            </w:pPr>
            <w:r>
              <w:rPr>
                <w:rFonts w:ascii="宋体" w:hAnsi="宋体"/>
                <w:color w:val="000000"/>
                <w:sz w:val="24"/>
              </w:rPr>
              <w:t>募集份额</w:t>
            </w:r>
            <w:r>
              <w:rPr>
                <w:rFonts w:ascii="宋体" w:hAnsi="宋体"/>
                <w:color w:val="000000"/>
                <w:sz w:val="24"/>
              </w:rPr>
              <w:t>(</w:t>
            </w:r>
            <w:r>
              <w:rPr>
                <w:rFonts w:ascii="宋体" w:hAnsi="宋体"/>
                <w:color w:val="000000"/>
                <w:sz w:val="24"/>
              </w:rPr>
              <w:t>单位：</w:t>
            </w:r>
            <w:r>
              <w:rPr>
                <w:rFonts w:ascii="宋体" w:hAnsi="宋体"/>
                <w:color w:val="000000"/>
                <w:sz w:val="24"/>
              </w:rPr>
              <w:lastRenderedPageBreak/>
              <w:t>份</w:t>
            </w:r>
            <w:r>
              <w:rPr>
                <w:rFonts w:ascii="宋体" w:hAnsi="宋体"/>
                <w:color w:val="000000"/>
                <w:sz w:val="24"/>
              </w:rPr>
              <w:t>)</w:t>
            </w:r>
          </w:p>
        </w:tc>
        <w:tc>
          <w:tcPr>
            <w:tcW w:w="1418" w:type="dxa"/>
            <w:vAlign w:val="center"/>
          </w:tcPr>
          <w:p w:rsidR="000356E4" w:rsidRDefault="00AB2E45">
            <w:pPr>
              <w:rPr>
                <w:rFonts w:ascii="宋体" w:hAnsi="宋体"/>
                <w:color w:val="000000"/>
                <w:sz w:val="24"/>
              </w:rPr>
            </w:pPr>
            <w:r>
              <w:rPr>
                <w:rFonts w:ascii="宋体" w:hAnsi="宋体" w:hint="eastAsia"/>
                <w:color w:val="000000"/>
                <w:sz w:val="24"/>
              </w:rPr>
              <w:lastRenderedPageBreak/>
              <w:t>有效认购份额</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268,862,117.95</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3,299,574,772.47</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3,568,436,890.42</w:t>
            </w:r>
          </w:p>
        </w:tc>
      </w:tr>
      <w:tr w:rsidR="000356E4">
        <w:trPr>
          <w:cantSplit/>
          <w:jc w:val="center"/>
        </w:trPr>
        <w:tc>
          <w:tcPr>
            <w:tcW w:w="1271" w:type="dxa"/>
            <w:vMerge/>
            <w:vAlign w:val="center"/>
          </w:tcPr>
          <w:p w:rsidR="000356E4" w:rsidRDefault="000356E4">
            <w:pPr>
              <w:rPr>
                <w:rFonts w:ascii="宋体" w:hAnsi="宋体"/>
                <w:color w:val="000000"/>
                <w:sz w:val="24"/>
              </w:rPr>
            </w:pP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利息结转的份额</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85,853.24</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1,137,582.85</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1,223,436.09</w:t>
            </w:r>
          </w:p>
        </w:tc>
      </w:tr>
      <w:tr w:rsidR="000356E4">
        <w:trPr>
          <w:cantSplit/>
          <w:jc w:val="center"/>
        </w:trPr>
        <w:tc>
          <w:tcPr>
            <w:tcW w:w="1271" w:type="dxa"/>
            <w:vMerge/>
            <w:vAlign w:val="center"/>
          </w:tcPr>
          <w:p w:rsidR="000356E4" w:rsidRDefault="000356E4">
            <w:pPr>
              <w:rPr>
                <w:rFonts w:ascii="宋体" w:hAnsi="宋体"/>
                <w:color w:val="000000"/>
                <w:sz w:val="24"/>
              </w:rPr>
            </w:pP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合计</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268,947,971.19</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3,300,712,355.32</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3,569,660,326.51</w:t>
            </w:r>
          </w:p>
        </w:tc>
      </w:tr>
      <w:tr w:rsidR="000356E4">
        <w:trPr>
          <w:cantSplit/>
          <w:jc w:val="center"/>
        </w:trPr>
        <w:tc>
          <w:tcPr>
            <w:tcW w:w="1271" w:type="dxa"/>
            <w:vMerge w:val="restart"/>
            <w:vAlign w:val="center"/>
          </w:tcPr>
          <w:p w:rsidR="000356E4" w:rsidRDefault="00AB2E45">
            <w:pPr>
              <w:rPr>
                <w:rFonts w:ascii="宋体" w:hAnsi="宋体"/>
                <w:color w:val="000000"/>
                <w:sz w:val="24"/>
              </w:rPr>
            </w:pPr>
            <w:r>
              <w:rPr>
                <w:rFonts w:ascii="宋体" w:hAnsi="宋体" w:hint="eastAsia"/>
                <w:color w:val="000000"/>
                <w:sz w:val="24"/>
              </w:rPr>
              <w:t>其中：募集期间基金管理人运用固有资金认购本基金情况</w:t>
            </w: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r>
      <w:tr w:rsidR="000356E4">
        <w:trPr>
          <w:cantSplit/>
          <w:jc w:val="center"/>
        </w:trPr>
        <w:tc>
          <w:tcPr>
            <w:tcW w:w="1271" w:type="dxa"/>
            <w:vMerge/>
            <w:vAlign w:val="center"/>
          </w:tcPr>
          <w:p w:rsidR="000356E4" w:rsidRDefault="000356E4">
            <w:pPr>
              <w:rPr>
                <w:rFonts w:ascii="宋体" w:hAnsi="宋体"/>
                <w:color w:val="000000"/>
                <w:sz w:val="24"/>
              </w:rPr>
            </w:pP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r>
      <w:tr w:rsidR="000356E4">
        <w:trPr>
          <w:cantSplit/>
          <w:jc w:val="center"/>
        </w:trPr>
        <w:tc>
          <w:tcPr>
            <w:tcW w:w="1271" w:type="dxa"/>
            <w:vMerge/>
            <w:vAlign w:val="center"/>
          </w:tcPr>
          <w:p w:rsidR="000356E4" w:rsidRDefault="000356E4">
            <w:pPr>
              <w:rPr>
                <w:rFonts w:ascii="宋体" w:hAnsi="宋体"/>
                <w:color w:val="000000"/>
                <w:sz w:val="24"/>
              </w:rPr>
            </w:pP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其他需要说明的事项</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r>
      <w:tr w:rsidR="000356E4">
        <w:trPr>
          <w:cantSplit/>
          <w:jc w:val="center"/>
        </w:trPr>
        <w:tc>
          <w:tcPr>
            <w:tcW w:w="1271" w:type="dxa"/>
            <w:vMerge w:val="restart"/>
            <w:vAlign w:val="center"/>
          </w:tcPr>
          <w:p w:rsidR="000356E4" w:rsidRDefault="00AB2E45">
            <w:pPr>
              <w:rPr>
                <w:rFonts w:ascii="宋体" w:hAnsi="宋体"/>
                <w:color w:val="000000"/>
                <w:sz w:val="24"/>
              </w:rPr>
            </w:pPr>
            <w:r>
              <w:rPr>
                <w:rFonts w:ascii="宋体" w:hAnsi="宋体" w:hint="eastAsia"/>
                <w:color w:val="000000"/>
                <w:sz w:val="24"/>
              </w:rPr>
              <w:t>其中：募集期间基金管理人的从业人员认购本基金情况</w:t>
            </w: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认购的基金份额</w:t>
            </w:r>
            <w:r>
              <w:rPr>
                <w:rFonts w:ascii="宋体" w:hAnsi="宋体" w:hint="eastAsia"/>
                <w:color w:val="000000"/>
                <w:sz w:val="24"/>
              </w:rPr>
              <w:t>(</w:t>
            </w:r>
            <w:r>
              <w:rPr>
                <w:rFonts w:ascii="宋体" w:hAnsi="宋体" w:hint="eastAsia"/>
                <w:color w:val="000000"/>
                <w:sz w:val="24"/>
              </w:rPr>
              <w:t>单位：份</w:t>
            </w:r>
            <w:r>
              <w:rPr>
                <w:rFonts w:ascii="宋体" w:hAnsi="宋体" w:hint="eastAsia"/>
                <w:color w:val="000000"/>
                <w:sz w:val="24"/>
              </w:rPr>
              <w:t>)</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7,217.95</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30.03</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7,247.98</w:t>
            </w:r>
          </w:p>
        </w:tc>
      </w:tr>
      <w:tr w:rsidR="000356E4">
        <w:trPr>
          <w:cantSplit/>
          <w:jc w:val="center"/>
        </w:trPr>
        <w:tc>
          <w:tcPr>
            <w:tcW w:w="1271" w:type="dxa"/>
            <w:vMerge/>
            <w:vAlign w:val="center"/>
          </w:tcPr>
          <w:p w:rsidR="000356E4" w:rsidRDefault="000356E4">
            <w:pPr>
              <w:rPr>
                <w:rFonts w:ascii="宋体" w:hAnsi="宋体"/>
                <w:color w:val="000000"/>
                <w:sz w:val="24"/>
              </w:rPr>
            </w:pPr>
          </w:p>
        </w:tc>
        <w:tc>
          <w:tcPr>
            <w:tcW w:w="1418" w:type="dxa"/>
            <w:vAlign w:val="center"/>
          </w:tcPr>
          <w:p w:rsidR="000356E4" w:rsidRDefault="00AB2E45">
            <w:pPr>
              <w:rPr>
                <w:rFonts w:ascii="宋体" w:hAnsi="宋体"/>
                <w:color w:val="000000"/>
                <w:sz w:val="24"/>
              </w:rPr>
            </w:pPr>
            <w:r>
              <w:rPr>
                <w:rFonts w:ascii="宋体" w:hAnsi="宋体" w:hint="eastAsia"/>
                <w:color w:val="000000"/>
                <w:sz w:val="24"/>
              </w:rPr>
              <w:t>占基金总份额比例</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0.0027%</w:t>
            </w:r>
          </w:p>
        </w:tc>
        <w:tc>
          <w:tcPr>
            <w:tcW w:w="2145"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w:t>
            </w:r>
          </w:p>
        </w:tc>
        <w:tc>
          <w:tcPr>
            <w:tcW w:w="2146" w:type="dxa"/>
            <w:vAlign w:val="center"/>
          </w:tcPr>
          <w:p w:rsidR="000356E4" w:rsidRDefault="00AB2E45">
            <w:pPr>
              <w:jc w:val="right"/>
              <w:rPr>
                <w:rFonts w:ascii="宋体" w:hAnsi="宋体"/>
                <w:color w:val="000000"/>
                <w:kern w:val="0"/>
                <w:sz w:val="24"/>
              </w:rPr>
            </w:pPr>
            <w:r>
              <w:rPr>
                <w:rFonts w:ascii="宋体" w:hAnsi="宋体" w:hint="eastAsia"/>
                <w:color w:val="000000"/>
                <w:kern w:val="0"/>
                <w:sz w:val="24"/>
              </w:rPr>
              <w:t>0.0002%</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募集期限届满基金是否符合法律法规规定的办理基金备案手续的条件</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是</w:t>
            </w:r>
          </w:p>
        </w:tc>
      </w:tr>
      <w:tr w:rsidR="000356E4">
        <w:trPr>
          <w:cantSplit/>
          <w:jc w:val="center"/>
        </w:trPr>
        <w:tc>
          <w:tcPr>
            <w:tcW w:w="2689" w:type="dxa"/>
            <w:gridSpan w:val="2"/>
            <w:vAlign w:val="center"/>
          </w:tcPr>
          <w:p w:rsidR="000356E4" w:rsidRDefault="00AB2E45">
            <w:pPr>
              <w:rPr>
                <w:rFonts w:ascii="宋体" w:hAnsi="宋体"/>
                <w:color w:val="000000"/>
                <w:sz w:val="24"/>
              </w:rPr>
            </w:pPr>
            <w:r>
              <w:rPr>
                <w:rFonts w:ascii="宋体" w:hAnsi="宋体" w:hint="eastAsia"/>
                <w:color w:val="000000"/>
                <w:sz w:val="24"/>
              </w:rPr>
              <w:t>向中国证监会办理基金备案手续获得书面确认的日期</w:t>
            </w:r>
          </w:p>
        </w:tc>
        <w:tc>
          <w:tcPr>
            <w:tcW w:w="6436" w:type="dxa"/>
            <w:gridSpan w:val="3"/>
            <w:vAlign w:val="center"/>
          </w:tcPr>
          <w:p w:rsidR="000356E4" w:rsidRDefault="00AB2E45">
            <w:pPr>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28</w:t>
            </w:r>
            <w:r>
              <w:rPr>
                <w:rFonts w:ascii="宋体" w:hAnsi="宋体" w:hint="eastAsia"/>
                <w:color w:val="000000"/>
                <w:kern w:val="0"/>
                <w:sz w:val="24"/>
              </w:rPr>
              <w:t>日</w:t>
            </w:r>
          </w:p>
        </w:tc>
      </w:tr>
    </w:tbl>
    <w:p w:rsidR="000356E4" w:rsidRDefault="00AB2E45">
      <w:pPr>
        <w:rPr>
          <w:rFonts w:ascii="宋体" w:hAnsi="宋体"/>
          <w:color w:val="000000"/>
          <w:sz w:val="24"/>
        </w:rPr>
      </w:pPr>
      <w:r>
        <w:rPr>
          <w:rFonts w:ascii="宋体" w:hAnsi="宋体" w:hint="eastAsia"/>
          <w:color w:val="000000"/>
          <w:sz w:val="24"/>
        </w:rPr>
        <w:t>注：</w:t>
      </w:r>
    </w:p>
    <w:p w:rsidR="000356E4" w:rsidRDefault="00AB2E45">
      <w:pPr>
        <w:rPr>
          <w:rFonts w:ascii="宋体" w:hAnsi="宋体"/>
          <w:color w:val="000000"/>
          <w:kern w:val="0"/>
          <w:sz w:val="24"/>
        </w:rPr>
      </w:pPr>
      <w:r>
        <w:rPr>
          <w:rFonts w:ascii="宋体" w:hAnsi="宋体" w:hint="eastAsia"/>
          <w:color w:val="000000"/>
          <w:sz w:val="24"/>
        </w:rPr>
        <w:t>1</w:t>
      </w:r>
      <w:r>
        <w:rPr>
          <w:rFonts w:ascii="宋体" w:hAnsi="宋体" w:hint="eastAsia"/>
          <w:color w:val="000000"/>
          <w:sz w:val="24"/>
        </w:rPr>
        <w:t>、按照有关规定，本基金合同生效前的律师费、会计师费以及与本基金有关的法定信息披露费由本基金管理人承担。</w:t>
      </w:r>
    </w:p>
    <w:p w:rsidR="000356E4" w:rsidRDefault="00AB2E45">
      <w:pPr>
        <w:rPr>
          <w:rFonts w:ascii="宋体" w:hAnsi="宋体"/>
          <w:color w:val="000000"/>
          <w:kern w:val="0"/>
          <w:sz w:val="24"/>
        </w:rPr>
      </w:pPr>
      <w:r>
        <w:rPr>
          <w:rFonts w:ascii="宋体" w:hAnsi="宋体" w:hint="eastAsia"/>
          <w:color w:val="000000"/>
          <w:sz w:val="24"/>
        </w:rPr>
        <w:t>2</w:t>
      </w:r>
      <w:r>
        <w:rPr>
          <w:rFonts w:ascii="宋体" w:hAnsi="宋体" w:hint="eastAsia"/>
          <w:color w:val="000000"/>
          <w:sz w:val="24"/>
        </w:rPr>
        <w:t>、本公司高级管理人员、基金投资和研究部门负责人未认购本基金。</w:t>
      </w:r>
    </w:p>
    <w:p w:rsidR="000356E4" w:rsidRDefault="00AB2E45">
      <w:pPr>
        <w:rPr>
          <w:rFonts w:ascii="宋体" w:hAnsi="宋体"/>
          <w:color w:val="000000"/>
          <w:kern w:val="0"/>
          <w:sz w:val="24"/>
        </w:rPr>
      </w:pPr>
      <w:r>
        <w:rPr>
          <w:rFonts w:ascii="宋体" w:hAnsi="宋体" w:hint="eastAsia"/>
          <w:color w:val="000000"/>
          <w:sz w:val="24"/>
        </w:rPr>
        <w:t>3</w:t>
      </w:r>
      <w:r>
        <w:rPr>
          <w:rFonts w:ascii="宋体" w:hAnsi="宋体" w:hint="eastAsia"/>
          <w:color w:val="000000"/>
          <w:sz w:val="24"/>
        </w:rPr>
        <w:t>、本基金的基金经理未认购本基金。</w:t>
      </w:r>
    </w:p>
    <w:p w:rsidR="000356E4" w:rsidRDefault="00AB2E45">
      <w:pPr>
        <w:pStyle w:val="1"/>
      </w:pPr>
      <w:r>
        <w:rPr>
          <w:rFonts w:hint="eastAsia"/>
        </w:rPr>
        <w:t>其他需要提示的事项</w:t>
      </w:r>
    </w:p>
    <w:p w:rsidR="000356E4" w:rsidRDefault="00AB2E45">
      <w:pPr>
        <w:ind w:firstLine="420"/>
        <w:rPr>
          <w:rFonts w:ascii="宋体" w:hAnsi="宋体"/>
          <w:color w:val="000000"/>
          <w:sz w:val="24"/>
        </w:rPr>
      </w:pPr>
      <w:r>
        <w:rPr>
          <w:rFonts w:ascii="宋体" w:hAnsi="宋体" w:hint="eastAsia"/>
          <w:color w:val="000000"/>
          <w:sz w:val="24"/>
        </w:rPr>
        <w:t>自基金合同生效之日起，本基金管理人开始正式管理本基金。认购本基金的基金份额持有人可以到销售机构的网点查询交易确认情况，也可以通过本基金管理人的网站（</w:t>
      </w:r>
      <w:r>
        <w:rPr>
          <w:rFonts w:ascii="宋体" w:hAnsi="宋体" w:hint="eastAsia"/>
          <w:color w:val="000000"/>
          <w:sz w:val="24"/>
        </w:rPr>
        <w:t>www.fullgoal.com.cn</w:t>
      </w:r>
      <w:r>
        <w:rPr>
          <w:rFonts w:ascii="宋体" w:hAnsi="宋体" w:hint="eastAsia"/>
          <w:color w:val="000000"/>
          <w:sz w:val="24"/>
        </w:rPr>
        <w:t>）或客户服务电话（</w:t>
      </w:r>
      <w:r>
        <w:rPr>
          <w:rFonts w:ascii="宋体" w:hAnsi="宋体" w:hint="eastAsia"/>
          <w:color w:val="000000"/>
          <w:sz w:val="24"/>
        </w:rPr>
        <w:t>400-888-0688</w:t>
      </w:r>
      <w:r>
        <w:rPr>
          <w:rFonts w:ascii="宋体" w:hAnsi="宋体" w:hint="eastAsia"/>
          <w:color w:val="000000"/>
          <w:sz w:val="24"/>
        </w:rPr>
        <w:t>）查询交易确认情况。</w:t>
      </w:r>
    </w:p>
    <w:p w:rsidR="000356E4" w:rsidRDefault="00AB2E45">
      <w:pPr>
        <w:ind w:firstLine="420"/>
        <w:rPr>
          <w:rFonts w:ascii="宋体" w:hAnsi="宋体"/>
          <w:color w:val="000000"/>
          <w:sz w:val="24"/>
        </w:rPr>
      </w:pPr>
      <w:r>
        <w:rPr>
          <w:rFonts w:ascii="宋体" w:hAnsi="宋体" w:hint="eastAsia"/>
          <w:color w:val="000000"/>
          <w:sz w:val="24"/>
        </w:rPr>
        <w:t>基金销售机构对申购、赎回申请的受理并不代表该申请一定成功，而仅代表销售机构确实接收到申购、赎回申请。申购、赎回的确认以登记机构的确认结果为准。对于申购申请及申购份额的确认情况，投资者应及时查询并妥善行使合法权利。</w:t>
      </w:r>
    </w:p>
    <w:p w:rsidR="000356E4" w:rsidRDefault="00AB2E45">
      <w:pPr>
        <w:ind w:firstLine="420"/>
        <w:rPr>
          <w:rFonts w:ascii="宋体" w:hAnsi="宋体"/>
          <w:color w:val="000000"/>
          <w:sz w:val="24"/>
        </w:rPr>
      </w:pPr>
      <w:r>
        <w:rPr>
          <w:rFonts w:ascii="宋体" w:hAnsi="宋体" w:hint="eastAsia"/>
          <w:color w:val="000000"/>
          <w:sz w:val="24"/>
        </w:rPr>
        <w:t>基金管理人可根据实际情况依法决定本基金开始办理申</w:t>
      </w:r>
      <w:r>
        <w:rPr>
          <w:rFonts w:ascii="宋体" w:hAnsi="宋体" w:hint="eastAsia"/>
          <w:color w:val="000000"/>
          <w:sz w:val="24"/>
        </w:rPr>
        <w:t>购的具体日期，本基金的赎回业务自基金合同生效之日起不超过</w:t>
      </w:r>
      <w:r>
        <w:rPr>
          <w:rFonts w:ascii="宋体" w:hAnsi="宋体" w:hint="eastAsia"/>
          <w:color w:val="000000"/>
          <w:sz w:val="24"/>
        </w:rPr>
        <w:t>3</w:t>
      </w:r>
      <w:r>
        <w:rPr>
          <w:rFonts w:ascii="宋体" w:hAnsi="宋体" w:hint="eastAsia"/>
          <w:color w:val="000000"/>
          <w:sz w:val="24"/>
        </w:rPr>
        <w:t>个月开始办理。在确定申购、赎回开始时间后，基金管理人将在申购、赎回开放日前依照《信息披露办法》的有关规定在规定媒介上公告申购、赎回的开始时间。</w:t>
      </w:r>
    </w:p>
    <w:p w:rsidR="000356E4" w:rsidRDefault="00AB2E45">
      <w:pPr>
        <w:ind w:firstLine="42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风险提示：本公司承诺以诚实信用、勤勉尽责的原则管理和运用基金资产，但不保证基金一定盈利，也不保证最低收益。敬请投资人注意投资风险。投资者</w:t>
      </w:r>
      <w:r>
        <w:rPr>
          <w:rFonts w:ascii="宋体" w:hAnsi="宋体" w:hint="eastAsia"/>
          <w:color w:val="000000"/>
          <w:sz w:val="24"/>
        </w:rPr>
        <w:lastRenderedPageBreak/>
        <w:t>投资于本基金前应认真阅读基金的基金合同、招募说明书。</w:t>
      </w:r>
    </w:p>
    <w:p w:rsidR="000356E4" w:rsidRDefault="00AB2E45">
      <w:pPr>
        <w:ind w:firstLine="420"/>
        <w:rPr>
          <w:rFonts w:ascii="宋体" w:hAnsi="宋体"/>
          <w:color w:val="000000"/>
          <w:sz w:val="24"/>
        </w:rPr>
      </w:pPr>
      <w:r>
        <w:rPr>
          <w:rFonts w:ascii="宋体" w:hAnsi="宋体" w:hint="eastAsia"/>
          <w:color w:val="000000"/>
          <w:sz w:val="24"/>
        </w:rPr>
        <w:t>特此公告。</w:t>
      </w:r>
    </w:p>
    <w:p w:rsidR="000356E4" w:rsidRDefault="000356E4">
      <w:pPr>
        <w:ind w:firstLine="420"/>
        <w:rPr>
          <w:rFonts w:ascii="宋体" w:hAnsi="宋体"/>
          <w:color w:val="000000"/>
          <w:sz w:val="24"/>
        </w:rPr>
      </w:pPr>
    </w:p>
    <w:p w:rsidR="000356E4" w:rsidRDefault="00AB2E45">
      <w:pPr>
        <w:jc w:val="right"/>
        <w:rPr>
          <w:rFonts w:ascii="宋体" w:hAnsi="宋体"/>
          <w:color w:val="000000"/>
          <w:kern w:val="0"/>
          <w:sz w:val="24"/>
        </w:rPr>
      </w:pPr>
      <w:r>
        <w:rPr>
          <w:rFonts w:ascii="宋体" w:hAnsi="宋体" w:hint="eastAsia"/>
          <w:color w:val="000000"/>
          <w:kern w:val="0"/>
          <w:sz w:val="24"/>
        </w:rPr>
        <w:t>富国基金管理有限公司</w:t>
      </w:r>
    </w:p>
    <w:p w:rsidR="000356E4" w:rsidRDefault="00AB2E45">
      <w:pPr>
        <w:jc w:val="right"/>
        <w:rPr>
          <w:rFonts w:ascii="宋体" w:hAnsi="宋体"/>
          <w:color w:val="000000"/>
          <w:kern w:val="0"/>
          <w:sz w:val="24"/>
        </w:rPr>
      </w:pPr>
      <w:r>
        <w:rPr>
          <w:rFonts w:ascii="宋体" w:hAnsi="宋体" w:hint="eastAsia"/>
          <w:color w:val="000000"/>
          <w:kern w:val="0"/>
          <w:sz w:val="24"/>
        </w:rPr>
        <w:t>2025</w:t>
      </w:r>
      <w:r>
        <w:rPr>
          <w:rFonts w:ascii="宋体" w:hAnsi="宋体" w:hint="eastAsia"/>
          <w:color w:val="000000"/>
          <w:kern w:val="0"/>
          <w:sz w:val="24"/>
        </w:rPr>
        <w:t>年</w:t>
      </w:r>
      <w:r>
        <w:rPr>
          <w:rFonts w:ascii="宋体" w:hAnsi="宋体" w:hint="eastAsia"/>
          <w:color w:val="000000"/>
          <w:kern w:val="0"/>
          <w:sz w:val="24"/>
        </w:rPr>
        <w:t>10</w:t>
      </w:r>
      <w:r>
        <w:rPr>
          <w:rFonts w:ascii="宋体" w:hAnsi="宋体" w:hint="eastAsia"/>
          <w:color w:val="000000"/>
          <w:kern w:val="0"/>
          <w:sz w:val="24"/>
        </w:rPr>
        <w:t>月</w:t>
      </w:r>
      <w:r>
        <w:rPr>
          <w:rFonts w:ascii="宋体" w:hAnsi="宋体" w:hint="eastAsia"/>
          <w:color w:val="000000"/>
          <w:kern w:val="0"/>
          <w:sz w:val="24"/>
        </w:rPr>
        <w:t>29</w:t>
      </w:r>
      <w:r>
        <w:rPr>
          <w:rFonts w:ascii="宋体" w:hAnsi="宋体" w:hint="eastAsia"/>
          <w:color w:val="000000"/>
          <w:kern w:val="0"/>
          <w:sz w:val="24"/>
        </w:rPr>
        <w:t>日</w:t>
      </w:r>
    </w:p>
    <w:sectPr w:rsidR="000356E4" w:rsidSect="00C738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2C4D"/>
    <w:rsid w:val="000076B6"/>
    <w:rsid w:val="00030105"/>
    <w:rsid w:val="000356E4"/>
    <w:rsid w:val="00062736"/>
    <w:rsid w:val="00073D45"/>
    <w:rsid w:val="000941BC"/>
    <w:rsid w:val="000A17E3"/>
    <w:rsid w:val="000B03F5"/>
    <w:rsid w:val="000E5A39"/>
    <w:rsid w:val="001371E5"/>
    <w:rsid w:val="00186B1D"/>
    <w:rsid w:val="001B39C6"/>
    <w:rsid w:val="00234B14"/>
    <w:rsid w:val="00267869"/>
    <w:rsid w:val="0028670B"/>
    <w:rsid w:val="002A2A0E"/>
    <w:rsid w:val="002A4132"/>
    <w:rsid w:val="002C2374"/>
    <w:rsid w:val="002C29A6"/>
    <w:rsid w:val="0030731D"/>
    <w:rsid w:val="00347E44"/>
    <w:rsid w:val="003514DE"/>
    <w:rsid w:val="003A651E"/>
    <w:rsid w:val="003B5728"/>
    <w:rsid w:val="003F335A"/>
    <w:rsid w:val="003F7AB0"/>
    <w:rsid w:val="0040127E"/>
    <w:rsid w:val="00411450"/>
    <w:rsid w:val="004169CC"/>
    <w:rsid w:val="00435A48"/>
    <w:rsid w:val="004955DA"/>
    <w:rsid w:val="004F2CDA"/>
    <w:rsid w:val="00510405"/>
    <w:rsid w:val="00586DE5"/>
    <w:rsid w:val="005967D7"/>
    <w:rsid w:val="005B1C6B"/>
    <w:rsid w:val="005B33AE"/>
    <w:rsid w:val="005D71E4"/>
    <w:rsid w:val="00620A58"/>
    <w:rsid w:val="00657476"/>
    <w:rsid w:val="0066751A"/>
    <w:rsid w:val="006A7D12"/>
    <w:rsid w:val="006B7E6F"/>
    <w:rsid w:val="006F7344"/>
    <w:rsid w:val="0072055C"/>
    <w:rsid w:val="007602A6"/>
    <w:rsid w:val="007C4890"/>
    <w:rsid w:val="007D46B4"/>
    <w:rsid w:val="007E427E"/>
    <w:rsid w:val="007E5D15"/>
    <w:rsid w:val="00806E5B"/>
    <w:rsid w:val="00811BED"/>
    <w:rsid w:val="00814AE1"/>
    <w:rsid w:val="0081527F"/>
    <w:rsid w:val="00864222"/>
    <w:rsid w:val="0088120E"/>
    <w:rsid w:val="00881A45"/>
    <w:rsid w:val="008C3AF7"/>
    <w:rsid w:val="008D01A9"/>
    <w:rsid w:val="008D711B"/>
    <w:rsid w:val="00912C23"/>
    <w:rsid w:val="00932C4D"/>
    <w:rsid w:val="00937AA6"/>
    <w:rsid w:val="009529D8"/>
    <w:rsid w:val="0098217C"/>
    <w:rsid w:val="00A72DF7"/>
    <w:rsid w:val="00A75DC7"/>
    <w:rsid w:val="00A96A93"/>
    <w:rsid w:val="00AA64F8"/>
    <w:rsid w:val="00AB2E45"/>
    <w:rsid w:val="00AC2E24"/>
    <w:rsid w:val="00AD0A11"/>
    <w:rsid w:val="00AD3E29"/>
    <w:rsid w:val="00B05117"/>
    <w:rsid w:val="00B272DD"/>
    <w:rsid w:val="00B30534"/>
    <w:rsid w:val="00B608FB"/>
    <w:rsid w:val="00B671A4"/>
    <w:rsid w:val="00B70A4E"/>
    <w:rsid w:val="00B70C92"/>
    <w:rsid w:val="00B87396"/>
    <w:rsid w:val="00BB280D"/>
    <w:rsid w:val="00BD1816"/>
    <w:rsid w:val="00C068F4"/>
    <w:rsid w:val="00C27456"/>
    <w:rsid w:val="00C37658"/>
    <w:rsid w:val="00C519DE"/>
    <w:rsid w:val="00C61B5A"/>
    <w:rsid w:val="00C62FA1"/>
    <w:rsid w:val="00C7382F"/>
    <w:rsid w:val="00C868A8"/>
    <w:rsid w:val="00C91C55"/>
    <w:rsid w:val="00D0037C"/>
    <w:rsid w:val="00D54AD7"/>
    <w:rsid w:val="00D64712"/>
    <w:rsid w:val="00D6556D"/>
    <w:rsid w:val="00D71672"/>
    <w:rsid w:val="00DA4A17"/>
    <w:rsid w:val="00DC3505"/>
    <w:rsid w:val="00E25DEB"/>
    <w:rsid w:val="00E635F5"/>
    <w:rsid w:val="00ED1DFB"/>
    <w:rsid w:val="00F1010D"/>
    <w:rsid w:val="00F145E2"/>
    <w:rsid w:val="00F16BD6"/>
    <w:rsid w:val="00F673AA"/>
    <w:rsid w:val="00F875F3"/>
    <w:rsid w:val="00FA13F1"/>
    <w:rsid w:val="00FB4D40"/>
    <w:rsid w:val="00FB71C3"/>
    <w:rsid w:val="00FC2B51"/>
    <w:rsid w:val="00FF512D"/>
    <w:rsid w:val="64BD0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82F"/>
    <w:pPr>
      <w:widowControl w:val="0"/>
      <w:jc w:val="both"/>
    </w:pPr>
    <w:rPr>
      <w:kern w:val="2"/>
      <w:sz w:val="21"/>
      <w:szCs w:val="22"/>
    </w:rPr>
  </w:style>
  <w:style w:type="paragraph" w:styleId="1">
    <w:name w:val="heading 1"/>
    <w:basedOn w:val="a"/>
    <w:next w:val="a"/>
    <w:link w:val="1Char"/>
    <w:uiPriority w:val="9"/>
    <w:qFormat/>
    <w:rsid w:val="00C7382F"/>
    <w:pPr>
      <w:keepNext/>
      <w:keepLines/>
      <w:numPr>
        <w:numId w:val="1"/>
      </w:numPr>
      <w:spacing w:before="120" w:after="120" w:line="578" w:lineRule="auto"/>
      <w:outlineLvl w:val="0"/>
    </w:pPr>
    <w:rPr>
      <w:b/>
      <w:bCs/>
      <w:kern w:val="44"/>
      <w:sz w:val="28"/>
      <w:szCs w:val="44"/>
      <w:lang w:val="zh-CN"/>
    </w:rPr>
  </w:style>
  <w:style w:type="paragraph" w:styleId="2">
    <w:name w:val="heading 2"/>
    <w:basedOn w:val="a"/>
    <w:next w:val="a"/>
    <w:link w:val="2Char"/>
    <w:uiPriority w:val="9"/>
    <w:semiHidden/>
    <w:unhideWhenUsed/>
    <w:qFormat/>
    <w:rsid w:val="00C7382F"/>
    <w:pPr>
      <w:keepNext/>
      <w:keepLines/>
      <w:spacing w:before="260" w:after="260" w:line="416" w:lineRule="auto"/>
      <w:outlineLvl w:val="1"/>
    </w:pPr>
    <w:rPr>
      <w:rFonts w:ascii="Calibri Light" w:hAnsi="Calibri Light"/>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7382F"/>
    <w:rPr>
      <w:rFonts w:ascii="宋体"/>
      <w:sz w:val="18"/>
      <w:szCs w:val="18"/>
    </w:rPr>
  </w:style>
  <w:style w:type="paragraph" w:styleId="a4">
    <w:name w:val="annotation text"/>
    <w:basedOn w:val="a"/>
    <w:link w:val="Char0"/>
    <w:uiPriority w:val="99"/>
    <w:semiHidden/>
    <w:unhideWhenUsed/>
    <w:qFormat/>
    <w:rsid w:val="00C7382F"/>
    <w:pPr>
      <w:jc w:val="left"/>
    </w:pPr>
  </w:style>
  <w:style w:type="paragraph" w:styleId="3">
    <w:name w:val="toc 3"/>
    <w:autoRedefine/>
    <w:uiPriority w:val="39"/>
    <w:unhideWhenUsed/>
    <w:qFormat/>
    <w:rsid w:val="00C7382F"/>
    <w:pPr>
      <w:spacing w:after="100"/>
      <w:ind w:left="440"/>
    </w:pPr>
  </w:style>
  <w:style w:type="paragraph" w:styleId="a5">
    <w:name w:val="Balloon Text"/>
    <w:link w:val="Char1"/>
    <w:uiPriority w:val="99"/>
    <w:semiHidden/>
    <w:unhideWhenUsed/>
    <w:qFormat/>
    <w:rsid w:val="00C7382F"/>
    <w:rPr>
      <w:rFonts w:ascii="Tahoma" w:hAnsi="Tahoma" w:cs="Tahoma"/>
      <w:sz w:val="16"/>
      <w:szCs w:val="16"/>
    </w:rPr>
  </w:style>
  <w:style w:type="paragraph" w:styleId="a6">
    <w:name w:val="footer"/>
    <w:basedOn w:val="a"/>
    <w:link w:val="Char2"/>
    <w:uiPriority w:val="99"/>
    <w:unhideWhenUsed/>
    <w:qFormat/>
    <w:rsid w:val="00C7382F"/>
    <w:pPr>
      <w:tabs>
        <w:tab w:val="center" w:pos="4153"/>
        <w:tab w:val="right" w:pos="8306"/>
      </w:tabs>
      <w:snapToGrid w:val="0"/>
      <w:jc w:val="left"/>
    </w:pPr>
    <w:rPr>
      <w:sz w:val="18"/>
      <w:szCs w:val="18"/>
      <w:lang w:val="zh-CN"/>
    </w:rPr>
  </w:style>
  <w:style w:type="paragraph" w:styleId="a7">
    <w:name w:val="header"/>
    <w:basedOn w:val="a"/>
    <w:link w:val="Char3"/>
    <w:uiPriority w:val="99"/>
    <w:unhideWhenUsed/>
    <w:qFormat/>
    <w:rsid w:val="00C7382F"/>
    <w:pPr>
      <w:pBdr>
        <w:bottom w:val="single" w:sz="6" w:space="1" w:color="auto"/>
      </w:pBdr>
      <w:tabs>
        <w:tab w:val="center" w:pos="4153"/>
        <w:tab w:val="right" w:pos="8306"/>
      </w:tabs>
      <w:snapToGrid w:val="0"/>
      <w:jc w:val="center"/>
    </w:pPr>
    <w:rPr>
      <w:sz w:val="18"/>
      <w:szCs w:val="18"/>
      <w:lang w:val="zh-CN"/>
    </w:rPr>
  </w:style>
  <w:style w:type="paragraph" w:styleId="10">
    <w:name w:val="toc 1"/>
    <w:autoRedefine/>
    <w:uiPriority w:val="39"/>
    <w:unhideWhenUsed/>
    <w:qFormat/>
    <w:rsid w:val="00C7382F"/>
    <w:pPr>
      <w:spacing w:after="100"/>
    </w:pPr>
  </w:style>
  <w:style w:type="paragraph" w:styleId="4">
    <w:name w:val="toc 4"/>
    <w:autoRedefine/>
    <w:uiPriority w:val="39"/>
    <w:unhideWhenUsed/>
    <w:qFormat/>
    <w:rsid w:val="00C7382F"/>
    <w:pPr>
      <w:spacing w:after="100"/>
      <w:ind w:left="660"/>
    </w:pPr>
  </w:style>
  <w:style w:type="paragraph" w:styleId="20">
    <w:name w:val="toc 2"/>
    <w:autoRedefine/>
    <w:uiPriority w:val="39"/>
    <w:unhideWhenUsed/>
    <w:qFormat/>
    <w:rsid w:val="00C7382F"/>
    <w:pPr>
      <w:spacing w:after="100"/>
      <w:ind w:left="220"/>
    </w:pPr>
  </w:style>
  <w:style w:type="paragraph" w:styleId="a8">
    <w:name w:val="annotation subject"/>
    <w:basedOn w:val="a4"/>
    <w:next w:val="a4"/>
    <w:link w:val="Char4"/>
    <w:uiPriority w:val="99"/>
    <w:semiHidden/>
    <w:unhideWhenUsed/>
    <w:qFormat/>
    <w:rsid w:val="00C7382F"/>
    <w:rPr>
      <w:b/>
      <w:bCs/>
    </w:rPr>
  </w:style>
  <w:style w:type="character" w:styleId="a9">
    <w:name w:val="Hyperlink"/>
    <w:uiPriority w:val="99"/>
    <w:unhideWhenUsed/>
    <w:qFormat/>
    <w:rsid w:val="00C7382F"/>
    <w:rPr>
      <w:color w:val="0563C1" w:themeColor="hyperlink"/>
      <w:u w:val="single"/>
    </w:rPr>
  </w:style>
  <w:style w:type="character" w:styleId="aa">
    <w:name w:val="annotation reference"/>
    <w:basedOn w:val="a0"/>
    <w:uiPriority w:val="99"/>
    <w:semiHidden/>
    <w:unhideWhenUsed/>
    <w:qFormat/>
    <w:rsid w:val="00C7382F"/>
    <w:rPr>
      <w:sz w:val="21"/>
      <w:szCs w:val="21"/>
    </w:rPr>
  </w:style>
  <w:style w:type="character" w:customStyle="1" w:styleId="1Char">
    <w:name w:val="标题 1 Char"/>
    <w:link w:val="1"/>
    <w:uiPriority w:val="9"/>
    <w:qFormat/>
    <w:rsid w:val="00C7382F"/>
    <w:rPr>
      <w:b/>
      <w:bCs/>
      <w:kern w:val="44"/>
      <w:sz w:val="28"/>
      <w:szCs w:val="44"/>
      <w:lang w:val="zh-CN" w:eastAsia="zh-CN"/>
    </w:rPr>
  </w:style>
  <w:style w:type="character" w:customStyle="1" w:styleId="2Char">
    <w:name w:val="标题 2 Char"/>
    <w:link w:val="2"/>
    <w:uiPriority w:val="9"/>
    <w:semiHidden/>
    <w:qFormat/>
    <w:rsid w:val="00C7382F"/>
    <w:rPr>
      <w:rFonts w:ascii="Calibri Light" w:eastAsia="宋体" w:hAnsi="Calibri Light" w:cs="Times New Roman"/>
      <w:b/>
      <w:bCs/>
      <w:kern w:val="2"/>
      <w:sz w:val="32"/>
      <w:szCs w:val="32"/>
    </w:rPr>
  </w:style>
  <w:style w:type="character" w:customStyle="1" w:styleId="Char3">
    <w:name w:val="页眉 Char"/>
    <w:link w:val="a7"/>
    <w:uiPriority w:val="99"/>
    <w:qFormat/>
    <w:rsid w:val="00C7382F"/>
    <w:rPr>
      <w:kern w:val="2"/>
      <w:sz w:val="18"/>
      <w:szCs w:val="18"/>
    </w:rPr>
  </w:style>
  <w:style w:type="character" w:customStyle="1" w:styleId="Char2">
    <w:name w:val="页脚 Char"/>
    <w:link w:val="a6"/>
    <w:uiPriority w:val="99"/>
    <w:qFormat/>
    <w:rsid w:val="00C7382F"/>
    <w:rPr>
      <w:kern w:val="2"/>
      <w:sz w:val="18"/>
      <w:szCs w:val="18"/>
    </w:rPr>
  </w:style>
  <w:style w:type="character" w:customStyle="1" w:styleId="Char">
    <w:name w:val="文档结构图 Char"/>
    <w:link w:val="a3"/>
    <w:uiPriority w:val="99"/>
    <w:semiHidden/>
    <w:qFormat/>
    <w:rsid w:val="00C7382F"/>
    <w:rPr>
      <w:rFonts w:ascii="宋体"/>
      <w:kern w:val="2"/>
      <w:sz w:val="18"/>
      <w:szCs w:val="18"/>
    </w:rPr>
  </w:style>
  <w:style w:type="character" w:styleId="ab">
    <w:name w:val="Placeholder Text"/>
    <w:basedOn w:val="a0"/>
    <w:uiPriority w:val="99"/>
    <w:semiHidden/>
    <w:qFormat/>
    <w:rsid w:val="00C7382F"/>
    <w:rPr>
      <w:color w:val="808080"/>
    </w:rPr>
  </w:style>
  <w:style w:type="paragraph" w:customStyle="1" w:styleId="TOC1">
    <w:name w:val="TOC 标题1"/>
    <w:uiPriority w:val="39"/>
    <w:semiHidden/>
    <w:unhideWhenUsed/>
    <w:qFormat/>
    <w:rsid w:val="00C7382F"/>
    <w:rPr>
      <w:lang w:eastAsia="ja-JP"/>
    </w:rPr>
  </w:style>
  <w:style w:type="character" w:customStyle="1" w:styleId="Char1">
    <w:name w:val="批注框文本 Char"/>
    <w:link w:val="a5"/>
    <w:uiPriority w:val="99"/>
    <w:semiHidden/>
    <w:rsid w:val="00C7382F"/>
    <w:rPr>
      <w:rFonts w:ascii="Tahoma" w:hAnsi="Tahoma" w:cs="Tahoma"/>
      <w:sz w:val="16"/>
      <w:szCs w:val="16"/>
    </w:rPr>
  </w:style>
  <w:style w:type="paragraph" w:customStyle="1" w:styleId="11">
    <w:name w:val="修订1"/>
    <w:hidden/>
    <w:uiPriority w:val="99"/>
    <w:semiHidden/>
    <w:qFormat/>
    <w:rsid w:val="00C7382F"/>
    <w:rPr>
      <w:kern w:val="2"/>
      <w:sz w:val="21"/>
      <w:szCs w:val="22"/>
    </w:rPr>
  </w:style>
  <w:style w:type="character" w:customStyle="1" w:styleId="Char0">
    <w:name w:val="批注文字 Char"/>
    <w:basedOn w:val="a0"/>
    <w:link w:val="a4"/>
    <w:uiPriority w:val="99"/>
    <w:semiHidden/>
    <w:rsid w:val="00C7382F"/>
    <w:rPr>
      <w:kern w:val="2"/>
      <w:sz w:val="21"/>
      <w:szCs w:val="22"/>
    </w:rPr>
  </w:style>
  <w:style w:type="character" w:customStyle="1" w:styleId="Char4">
    <w:name w:val="批注主题 Char"/>
    <w:basedOn w:val="Char0"/>
    <w:link w:val="a8"/>
    <w:uiPriority w:val="99"/>
    <w:semiHidden/>
    <w:qFormat/>
    <w:rsid w:val="00C7382F"/>
    <w:rPr>
      <w:b/>
      <w:bCs/>
      <w:kern w:val="2"/>
      <w:sz w:val="21"/>
      <w:szCs w:val="22"/>
    </w:rPr>
  </w:style>
  <w:style w:type="paragraph" w:styleId="ac">
    <w:name w:val="Revision"/>
    <w:hidden/>
    <w:uiPriority w:val="99"/>
    <w:unhideWhenUsed/>
    <w:rsid w:val="000E5A3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29983;&#25928;&#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共同基金_临时公告(基金合同生效公告)_LS0000_公募临时公告.dotx</Template>
  <TotalTime>0</TotalTime>
  <Pages>3</Pages>
  <Words>245</Words>
  <Characters>1400</Characters>
  <Application>Microsoft Office Word</Application>
  <DocSecurity>4</DocSecurity>
  <Lines>11</Lines>
  <Paragraphs>3</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姚龙庆</dc:creator>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eyJoZGlkIjoiMjEwNzU4NjYzODM2MzYzYzM4MTc0ZWU1M2ZiYjZkYWIiLCJ1c2VySWQiOiIzNDAxMTI0MjMifQ==</vt:lpwstr>
  </property>
  <property fmtid="{D5CDD505-2E9C-101B-9397-08002B2CF9AE}" pid="3" name="KSOProductBuildVer">
    <vt:lpwstr>2052-12.1.0.23125</vt:lpwstr>
  </property>
  <property fmtid="{D5CDD505-2E9C-101B-9397-08002B2CF9AE}" pid="4" name="ICV">
    <vt:lpwstr>58569C99A2F148B6B6C953F51B396502_12</vt:lpwstr>
  </property>
</Properties>
</file>