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B19E9">
      <w:pPr>
        <w:pStyle w:val="biaogecenter"/>
        <w:rPr>
          <w:sz w:val="30"/>
          <w:szCs w:val="30"/>
        </w:rPr>
      </w:pPr>
      <w:r>
        <w:rPr>
          <w:rFonts w:hint="eastAsia"/>
          <w:b/>
          <w:bCs/>
          <w:sz w:val="30"/>
          <w:szCs w:val="30"/>
        </w:rPr>
        <w:t>中加聚利纯债定期开放债券型证券投资基金分红公告</w:t>
      </w:r>
    </w:p>
    <w:p w:rsidR="00000000" w:rsidRDefault="005B19E9">
      <w:pPr>
        <w:pStyle w:val="biaogecenter"/>
        <w:rPr>
          <w:rFonts w:hint="eastAsia"/>
        </w:rPr>
      </w:pPr>
    </w:p>
    <w:p w:rsidR="00000000" w:rsidRDefault="005B19E9">
      <w:pPr>
        <w:pStyle w:val="biaogecenter"/>
        <w:rPr>
          <w:rFonts w:hint="eastAsia"/>
        </w:rPr>
      </w:pPr>
      <w:r>
        <w:rPr>
          <w:rFonts w:hint="eastAsia"/>
        </w:rPr>
        <w:t>公告送出日期：</w:t>
      </w:r>
      <w:r>
        <w:rPr>
          <w:rFonts w:hint="eastAsia"/>
        </w:rPr>
        <w:t>2025</w:t>
      </w:r>
      <w:r>
        <w:rPr>
          <w:rFonts w:hint="eastAsia"/>
        </w:rPr>
        <w:t>年</w:t>
      </w:r>
      <w:r>
        <w:rPr>
          <w:rFonts w:hint="eastAsia"/>
        </w:rPr>
        <w:t>10</w:t>
      </w:r>
      <w:r>
        <w:rPr>
          <w:rFonts w:hint="eastAsia"/>
        </w:rPr>
        <w:t>月</w:t>
      </w:r>
      <w:r>
        <w:rPr>
          <w:rFonts w:hint="eastAsia"/>
        </w:rPr>
        <w:t>29</w:t>
      </w:r>
      <w:r>
        <w:rPr>
          <w:rFonts w:hint="eastAsia"/>
        </w:rPr>
        <w:t>日</w:t>
      </w:r>
    </w:p>
    <w:p w:rsidR="00000000" w:rsidRDefault="005B19E9">
      <w:pPr>
        <w:pStyle w:val="dazhangjie"/>
        <w:rPr>
          <w:rFonts w:hint="eastAsia"/>
        </w:rPr>
      </w:pPr>
      <w:r>
        <w:rPr>
          <w:rFonts w:hAnsi="Calibri" w:hint="eastAsia"/>
          <w:b/>
          <w:color w:val="000000"/>
        </w:rPr>
        <w:t xml:space="preserve">1 </w:t>
      </w:r>
      <w:r>
        <w:rPr>
          <w:rFonts w:hAnsi="Calibri" w:hint="eastAsia"/>
          <w:b/>
          <w:color w:val="000000"/>
        </w:rPr>
        <w:t>公告基本信息</w:t>
      </w:r>
    </w:p>
    <w:p w:rsidR="00000000" w:rsidRDefault="005B19E9">
      <w:pPr>
        <w:widowControl/>
        <w:jc w:val="left"/>
        <w:rPr>
          <w:rFonts w:ascii="宋体" w:hAnsi="宋体" w:cs="宋体" w:hint="eastAsia"/>
          <w:kern w:val="0"/>
          <w:sz w:val="24"/>
          <w:szCs w:val="24"/>
        </w:rPr>
      </w:pPr>
    </w:p>
    <w:tbl>
      <w:tblPr>
        <w:tblW w:w="4794" w:type="pct"/>
        <w:tblInd w:w="108" w:type="dxa"/>
        <w:tblLook w:val="0000"/>
      </w:tblPr>
      <w:tblGrid>
        <w:gridCol w:w="1373"/>
        <w:gridCol w:w="1921"/>
        <w:gridCol w:w="1949"/>
        <w:gridCol w:w="1865"/>
        <w:gridCol w:w="1815"/>
      </w:tblGrid>
      <w:tr w:rsidR="00000000">
        <w:tc>
          <w:tcPr>
            <w:tcW w:w="1845"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基金名称</w:t>
            </w:r>
          </w:p>
        </w:tc>
        <w:tc>
          <w:tcPr>
            <w:tcW w:w="3154" w:type="pct"/>
            <w:gridSpan w:val="3"/>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中加聚利纯债定期开放债券型证券投资基金</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基金简称</w:t>
            </w:r>
          </w:p>
        </w:tc>
        <w:tc>
          <w:tcPr>
            <w:tcW w:w="3154" w:type="pct"/>
            <w:gridSpan w:val="3"/>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中加聚利纯债定开</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基金主代码</w:t>
            </w:r>
          </w:p>
        </w:tc>
        <w:tc>
          <w:tcPr>
            <w:tcW w:w="3154" w:type="pct"/>
            <w:gridSpan w:val="3"/>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006588</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基金合同生效日</w:t>
            </w:r>
          </w:p>
        </w:tc>
        <w:tc>
          <w:tcPr>
            <w:tcW w:w="3154" w:type="pct"/>
            <w:gridSpan w:val="3"/>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2018</w:t>
            </w:r>
            <w:r>
              <w:rPr>
                <w:rFonts w:hint="eastAsia"/>
              </w:rPr>
              <w:t>年</w:t>
            </w:r>
            <w:r>
              <w:rPr>
                <w:rFonts w:hint="eastAsia"/>
              </w:rPr>
              <w:t>11</w:t>
            </w:r>
            <w:r>
              <w:rPr>
                <w:rFonts w:hint="eastAsia"/>
              </w:rPr>
              <w:t>月</w:t>
            </w:r>
            <w:r>
              <w:rPr>
                <w:rFonts w:hint="eastAsia"/>
              </w:rPr>
              <w:t>27</w:t>
            </w:r>
            <w:r>
              <w:rPr>
                <w:rFonts w:hint="eastAsia"/>
              </w:rPr>
              <w:t>日</w:t>
            </w:r>
          </w:p>
        </w:tc>
      </w:tr>
      <w:tr w:rsidR="00000000">
        <w:tc>
          <w:tcPr>
            <w:tcW w:w="1845"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基金管理人名称</w:t>
            </w:r>
          </w:p>
        </w:tc>
        <w:tc>
          <w:tcPr>
            <w:tcW w:w="3154" w:type="pct"/>
            <w:gridSpan w:val="3"/>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中加基金管理有限公司</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基金托管人名称</w:t>
            </w:r>
          </w:p>
        </w:tc>
        <w:tc>
          <w:tcPr>
            <w:tcW w:w="3154" w:type="pct"/>
            <w:gridSpan w:val="3"/>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中国工商银行股份有限公司</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公告依据</w:t>
            </w:r>
          </w:p>
        </w:tc>
        <w:tc>
          <w:tcPr>
            <w:tcW w:w="3154" w:type="pct"/>
            <w:gridSpan w:val="3"/>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根据《中华人民共和国证券投资基金法》、《公开募集证券投资基金运作管理办法》等法律法规以及《中加聚利纯债定期开放债券型证券投资基金基金合同》、《中加聚利纯债定期</w:t>
            </w:r>
            <w:r>
              <w:rPr>
                <w:rFonts w:hint="eastAsia"/>
              </w:rPr>
              <w:t>开放债券型证券投资基金招募说明书》的有关规定</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收益分配基准日</w:t>
            </w:r>
          </w:p>
        </w:tc>
        <w:tc>
          <w:tcPr>
            <w:tcW w:w="3154" w:type="pct"/>
            <w:gridSpan w:val="3"/>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2025</w:t>
            </w:r>
            <w:r>
              <w:rPr>
                <w:rFonts w:hint="eastAsia"/>
              </w:rPr>
              <w:t>年</w:t>
            </w:r>
            <w:r>
              <w:rPr>
                <w:rFonts w:hint="eastAsia"/>
              </w:rPr>
              <w:t>10</w:t>
            </w:r>
            <w:r>
              <w:rPr>
                <w:rFonts w:hint="eastAsia"/>
              </w:rPr>
              <w:t>月</w:t>
            </w:r>
            <w:r>
              <w:rPr>
                <w:rFonts w:hint="eastAsia"/>
              </w:rPr>
              <w:t>21</w:t>
            </w:r>
            <w:r>
              <w:rPr>
                <w:rFonts w:hint="eastAsia"/>
              </w:rPr>
              <w:t>日</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有关年度分红次数的说明</w:t>
            </w:r>
          </w:p>
        </w:tc>
        <w:tc>
          <w:tcPr>
            <w:tcW w:w="3154" w:type="pct"/>
            <w:gridSpan w:val="3"/>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本基金本次分红为</w:t>
            </w:r>
            <w:r>
              <w:rPr>
                <w:rFonts w:hint="eastAsia"/>
              </w:rPr>
              <w:t>2025</w:t>
            </w:r>
            <w:r>
              <w:rPr>
                <w:rFonts w:hint="eastAsia"/>
              </w:rPr>
              <w:t>年度第</w:t>
            </w:r>
            <w:r>
              <w:rPr>
                <w:rFonts w:hint="eastAsia"/>
              </w:rPr>
              <w:t>3</w:t>
            </w:r>
            <w:r>
              <w:rPr>
                <w:rFonts w:hint="eastAsia"/>
              </w:rPr>
              <w:t>次分红</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下属基金份额类别的基金简称</w:t>
            </w:r>
          </w:p>
        </w:tc>
        <w:tc>
          <w:tcPr>
            <w:tcW w:w="1092"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中加聚利纯债定开</w:t>
            </w:r>
            <w:r>
              <w:rPr>
                <w:rFonts w:hint="eastAsia"/>
              </w:rPr>
              <w:t>A</w:t>
            </w:r>
          </w:p>
        </w:tc>
        <w:tc>
          <w:tcPr>
            <w:tcW w:w="1045"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中加聚利纯债定开</w:t>
            </w:r>
            <w:r>
              <w:rPr>
                <w:rFonts w:hint="eastAsia"/>
              </w:rPr>
              <w:t>C</w:t>
            </w:r>
          </w:p>
        </w:tc>
        <w:tc>
          <w:tcPr>
            <w:tcW w:w="1016"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中加聚利纯债定开</w:t>
            </w:r>
            <w:r>
              <w:rPr>
                <w:rFonts w:hint="eastAsia"/>
              </w:rPr>
              <w:t>D</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下属基金份额类别的交易代码</w:t>
            </w:r>
          </w:p>
        </w:tc>
        <w:tc>
          <w:tcPr>
            <w:tcW w:w="1092"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006588</w:t>
            </w:r>
          </w:p>
        </w:tc>
        <w:tc>
          <w:tcPr>
            <w:tcW w:w="1045"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006589</w:t>
            </w:r>
          </w:p>
        </w:tc>
        <w:tc>
          <w:tcPr>
            <w:tcW w:w="1016"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022517</w:t>
            </w:r>
          </w:p>
        </w:tc>
      </w:tr>
      <w:tr w:rsidR="00000000">
        <w:tc>
          <w:tcPr>
            <w:tcW w:w="0" w:type="auto"/>
            <w:vMerge w:val="restar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ind w:left="0"/>
            </w:pPr>
            <w:r>
              <w:rPr>
                <w:rFonts w:hint="eastAsia"/>
              </w:rPr>
              <w:t>截止基准日下属基金份额类别的相关指标</w:t>
            </w: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基准日下属基金份额类别净值（单位</w:t>
            </w:r>
            <w:r>
              <w:rPr>
                <w:rFonts w:hint="eastAsia"/>
              </w:rPr>
              <w:t>:</w:t>
            </w:r>
            <w:r>
              <w:rPr>
                <w:rFonts w:hint="eastAsia"/>
              </w:rPr>
              <w:t>人民币元）</w:t>
            </w:r>
          </w:p>
        </w:tc>
        <w:tc>
          <w:tcPr>
            <w:tcW w:w="1092"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1.1463</w:t>
            </w:r>
          </w:p>
        </w:tc>
        <w:tc>
          <w:tcPr>
            <w:tcW w:w="1045"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1.1189</w:t>
            </w:r>
          </w:p>
        </w:tc>
        <w:tc>
          <w:tcPr>
            <w:tcW w:w="1016"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1.1457</w:t>
            </w:r>
          </w:p>
        </w:tc>
      </w:tr>
      <w:tr w:rsidR="00000000">
        <w:tc>
          <w:tcPr>
            <w:tcW w:w="0" w:type="auto"/>
            <w:vMerge/>
            <w:tcBorders>
              <w:top w:val="single" w:sz="8" w:space="0" w:color="000000"/>
              <w:left w:val="single" w:sz="8" w:space="0" w:color="000000"/>
              <w:bottom w:val="single" w:sz="6" w:space="0" w:color="000000"/>
              <w:right w:val="single" w:sz="8" w:space="0" w:color="000000"/>
            </w:tcBorders>
            <w:vAlign w:val="center"/>
          </w:tcPr>
          <w:p w:rsidR="00000000" w:rsidRDefault="005B19E9">
            <w:pPr>
              <w:widowControl/>
              <w:jc w:val="left"/>
              <w:rPr>
                <w:rFonts w:ascii="宋体" w:hAnsi="宋体" w:cs="宋体"/>
                <w:kern w:val="0"/>
                <w:sz w:val="24"/>
                <w:szCs w:val="24"/>
              </w:rPr>
            </w:pPr>
          </w:p>
        </w:tc>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基准日下属基金份额类别可供分配利润（单位</w:t>
            </w:r>
            <w:r>
              <w:rPr>
                <w:rFonts w:hint="eastAsia"/>
              </w:rPr>
              <w:t>:</w:t>
            </w:r>
            <w:r>
              <w:rPr>
                <w:rFonts w:hint="eastAsia"/>
              </w:rPr>
              <w:t>人民币元）</w:t>
            </w:r>
          </w:p>
        </w:tc>
        <w:tc>
          <w:tcPr>
            <w:tcW w:w="1092"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2,460</w:t>
            </w:r>
            <w:r>
              <w:rPr>
                <w:rFonts w:hint="eastAsia"/>
              </w:rPr>
              <w:t>,935.57</w:t>
            </w:r>
          </w:p>
        </w:tc>
        <w:tc>
          <w:tcPr>
            <w:tcW w:w="1045"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658,934.44</w:t>
            </w:r>
          </w:p>
        </w:tc>
        <w:tc>
          <w:tcPr>
            <w:tcW w:w="1016"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60,587,080.54</w:t>
            </w:r>
          </w:p>
        </w:tc>
      </w:tr>
      <w:tr w:rsidR="00000000">
        <w:tc>
          <w:tcPr>
            <w:tcW w:w="0" w:type="auto"/>
            <w:gridSpan w:val="2"/>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本次下属基金份额类别分红方案（单位</w:t>
            </w:r>
            <w:r>
              <w:rPr>
                <w:rFonts w:hint="eastAsia"/>
              </w:rPr>
              <w:t>:</w:t>
            </w:r>
            <w:r>
              <w:rPr>
                <w:rFonts w:hint="eastAsia"/>
              </w:rPr>
              <w:t>元</w:t>
            </w:r>
            <w:r>
              <w:rPr>
                <w:rFonts w:hint="eastAsia"/>
              </w:rPr>
              <w:t>/10</w:t>
            </w:r>
            <w:r>
              <w:rPr>
                <w:rFonts w:hint="eastAsia"/>
              </w:rPr>
              <w:t>份基金份额）</w:t>
            </w:r>
          </w:p>
        </w:tc>
        <w:tc>
          <w:tcPr>
            <w:tcW w:w="1092"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0.012</w:t>
            </w:r>
          </w:p>
        </w:tc>
        <w:tc>
          <w:tcPr>
            <w:tcW w:w="1045"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0.012</w:t>
            </w:r>
          </w:p>
        </w:tc>
        <w:tc>
          <w:tcPr>
            <w:tcW w:w="1016"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0.006</w:t>
            </w:r>
          </w:p>
        </w:tc>
      </w:tr>
    </w:tbl>
    <w:p w:rsidR="00000000" w:rsidRDefault="005B19E9">
      <w:pPr>
        <w:widowControl/>
        <w:jc w:val="left"/>
        <w:rPr>
          <w:rFonts w:ascii="宋体" w:hAnsi="宋体" w:cs="宋体" w:hint="eastAsia"/>
          <w:kern w:val="0"/>
          <w:sz w:val="24"/>
          <w:szCs w:val="24"/>
        </w:rPr>
      </w:pPr>
    </w:p>
    <w:p w:rsidR="00000000" w:rsidRDefault="005B19E9">
      <w:pPr>
        <w:pStyle w:val="dazhangjie"/>
        <w:rPr>
          <w:rFonts w:hint="eastAsia"/>
        </w:rPr>
      </w:pPr>
      <w:r>
        <w:rPr>
          <w:rFonts w:hAnsi="Calibri" w:hint="eastAsia"/>
          <w:b/>
          <w:color w:val="000000"/>
        </w:rPr>
        <w:lastRenderedPageBreak/>
        <w:t xml:space="preserve">2 </w:t>
      </w:r>
      <w:r>
        <w:rPr>
          <w:rFonts w:hAnsi="Calibri" w:hint="eastAsia"/>
          <w:b/>
          <w:color w:val="000000"/>
        </w:rPr>
        <w:t>与分红相关的其他信息</w:t>
      </w:r>
    </w:p>
    <w:p w:rsidR="00000000" w:rsidRDefault="005B19E9">
      <w:pPr>
        <w:widowControl/>
        <w:jc w:val="left"/>
        <w:rPr>
          <w:rFonts w:ascii="宋体" w:hAnsi="宋体" w:cs="宋体" w:hint="eastAsia"/>
          <w:kern w:val="0"/>
          <w:sz w:val="24"/>
          <w:szCs w:val="24"/>
        </w:rPr>
      </w:pPr>
    </w:p>
    <w:tbl>
      <w:tblPr>
        <w:tblW w:w="8909" w:type="dxa"/>
        <w:tblInd w:w="108" w:type="dxa"/>
        <w:tblLook w:val="0000"/>
      </w:tblPr>
      <w:tblGrid>
        <w:gridCol w:w="3300"/>
        <w:gridCol w:w="5609"/>
      </w:tblGrid>
      <w:tr w:rsidR="00000000">
        <w:tc>
          <w:tcPr>
            <w:tcW w:w="1852"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权益登记日</w:t>
            </w:r>
          </w:p>
        </w:tc>
        <w:tc>
          <w:tcPr>
            <w:tcW w:w="3147"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30</w:t>
            </w:r>
            <w:r>
              <w:rPr>
                <w:rFonts w:hAnsi="Calibri" w:hint="eastAsia"/>
                <w:color w:val="000000"/>
              </w:rPr>
              <w:t>日</w:t>
            </w:r>
          </w:p>
        </w:tc>
      </w:tr>
      <w:tr w:rsidR="00000000">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除息日</w:t>
            </w:r>
          </w:p>
        </w:tc>
        <w:tc>
          <w:tcPr>
            <w:tcW w:w="3147"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30</w:t>
            </w:r>
            <w:r>
              <w:rPr>
                <w:rFonts w:hAnsi="Calibri" w:hint="eastAsia"/>
                <w:color w:val="000000"/>
              </w:rPr>
              <w:t>日</w:t>
            </w:r>
          </w:p>
        </w:tc>
      </w:tr>
      <w:tr w:rsidR="00000000">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现金红利发放日</w:t>
            </w:r>
          </w:p>
        </w:tc>
        <w:tc>
          <w:tcPr>
            <w:tcW w:w="3147"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31</w:t>
            </w:r>
            <w:r>
              <w:rPr>
                <w:rFonts w:hAnsi="Calibri" w:hint="eastAsia"/>
                <w:color w:val="000000"/>
              </w:rPr>
              <w:t>日</w:t>
            </w:r>
          </w:p>
        </w:tc>
      </w:tr>
      <w:tr w:rsidR="00000000">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分红对象</w:t>
            </w:r>
          </w:p>
        </w:tc>
        <w:tc>
          <w:tcPr>
            <w:tcW w:w="3147"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Ansi="Calibri" w:hint="eastAsia"/>
                <w:color w:val="000000"/>
              </w:rPr>
              <w:t>权益登记日在中加基金管理有限公司登记在册的本基金的全体基金份额持有人。</w:t>
            </w:r>
          </w:p>
        </w:tc>
      </w:tr>
      <w:tr w:rsidR="00000000">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红利再投资相关事项的说明</w:t>
            </w:r>
          </w:p>
        </w:tc>
        <w:tc>
          <w:tcPr>
            <w:tcW w:w="3147"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Ansi="Calibri" w:hint="eastAsia"/>
                <w:color w:val="000000"/>
              </w:rPr>
              <w:t>选择红利再投资方式的投资者由红利转得的基金份额将以</w:t>
            </w: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30</w:t>
            </w:r>
            <w:r>
              <w:rPr>
                <w:rFonts w:hAnsi="Calibri" w:hint="eastAsia"/>
                <w:color w:val="000000"/>
              </w:rPr>
              <w:t>日除权后的基金份额净值为</w:t>
            </w:r>
            <w:r>
              <w:rPr>
                <w:rFonts w:hAnsi="Calibri" w:hint="eastAsia"/>
                <w:color w:val="000000"/>
              </w:rPr>
              <w:t>计算基准确定再投资份额，红利再投资所转换的基金份额于</w:t>
            </w: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31</w:t>
            </w:r>
            <w:r>
              <w:rPr>
                <w:rFonts w:hAnsi="Calibri" w:hint="eastAsia"/>
                <w:color w:val="000000"/>
              </w:rPr>
              <w:t>日直接划入其基金账户。本公司对红利再投资所产生的基金份额进行确认并通知各销售机构。</w:t>
            </w:r>
            <w:r>
              <w:rPr>
                <w:rFonts w:hAnsi="Calibri" w:hint="eastAsia"/>
                <w:color w:val="000000"/>
              </w:rPr>
              <w:t>2025</w:t>
            </w:r>
            <w:r>
              <w:rPr>
                <w:rFonts w:hAnsi="Calibri" w:hint="eastAsia"/>
                <w:color w:val="000000"/>
              </w:rPr>
              <w:t>年</w:t>
            </w:r>
            <w:r>
              <w:rPr>
                <w:rFonts w:hAnsi="Calibri" w:hint="eastAsia"/>
                <w:color w:val="000000"/>
              </w:rPr>
              <w:t>11</w:t>
            </w:r>
            <w:r>
              <w:rPr>
                <w:rFonts w:hAnsi="Calibri" w:hint="eastAsia"/>
                <w:color w:val="000000"/>
              </w:rPr>
              <w:t>月</w:t>
            </w:r>
            <w:r>
              <w:rPr>
                <w:rFonts w:hAnsi="Calibri" w:hint="eastAsia"/>
                <w:color w:val="000000"/>
              </w:rPr>
              <w:t>03</w:t>
            </w:r>
            <w:r>
              <w:rPr>
                <w:rFonts w:hAnsi="Calibri" w:hint="eastAsia"/>
                <w:color w:val="000000"/>
              </w:rPr>
              <w:t>日起投资者可以查询。</w:t>
            </w:r>
          </w:p>
        </w:tc>
      </w:tr>
      <w:tr w:rsidR="00000000">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税收相关事项的说明</w:t>
            </w:r>
          </w:p>
        </w:tc>
        <w:tc>
          <w:tcPr>
            <w:tcW w:w="3147"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根据财政部、国家税务总局的财税字</w:t>
            </w:r>
            <w:r>
              <w:rPr>
                <w:rFonts w:hint="eastAsia"/>
              </w:rPr>
              <w:t>[2002]128</w:t>
            </w:r>
            <w:r>
              <w:rPr>
                <w:rFonts w:hint="eastAsia"/>
              </w:rPr>
              <w:t>号《关于开放式证券投资基金有关税收问题的通知》，基金向投资者分配的基金收益，暂免征收所得税。</w:t>
            </w:r>
          </w:p>
        </w:tc>
      </w:tr>
      <w:tr w:rsidR="00000000">
        <w:tc>
          <w:tcPr>
            <w:tcW w:w="0" w:type="auto"/>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wordWrap w:val="0"/>
            </w:pPr>
            <w:r>
              <w:rPr>
                <w:rFonts w:hint="eastAsia"/>
              </w:rPr>
              <w:t>费用相关事项的说明</w:t>
            </w:r>
          </w:p>
        </w:tc>
        <w:tc>
          <w:tcPr>
            <w:tcW w:w="3147" w:type="pct"/>
            <w:tcBorders>
              <w:top w:val="single" w:sz="8" w:space="0" w:color="000000"/>
              <w:left w:val="single" w:sz="8" w:space="0" w:color="000000"/>
              <w:bottom w:val="single" w:sz="6" w:space="0" w:color="000000"/>
              <w:right w:val="single" w:sz="8" w:space="0" w:color="000000"/>
            </w:tcBorders>
            <w:vAlign w:val="center"/>
          </w:tcPr>
          <w:p w:rsidR="00000000" w:rsidRDefault="005B19E9">
            <w:pPr>
              <w:pStyle w:val="biaogeleft"/>
              <w:numPr>
                <w:ilvl w:val="0"/>
                <w:numId w:val="1"/>
              </w:numPr>
              <w:wordWrap w:val="0"/>
              <w:rPr>
                <w:rFonts w:hint="eastAsia"/>
              </w:rPr>
            </w:pPr>
            <w:r>
              <w:rPr>
                <w:rFonts w:hint="eastAsia"/>
              </w:rPr>
              <w:t>本基金本次分红免收分红手续费。</w:t>
            </w:r>
          </w:p>
          <w:p w:rsidR="00000000" w:rsidRDefault="005B19E9">
            <w:pPr>
              <w:pStyle w:val="biaogeleft"/>
              <w:wordWrap w:val="0"/>
              <w:ind w:left="0"/>
            </w:pPr>
            <w:r>
              <w:rPr>
                <w:rFonts w:hint="eastAsia"/>
              </w:rPr>
              <w:t>2</w:t>
            </w:r>
            <w:r>
              <w:rPr>
                <w:rFonts w:hint="eastAsia"/>
              </w:rPr>
              <w:t>、选择红利再投资方式的投资者其红利所转换的基金份额免收申购费用。</w:t>
            </w:r>
            <w:r>
              <w:rPr>
                <w:rFonts w:hint="eastAsia"/>
              </w:rPr>
              <w:t xml:space="preserve"> </w:t>
            </w:r>
          </w:p>
        </w:tc>
      </w:tr>
    </w:tbl>
    <w:p w:rsidR="00000000" w:rsidRDefault="005B19E9">
      <w:pPr>
        <w:pStyle w:val="neirong"/>
        <w:rPr>
          <w:rFonts w:hint="eastAsia"/>
        </w:rPr>
      </w:pPr>
      <w:r>
        <w:rPr>
          <w:rFonts w:hint="eastAsia"/>
        </w:rPr>
        <w:t>注：对于未选择具体分红方</w:t>
      </w:r>
      <w:r>
        <w:rPr>
          <w:rFonts w:hint="eastAsia"/>
        </w:rPr>
        <w:t>式的投资者，本基金默认的分红方式为现金分红。</w:t>
      </w:r>
    </w:p>
    <w:p w:rsidR="00000000" w:rsidRDefault="005B19E9">
      <w:pPr>
        <w:widowControl/>
        <w:jc w:val="left"/>
        <w:rPr>
          <w:rFonts w:ascii="宋体" w:hAnsi="宋体" w:cs="宋体" w:hint="eastAsia"/>
          <w:kern w:val="0"/>
          <w:sz w:val="24"/>
          <w:szCs w:val="24"/>
        </w:rPr>
      </w:pPr>
    </w:p>
    <w:p w:rsidR="00000000" w:rsidRDefault="005B19E9">
      <w:pPr>
        <w:pStyle w:val="dazhangjie"/>
        <w:rPr>
          <w:rFonts w:hint="eastAsia"/>
        </w:rPr>
      </w:pPr>
      <w:r>
        <w:rPr>
          <w:rFonts w:hint="eastAsia"/>
          <w:b/>
          <w:bCs/>
        </w:rPr>
        <w:t xml:space="preserve">3 </w:t>
      </w:r>
      <w:r>
        <w:rPr>
          <w:rFonts w:hint="eastAsia"/>
          <w:b/>
          <w:bCs/>
        </w:rPr>
        <w:t>其他需要提示的事项</w:t>
      </w:r>
    </w:p>
    <w:p w:rsidR="00000000" w:rsidRDefault="005B19E9">
      <w:pPr>
        <w:pStyle w:val="neirong"/>
        <w:ind w:firstLineChars="200" w:firstLine="480"/>
        <w:rPr>
          <w:rFonts w:hint="eastAsia"/>
        </w:rPr>
      </w:pPr>
      <w:r>
        <w:rPr>
          <w:rFonts w:hint="eastAsia"/>
        </w:rPr>
        <w:t>中加基金管理有限公司客户服务电话：</w:t>
      </w:r>
      <w:r>
        <w:rPr>
          <w:rFonts w:hint="eastAsia"/>
        </w:rPr>
        <w:t>400-00-95526</w:t>
      </w:r>
      <w:r>
        <w:rPr>
          <w:rFonts w:hint="eastAsia"/>
        </w:rPr>
        <w:t>（固定电话、移动电话均可拨打）网站：</w:t>
      </w:r>
      <w:r>
        <w:rPr>
          <w:rStyle w:val="a5"/>
          <w:rFonts w:hint="eastAsia"/>
          <w:color w:val="auto"/>
          <w:u w:val="none"/>
        </w:rPr>
        <w:t>http://www.bobbns.com/</w:t>
      </w:r>
    </w:p>
    <w:p w:rsidR="00000000" w:rsidRDefault="005B19E9">
      <w:pPr>
        <w:pStyle w:val="neirong"/>
        <w:ind w:firstLineChars="200" w:firstLine="480"/>
        <w:rPr>
          <w:rFonts w:hint="eastAsia"/>
        </w:rPr>
      </w:pPr>
      <w:r>
        <w:rPr>
          <w:rFonts w:hint="eastAsia"/>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投资有风险，敬请投资人认真阅读本基金的《基金合同》、《招募</w:t>
      </w:r>
      <w:r>
        <w:rPr>
          <w:rFonts w:hint="eastAsia"/>
        </w:rPr>
        <w:t>说明书》等相关法律文件，并根据自身的投资目的、投资期限、投资经验、资产状况等判断基金是否和投资者的风险承受能力相适应，自主判断基金的投资价值，自主做出投资决策，自行承担投资风险。</w:t>
      </w:r>
    </w:p>
    <w:p w:rsidR="00000000" w:rsidRDefault="005B19E9">
      <w:pPr>
        <w:pStyle w:val="neirong"/>
        <w:ind w:firstLineChars="200" w:firstLine="480"/>
        <w:rPr>
          <w:rFonts w:hint="eastAsia"/>
        </w:rPr>
      </w:pPr>
    </w:p>
    <w:p w:rsidR="00000000" w:rsidRDefault="005B19E9">
      <w:pPr>
        <w:pStyle w:val="neirong"/>
        <w:ind w:firstLineChars="200" w:firstLine="480"/>
        <w:rPr>
          <w:rFonts w:hint="eastAsia"/>
        </w:rPr>
      </w:pPr>
      <w:r>
        <w:rPr>
          <w:rFonts w:hint="eastAsia"/>
        </w:rPr>
        <w:lastRenderedPageBreak/>
        <w:t>特此公告。</w:t>
      </w:r>
    </w:p>
    <w:p w:rsidR="00000000" w:rsidRDefault="005B19E9">
      <w:pPr>
        <w:pStyle w:val="neirong"/>
        <w:rPr>
          <w:rFonts w:hint="eastAsia"/>
        </w:rPr>
      </w:pPr>
    </w:p>
    <w:p w:rsidR="00000000" w:rsidRDefault="005B19E9">
      <w:pPr>
        <w:pStyle w:val="biaogeright"/>
        <w:rPr>
          <w:rFonts w:hint="eastAsia"/>
        </w:rPr>
      </w:pPr>
      <w:r>
        <w:rPr>
          <w:rFonts w:hAnsi="Calibri" w:hint="eastAsia"/>
          <w:color w:val="000000"/>
        </w:rPr>
        <w:t>中加基金管理有限公司</w:t>
      </w:r>
    </w:p>
    <w:p w:rsidR="00000000" w:rsidRDefault="005B19E9">
      <w:pPr>
        <w:pStyle w:val="biaogeright"/>
        <w:rPr>
          <w:rFonts w:hint="eastAsia"/>
        </w:rPr>
      </w:pPr>
      <w:r>
        <w:rPr>
          <w:rFonts w:hAnsi="Calibri" w:hint="eastAsia"/>
          <w:color w:val="000000"/>
        </w:rPr>
        <w:t>2025</w:t>
      </w:r>
      <w:r>
        <w:rPr>
          <w:rFonts w:hAnsi="Calibri" w:hint="eastAsia"/>
          <w:color w:val="000000"/>
        </w:rPr>
        <w:t>年</w:t>
      </w:r>
      <w:r>
        <w:rPr>
          <w:rFonts w:hAnsi="Calibri" w:hint="eastAsia"/>
          <w:color w:val="000000"/>
        </w:rPr>
        <w:t>10</w:t>
      </w:r>
      <w:r>
        <w:rPr>
          <w:rFonts w:hAnsi="Calibri" w:hint="eastAsia"/>
          <w:color w:val="000000"/>
        </w:rPr>
        <w:t>月</w:t>
      </w:r>
      <w:r>
        <w:rPr>
          <w:rFonts w:hAnsi="Calibri" w:hint="eastAsia"/>
          <w:color w:val="000000"/>
        </w:rPr>
        <w:t>29</w:t>
      </w:r>
      <w:r>
        <w:rPr>
          <w:rFonts w:hAnsi="Calibri" w:hint="eastAsia"/>
          <w:color w:val="000000"/>
        </w:rPr>
        <w:t>日</w:t>
      </w:r>
    </w:p>
    <w:sectPr w:rsidR="00000000">
      <w:pgSz w:w="11926" w:h="15840"/>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3ACE46"/>
    <w:multiLevelType w:val="singleLevel"/>
    <w:tmpl w:val="C03ACE4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85385"/>
    <w:rsid w:val="005B19E9"/>
    <w:rsid w:val="00A85385"/>
    <w:rsid w:val="00F33D34"/>
    <w:rsid w:val="59000F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Pr>
      <w:rFonts w:ascii="Times New Roman" w:hAnsi="Times New Roman" w:cs="Times New Roman" w:hint="default"/>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Pr>
      <w:rFonts w:ascii="Times New Roman" w:hAnsi="Times New Roman" w:cs="Times New Roman" w:hint="default"/>
      <w:sz w:val="18"/>
      <w:szCs w:val="18"/>
    </w:rPr>
  </w:style>
  <w:style w:type="character" w:styleId="a5">
    <w:name w:val="Hyperlink"/>
    <w:basedOn w:val="a0"/>
    <w:uiPriority w:val="99"/>
    <w:unhideWhenUsed/>
    <w:rPr>
      <w:color w:val="0000FF"/>
      <w:u w:val="single"/>
    </w:rPr>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Words>
  <Characters>1192</Characters>
  <Application>Microsoft Office Word</Application>
  <DocSecurity>4</DocSecurity>
  <Lines>9</Lines>
  <Paragraphs>2</Paragraphs>
  <ScaleCrop>false</ScaleCrop>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wangyue</dc:creator>
  <cp:keywords/>
  <dc:description/>
  <cp:lastModifiedBy>ZHONGM</cp:lastModifiedBy>
  <cp:revision>2</cp:revision>
  <dcterms:created xsi:type="dcterms:W3CDTF">2025-10-28T16:02:00Z</dcterms:created>
  <dcterms:modified xsi:type="dcterms:W3CDTF">2025-10-28T16:02:00Z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eyJoZGlkIjoiMGYwMmQ4M2FiODI0MjdjNWZmNGVhMDEzNWY4ZTBhZDgiLCJ1c2VySWQiOiI4NDY0Mjk2MDQifQ==</vt:lpwstr>
  </property>
  <property fmtid="{D5CDD505-2E9C-101B-9397-08002B2CF9AE}" pid="3" name="KSOProductBuildVer">
    <vt:lpwstr>2052-12.1.0.23542</vt:lpwstr>
  </property>
  <property fmtid="{D5CDD505-2E9C-101B-9397-08002B2CF9AE}" pid="4" name="ICV">
    <vt:lpwstr>E5F6AE01FB3846C4BD5CD7D4D7F07E55_12</vt:lpwstr>
  </property>
</Properties>
</file>