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B4" w:rsidRDefault="00291DE6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bookmarkStart w:id="0" w:name="_GoBack"/>
      <w:bookmarkEnd w:id="0"/>
      <w:r>
        <w:rPr>
          <w:rFonts w:ascii="Times New Roman" w:eastAsia="宋体" w:cs="Times New Roman" w:hint="eastAsia"/>
          <w:b/>
          <w:bCs/>
          <w:color w:val="191919"/>
          <w:kern w:val="36"/>
          <w:sz w:val="32"/>
          <w:szCs w:val="32"/>
        </w:rPr>
        <w:t>民生加银基金管理有限公司旗下基金</w:t>
      </w:r>
    </w:p>
    <w:p w:rsidR="007E0DB4" w:rsidRDefault="00291DE6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2025</w:t>
      </w: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年第</w:t>
      </w: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3</w:t>
      </w: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季度报告提示性公告</w:t>
      </w:r>
    </w:p>
    <w:p w:rsidR="007E0DB4" w:rsidRDefault="00291DE6" w:rsidP="00291DE6">
      <w:pPr>
        <w:spacing w:beforeLines="100"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民生加银基金管理有限公司（以下简称“本公司”）董事会及董事保证基金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2025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年第</w:t>
      </w:r>
      <w:r>
        <w:rPr>
          <w:rFonts w:ascii="Times New Roman" w:eastAsia="宋体" w:cs="Times New Roman"/>
          <w:color w:val="000000"/>
          <w:sz w:val="28"/>
          <w:szCs w:val="28"/>
        </w:rPr>
        <w:t>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7E0DB4" w:rsidRDefault="00291DE6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本公司旗下的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103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只基金（具体基金详见附表）的</w:t>
      </w:r>
      <w:r>
        <w:rPr>
          <w:rFonts w:ascii="Times New Roman" w:eastAsia="宋体" w:cs="Times New Roman"/>
          <w:color w:val="000000"/>
          <w:sz w:val="28"/>
          <w:szCs w:val="28"/>
        </w:rPr>
        <w:t>2025</w:t>
      </w:r>
      <w:r>
        <w:rPr>
          <w:rFonts w:ascii="Times New Roman" w:eastAsia="宋体" w:cs="Times New Roman"/>
          <w:color w:val="000000"/>
          <w:sz w:val="28"/>
          <w:szCs w:val="28"/>
        </w:rPr>
        <w:t>年第</w:t>
      </w:r>
      <w:r>
        <w:rPr>
          <w:rFonts w:ascii="Times New Roman" w:eastAsia="宋体" w:cs="Times New Roman"/>
          <w:color w:val="000000"/>
          <w:sz w:val="28"/>
          <w:szCs w:val="28"/>
        </w:rPr>
        <w:t>3</w:t>
      </w:r>
      <w:r>
        <w:rPr>
          <w:rFonts w:ascii="Times New Roman" w:eastAsia="宋体" w:cs="Times New Roman"/>
          <w:color w:val="000000"/>
          <w:sz w:val="28"/>
          <w:szCs w:val="28"/>
        </w:rPr>
        <w:t>季度报告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全文于</w:t>
      </w:r>
      <w:r>
        <w:rPr>
          <w:rFonts w:ascii="Times New Roman" w:eastAsia="宋体" w:cs="Times New Roman"/>
          <w:color w:val="000000"/>
          <w:sz w:val="28"/>
          <w:szCs w:val="28"/>
        </w:rPr>
        <w:t>2025</w:t>
      </w:r>
      <w:r>
        <w:rPr>
          <w:rFonts w:ascii="Times New Roman" w:eastAsia="宋体" w:cs="Times New Roman"/>
          <w:color w:val="000000"/>
          <w:sz w:val="28"/>
          <w:szCs w:val="28"/>
        </w:rPr>
        <w:t>年</w:t>
      </w:r>
      <w:r>
        <w:rPr>
          <w:rFonts w:ascii="Times New Roman" w:eastAsia="宋体" w:cs="Times New Roman"/>
          <w:color w:val="000000"/>
          <w:sz w:val="28"/>
          <w:szCs w:val="28"/>
        </w:rPr>
        <w:t>10</w:t>
      </w:r>
      <w:r>
        <w:rPr>
          <w:rFonts w:ascii="Times New Roman" w:eastAsia="宋体" w:cs="Times New Roman"/>
          <w:color w:val="000000"/>
          <w:sz w:val="28"/>
          <w:szCs w:val="28"/>
        </w:rPr>
        <w:t>月</w:t>
      </w:r>
      <w:r>
        <w:rPr>
          <w:rFonts w:ascii="Times New Roman" w:eastAsia="宋体" w:cs="Times New Roman"/>
          <w:color w:val="000000"/>
          <w:sz w:val="28"/>
          <w:szCs w:val="28"/>
        </w:rPr>
        <w:t>28</w:t>
      </w:r>
      <w:r>
        <w:rPr>
          <w:rFonts w:ascii="Times New Roman" w:eastAsia="宋体" w:cs="Times New Roman"/>
          <w:color w:val="000000"/>
          <w:sz w:val="28"/>
          <w:szCs w:val="28"/>
        </w:rPr>
        <w:t>日在本公司网站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4" w:history="1">
        <w:r>
          <w:rPr>
            <w:rFonts w:ascii="Times New Roman" w:eastAsia="宋体" w:cs="Times New Roman"/>
            <w:color w:val="000000"/>
            <w:sz w:val="28"/>
            <w:szCs w:val="28"/>
          </w:rPr>
          <w:t>www.msjyfund.com.cn</w:t>
        </w:r>
      </w:hyperlink>
      <w:r>
        <w:rPr>
          <w:rFonts w:ascii="Times New Roman" w:eastAsia="宋体" w:cs="Times New Roman" w:hint="eastAsia"/>
          <w:color w:val="000000"/>
          <w:sz w:val="28"/>
          <w:szCs w:val="28"/>
        </w:rPr>
        <w:t>）和</w:t>
      </w:r>
      <w:r>
        <w:rPr>
          <w:rFonts w:ascii="Times New Roman" w:eastAsia="宋体" w:cs="Times New Roman"/>
          <w:color w:val="000000"/>
          <w:sz w:val="28"/>
          <w:szCs w:val="28"/>
        </w:rPr>
        <w:t>中国证监会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基金</w:t>
      </w:r>
      <w:r>
        <w:rPr>
          <w:rFonts w:ascii="Times New Roman" w:eastAsia="宋体" w:cs="Times New Roman"/>
          <w:color w:val="000000"/>
          <w:sz w:val="28"/>
          <w:szCs w:val="28"/>
        </w:rPr>
        <w:t>电子披露网站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5" w:history="1">
        <w:r>
          <w:rPr>
            <w:rFonts w:ascii="Times New Roman" w:eastAsia="宋体" w:cs="Times New Roman"/>
            <w:color w:val="000000"/>
            <w:sz w:val="28"/>
            <w:szCs w:val="28"/>
          </w:rPr>
          <w:t>http://eid.csrc.gov.cn/fund</w:t>
        </w:r>
      </w:hyperlink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  <w:r>
        <w:rPr>
          <w:rFonts w:ascii="Times New Roman" w:eastAsia="宋体" w:cs="Times New Roman"/>
          <w:color w:val="000000"/>
          <w:sz w:val="28"/>
          <w:szCs w:val="28"/>
        </w:rPr>
        <w:t>披露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，</w:t>
      </w:r>
      <w:r>
        <w:rPr>
          <w:rFonts w:ascii="Times New Roman" w:eastAsia="宋体" w:cs="Times New Roman"/>
          <w:color w:val="000000"/>
          <w:sz w:val="28"/>
          <w:szCs w:val="28"/>
        </w:rPr>
        <w:t>供投资者查阅。如有疑问可拨打本公司客服电话（</w:t>
      </w:r>
      <w:r>
        <w:rPr>
          <w:rFonts w:ascii="Times New Roman" w:eastAsia="宋体" w:cs="Times New Roman"/>
          <w:color w:val="000000"/>
          <w:sz w:val="28"/>
          <w:szCs w:val="28"/>
        </w:rPr>
        <w:t>400-8888-388</w:t>
      </w:r>
      <w:r>
        <w:rPr>
          <w:rFonts w:ascii="Times New Roman" w:eastAsia="宋体" w:cs="Times New Roman"/>
          <w:color w:val="000000"/>
          <w:sz w:val="28"/>
          <w:szCs w:val="28"/>
        </w:rPr>
        <w:t>）咨询。</w:t>
      </w:r>
    </w:p>
    <w:p w:rsidR="007E0DB4" w:rsidRDefault="00291DE6" w:rsidP="00291DE6">
      <w:pPr>
        <w:spacing w:line="360" w:lineRule="auto"/>
        <w:ind w:firstLineChars="200" w:firstLine="562"/>
        <w:rPr>
          <w:rFonts w:asci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b/>
          <w:bCs/>
          <w:color w:val="000000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E0DB4" w:rsidRDefault="00291DE6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特此公告。</w:t>
      </w:r>
    </w:p>
    <w:p w:rsidR="007E0DB4" w:rsidRDefault="007E0DB4">
      <w:pPr>
        <w:spacing w:line="360" w:lineRule="auto"/>
        <w:ind w:firstLineChars="200" w:firstLine="640"/>
        <w:rPr>
          <w:rFonts w:ascii="Times New Roman" w:eastAsia="宋体" w:cs="Times New Roman"/>
          <w:color w:val="000000"/>
          <w:sz w:val="32"/>
          <w:szCs w:val="32"/>
        </w:rPr>
      </w:pP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32"/>
          <w:szCs w:val="32"/>
        </w:rPr>
      </w:pPr>
      <w:r>
        <w:rPr>
          <w:rFonts w:ascii="Times New Roman" w:eastAsia="宋体" w:cs="Times New Roman"/>
          <w:color w:val="000000"/>
          <w:sz w:val="32"/>
          <w:szCs w:val="32"/>
        </w:rPr>
        <w:br w:type="page"/>
      </w:r>
    </w:p>
    <w:p w:rsidR="007E0DB4" w:rsidRDefault="00291DE6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lastRenderedPageBreak/>
        <w:t>附表：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民生加银品牌蓝筹灵活配置混合型证券投资基金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民生加银增强收益债券型证券投资基金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民生加银精选混合型证券投资基金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民生加银稳健成长混合型证券投资基金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民生加银内需增长混合型证券投资基金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民生加银景气行业混合型证券投资基金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民生加银中证内地资源主题指数型证券投资基金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民生加银红利回报灵活配置混合型证券投资基金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民生加银现金增利货币市场基金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民生加银积极成长混合型发起式证券投资基金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民生加银丰鑫债券型证券投资基金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民生加银转债优选债券型证券投资基金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民生加银高等级信用债债券型证券投资基金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民生加银策略精选灵活配置混合型证券投资基金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民生加银岁岁增利定期开放债券型证券投资基金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民生加银现金宝货币市场基金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民生加银城镇化灵活配置混合型证券投资基金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民生加银优选股票型证券投资基金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19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民生加银研究精选灵活配置混合型证券投资基金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民生加银新战略灵活配置混合型证券投资基金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民生加银和鑫定期开放债券型发起式证券投资基金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lastRenderedPageBreak/>
        <w:t>22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民生加银量化中国灵活配置混合型证券投资基金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民生加银鑫福灵活配置混合型证券投资基金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民生加银养老服务灵活配置混合型证券投资基金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民生加银鑫享债券型证券投资基金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前沿科技灵活配置混合型证券投资基金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民生加银腾元宝货币市场基金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民生加银鑫喜灵活配置混合型证券投资基金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29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民生加银鑫升纯债债券型证券投资基金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民生加银中证港股通高股息精选指数证券投资基金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民生加银鑫元纯债债券型证券投资基金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民生加银智造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2025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灵活配置混合型证券投资基金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民生加银家盈半年定期宝理财债券型证券投资基金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民生加银鹏程混合型证券投资基金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民生加银恒益纯债债券型证券投资基金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民生加银新兴成长混合型证券投资基金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民生加银创新成长混合型证券投资基金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民生加银睿通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个月定期开放债券型发起式证券投资基金</w:t>
      </w:r>
    </w:p>
    <w:p w:rsidR="007E0DB4" w:rsidRDefault="00291DE6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民生加银康宁稳健养老目标一年持有期混合型基金中基金（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民生加银恒裕债券型证券投资基金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1-3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年农发行债券指数证券投资基金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民生加银兴盈债券型证券投资基金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民生加银聚益纯债债券型证券投资基金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民生加银聚鑫三年定期开放债券型证券投资基金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民生加银持续成长混合型证券投资基金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民生加银嘉盈债券型证券投资基金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交易型开放式指数证券投资基金联接基金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49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民生加银聚享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个月定期开放纯债债券型证券投资基金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民生加银卓越配置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民生加银龙头优选股票型证券投资基金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民生加银鑫通债券型证券投资基金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民生加银品质消费股票型证券投资基金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民生加银瑞夏一年定期开放债券型发起式证券投资基金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民生加银睿智一年定期开放债券型发起式证券投资基金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民生加银聚利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个月持有期混合型证券投资基金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民生加银科技创新混合型证券投资基金（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LOF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民生加银新动能一年定期开放混合型证券投资基金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59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民生加银家盈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个月持有期债券型证券投资基金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民生加银嘉益债券型证券投资基金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民生加银瑞盈纯债一年定期开放债券型发起式证券投资基金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民生加银医药健康股票型证券投资基金</w:t>
      </w:r>
    </w:p>
    <w:p w:rsidR="007E0DB4" w:rsidRDefault="00291DE6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民生加银康宁平衡养老目标三年持有期混合型基金中基金（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民生加银新兴产业混合型证券投资基金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民生加银成长优选股票型证券投资基金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民生加银恒泽债券型证券投资基金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民生加银质量领先混合型证券投资基金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民生加银汇智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69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民生加银价值发现一年持有期混合型证券投资基金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民生加银内核驱动混合型证券投资基金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民生加银价值优选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个月持有期股票型证券投资基金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民生加银周期优选混合型证券投资基金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民生加银中证生物科技主题交易型开放式指数证券投资基金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民生加银中证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500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指数增强型发起式证券投资基金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民生加银康泰养老目标日期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2040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三年持有期混合型基金中基金（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民生加银聚优精选混合型证券投资基金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79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民生加银核心资产股票型证券投资基金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民生加银优享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个月定期开放混合型基金中基金（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FOF-LOF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3-5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年政策性金融债指数证券投资基金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民生加银积极配置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民生加银双核动力混合型证券投资基金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民生加银恒祥债券型证券投资基金</w:t>
      </w:r>
    </w:p>
    <w:p w:rsidR="007E0DB4" w:rsidRDefault="00291DE6">
      <w:pPr>
        <w:widowControl/>
        <w:spacing w:line="360" w:lineRule="auto"/>
        <w:ind w:rightChars="-94" w:right="-197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民生加银中证企业核心竞争力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交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易型开放式指数证券投资基金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民生加银金融优选混合型证券投资基金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民生加银月月乐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天持有期短债债券型证券投资基金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民生加银中证同业存单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AAA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指数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天持有期证券投资基金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89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民生加银专精特新智选混合型发起式证券投资基金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民生加银瑞丰一年定期开放债券型发起式证券投资基金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91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民生加银恒宁债券型证券投资基金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92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民生加银瑞华绿色债券一年定期开放债券型发起式证券投资基金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民生加银均衡优选混合型证券投资基金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94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民生加银恒源债券型证券投资基金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95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民生加银添润债券型证券投资基金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96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民生加银瑞怡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97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民生加银国证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2000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指数增强型证券投资基金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98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>
        <w:rPr>
          <w:rFonts w:ascii="Times New Roman" w:eastAsia="宋体" w:cs="Times New Roman" w:hint="eastAsia"/>
          <w:color w:val="000000"/>
          <w:sz w:val="28"/>
          <w:szCs w:val="28"/>
        </w:rPr>
        <w:t>民生加银智选成长股票型证券投资基金</w:t>
      </w:r>
    </w:p>
    <w:p w:rsidR="007E0DB4" w:rsidRDefault="00291DE6">
      <w:pPr>
        <w:widowControl/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99</w:t>
      </w:r>
      <w:r>
        <w:rPr>
          <w:rFonts w:ascii="Times New Roman" w:eastAsia="宋体" w:cs="Times New Roman" w:hint="eastAsia"/>
          <w:sz w:val="28"/>
          <w:szCs w:val="28"/>
        </w:rPr>
        <w:tab/>
      </w:r>
      <w:r>
        <w:rPr>
          <w:rFonts w:ascii="Times New Roman" w:eastAsia="宋体" w:cs="Times New Roman" w:hint="eastAsia"/>
          <w:sz w:val="28"/>
          <w:szCs w:val="28"/>
        </w:rPr>
        <w:t>民生加银双月鑫</w:t>
      </w:r>
      <w:r>
        <w:rPr>
          <w:rFonts w:ascii="Times New Roman" w:eastAsia="宋体" w:cs="Times New Roman" w:hint="eastAsia"/>
          <w:sz w:val="28"/>
          <w:szCs w:val="28"/>
        </w:rPr>
        <w:t>60</w:t>
      </w:r>
      <w:r>
        <w:rPr>
          <w:rFonts w:ascii="Times New Roman" w:eastAsia="宋体" w:cs="Times New Roman" w:hint="eastAsia"/>
          <w:sz w:val="28"/>
          <w:szCs w:val="28"/>
        </w:rPr>
        <w:t>天持有期债券型证券投资基金</w:t>
      </w:r>
    </w:p>
    <w:p w:rsidR="007E0DB4" w:rsidRDefault="00291DE6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100</w:t>
      </w:r>
      <w:r>
        <w:rPr>
          <w:rFonts w:ascii="Times New Roman" w:eastAsia="宋体" w:cs="Times New Roman" w:hint="eastAsia"/>
          <w:sz w:val="28"/>
          <w:szCs w:val="28"/>
        </w:rPr>
        <w:tab/>
      </w:r>
      <w:r>
        <w:rPr>
          <w:rFonts w:ascii="Times New Roman" w:eastAsia="宋体" w:cs="Times New Roman" w:hint="eastAsia"/>
          <w:sz w:val="28"/>
          <w:szCs w:val="28"/>
        </w:rPr>
        <w:t>民生加银中证</w:t>
      </w:r>
      <w:r>
        <w:rPr>
          <w:rFonts w:ascii="Times New Roman" w:eastAsia="宋体" w:cs="Times New Roman" w:hint="eastAsia"/>
          <w:sz w:val="28"/>
          <w:szCs w:val="28"/>
        </w:rPr>
        <w:t>A500</w:t>
      </w:r>
      <w:r>
        <w:rPr>
          <w:rFonts w:ascii="Times New Roman" w:eastAsia="宋体" w:cs="Times New Roman" w:hint="eastAsia"/>
          <w:sz w:val="28"/>
          <w:szCs w:val="28"/>
        </w:rPr>
        <w:t>指数型证券投资基金</w:t>
      </w:r>
    </w:p>
    <w:p w:rsidR="007E0DB4" w:rsidRDefault="00291DE6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101</w:t>
      </w:r>
      <w:r>
        <w:rPr>
          <w:rFonts w:ascii="Times New Roman" w:eastAsia="宋体" w:cs="Times New Roman" w:hint="eastAsia"/>
          <w:sz w:val="28"/>
          <w:szCs w:val="28"/>
        </w:rPr>
        <w:tab/>
      </w:r>
      <w:r>
        <w:rPr>
          <w:rFonts w:ascii="Times New Roman" w:eastAsia="宋体" w:cs="Times New Roman" w:hint="eastAsia"/>
          <w:sz w:val="28"/>
          <w:szCs w:val="28"/>
        </w:rPr>
        <w:t>民生加银中证全指指数增强型证券投资基金</w:t>
      </w:r>
    </w:p>
    <w:p w:rsidR="007E0DB4" w:rsidRDefault="00291DE6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102</w:t>
      </w:r>
      <w:r>
        <w:rPr>
          <w:rFonts w:ascii="Times New Roman" w:eastAsia="宋体" w:cs="Times New Roman" w:hint="eastAsia"/>
          <w:sz w:val="28"/>
          <w:szCs w:val="28"/>
        </w:rPr>
        <w:tab/>
      </w:r>
      <w:r>
        <w:rPr>
          <w:rFonts w:ascii="Times New Roman" w:eastAsia="宋体" w:cs="Times New Roman" w:hint="eastAsia"/>
          <w:sz w:val="28"/>
          <w:szCs w:val="28"/>
        </w:rPr>
        <w:t>民生加银稳鑫</w:t>
      </w:r>
      <w:r>
        <w:rPr>
          <w:rFonts w:ascii="Times New Roman" w:eastAsia="宋体" w:cs="Times New Roman" w:hint="eastAsia"/>
          <w:sz w:val="28"/>
          <w:szCs w:val="28"/>
        </w:rPr>
        <w:t>120</w:t>
      </w:r>
      <w:r>
        <w:rPr>
          <w:rFonts w:ascii="Times New Roman" w:eastAsia="宋体" w:cs="Times New Roman" w:hint="eastAsia"/>
          <w:sz w:val="28"/>
          <w:szCs w:val="28"/>
        </w:rPr>
        <w:t>天滚动持有债券型证券投资基金</w:t>
      </w:r>
    </w:p>
    <w:p w:rsidR="007E0DB4" w:rsidRDefault="00291DE6">
      <w:pPr>
        <w:widowControl/>
        <w:tabs>
          <w:tab w:val="left" w:pos="567"/>
        </w:tabs>
        <w:spacing w:line="360" w:lineRule="auto"/>
        <w:jc w:val="lef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103</w:t>
      </w:r>
      <w:r>
        <w:rPr>
          <w:rFonts w:ascii="Times New Roman" w:eastAsia="宋体" w:cs="Times New Roman" w:hint="eastAsia"/>
          <w:sz w:val="28"/>
          <w:szCs w:val="28"/>
        </w:rPr>
        <w:tab/>
      </w:r>
      <w:r>
        <w:rPr>
          <w:rFonts w:ascii="Times New Roman" w:eastAsia="宋体" w:cs="Times New Roman" w:hint="eastAsia"/>
          <w:sz w:val="28"/>
          <w:szCs w:val="28"/>
        </w:rPr>
        <w:t>民生加银恒悦债券型证券投资基金</w:t>
      </w:r>
    </w:p>
    <w:p w:rsidR="007E0DB4" w:rsidRDefault="007E0DB4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</w:p>
    <w:p w:rsidR="007E0DB4" w:rsidRDefault="00291DE6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 w:hint="eastAsia"/>
          <w:sz w:val="28"/>
          <w:szCs w:val="28"/>
        </w:rPr>
        <w:t>民生加银</w:t>
      </w:r>
      <w:r>
        <w:rPr>
          <w:rFonts w:ascii="Times New Roman" w:eastAsia="宋体" w:cs="Times New Roman"/>
          <w:sz w:val="28"/>
          <w:szCs w:val="28"/>
        </w:rPr>
        <w:t>基金管理有限公司</w:t>
      </w:r>
    </w:p>
    <w:p w:rsidR="007E0DB4" w:rsidRDefault="00291DE6">
      <w:pPr>
        <w:widowControl/>
        <w:spacing w:line="360" w:lineRule="auto"/>
        <w:jc w:val="righ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/>
          <w:sz w:val="28"/>
          <w:szCs w:val="28"/>
        </w:rPr>
        <w:t>2025</w:t>
      </w:r>
      <w:r>
        <w:rPr>
          <w:rFonts w:ascii="Times New Roman" w:eastAsia="宋体" w:cs="Times New Roman"/>
          <w:sz w:val="28"/>
          <w:szCs w:val="28"/>
        </w:rPr>
        <w:t>年</w:t>
      </w:r>
      <w:r>
        <w:rPr>
          <w:rFonts w:ascii="Times New Roman" w:eastAsia="宋体" w:cs="Times New Roman"/>
          <w:sz w:val="28"/>
          <w:szCs w:val="28"/>
        </w:rPr>
        <w:t>10</w:t>
      </w:r>
      <w:r>
        <w:rPr>
          <w:rFonts w:ascii="Times New Roman" w:eastAsia="宋体" w:cs="Times New Roman"/>
          <w:sz w:val="28"/>
          <w:szCs w:val="28"/>
        </w:rPr>
        <w:t>月</w:t>
      </w:r>
      <w:r>
        <w:rPr>
          <w:rFonts w:ascii="Times New Roman" w:eastAsia="宋体" w:cs="Times New Roman"/>
          <w:sz w:val="28"/>
          <w:szCs w:val="28"/>
        </w:rPr>
        <w:t>28</w:t>
      </w:r>
      <w:r>
        <w:rPr>
          <w:rFonts w:ascii="Times New Roman" w:eastAsia="宋体" w:cs="Times New Roman"/>
          <w:sz w:val="28"/>
          <w:szCs w:val="28"/>
        </w:rPr>
        <w:t>日</w:t>
      </w:r>
    </w:p>
    <w:sectPr w:rsidR="007E0DB4" w:rsidSect="007E0D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7E0DB4"/>
    <w:rsid w:val="00291DE6"/>
    <w:rsid w:val="007E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DB4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7E0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7E0DB4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7E0DB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0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E0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7E0DB4"/>
    <w:rPr>
      <w:color w:val="0563C1"/>
      <w:u w:val="single"/>
    </w:rPr>
  </w:style>
  <w:style w:type="paragraph" w:styleId="a6">
    <w:name w:val="List Paragraph"/>
    <w:basedOn w:val="a"/>
    <w:rsid w:val="007E0DB4"/>
    <w:pPr>
      <w:ind w:firstLineChars="200" w:firstLine="200"/>
    </w:pPr>
    <w:rPr>
      <w:rFonts w:ascii="Times New Roman" w:eastAsia="宋体" w:cs="Times New Roman"/>
      <w:szCs w:val="24"/>
    </w:rPr>
  </w:style>
  <w:style w:type="paragraph" w:styleId="a7">
    <w:name w:val="Balloon Text"/>
    <w:basedOn w:val="a"/>
    <w:rsid w:val="007E0DB4"/>
    <w:rPr>
      <w:sz w:val="18"/>
      <w:szCs w:val="18"/>
    </w:rPr>
  </w:style>
  <w:style w:type="paragraph" w:styleId="10">
    <w:name w:val="toc 1"/>
    <w:basedOn w:val="a"/>
    <w:next w:val="a"/>
    <w:autoRedefine/>
    <w:rsid w:val="007E0DB4"/>
  </w:style>
  <w:style w:type="paragraph" w:styleId="20">
    <w:name w:val="toc 2"/>
    <w:basedOn w:val="a"/>
    <w:next w:val="a"/>
    <w:autoRedefine/>
    <w:rsid w:val="007E0DB4"/>
    <w:pPr>
      <w:ind w:left="420"/>
    </w:pPr>
  </w:style>
  <w:style w:type="paragraph" w:styleId="30">
    <w:name w:val="toc 3"/>
    <w:basedOn w:val="a"/>
    <w:next w:val="a"/>
    <w:autoRedefine/>
    <w:rsid w:val="007E0DB4"/>
    <w:pPr>
      <w:ind w:left="840"/>
    </w:pPr>
  </w:style>
  <w:style w:type="paragraph" w:styleId="4">
    <w:name w:val="toc 4"/>
    <w:basedOn w:val="a"/>
    <w:next w:val="a"/>
    <w:autoRedefine/>
    <w:rsid w:val="007E0DB4"/>
    <w:pPr>
      <w:ind w:left="1260"/>
    </w:pPr>
  </w:style>
  <w:style w:type="paragraph" w:styleId="5">
    <w:name w:val="toc 5"/>
    <w:basedOn w:val="a"/>
    <w:next w:val="a"/>
    <w:autoRedefine/>
    <w:rsid w:val="007E0DB4"/>
    <w:pPr>
      <w:ind w:left="1680"/>
    </w:pPr>
  </w:style>
  <w:style w:type="paragraph" w:customStyle="1" w:styleId="11">
    <w:name w:val="修订1"/>
    <w:rsid w:val="007E0DB4"/>
    <w:rPr>
      <w:rFonts w:ascii="等线" w:eastAsia="等线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msjyfund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2524</Characters>
  <Application>Microsoft Office Word</Application>
  <DocSecurity>4</DocSecurity>
  <Lines>21</Lines>
  <Paragraphs>5</Paragraphs>
  <ScaleCrop>false</ScaleCrop>
  <Company>CNSTOCK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</dc:creator>
  <cp:lastModifiedBy>ZHONGM</cp:lastModifiedBy>
  <cp:revision>2</cp:revision>
  <dcterms:created xsi:type="dcterms:W3CDTF">2025-10-27T16:03:00Z</dcterms:created>
  <dcterms:modified xsi:type="dcterms:W3CDTF">2025-10-27T16:03:00Z</dcterms:modified>
</cp:coreProperties>
</file>