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7" w:rsidRDefault="0042436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32"/>
          <w:szCs w:val="32"/>
        </w:rPr>
        <w:t>兴业</w:t>
      </w:r>
      <w:r>
        <w:rPr>
          <w:rFonts w:ascii="仿宋" w:eastAsia="仿宋" w:hAnsi="仿宋"/>
          <w:b/>
          <w:color w:val="000000"/>
          <w:sz w:val="32"/>
          <w:szCs w:val="32"/>
        </w:rPr>
        <w:t>基金管理有限公司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旗下基金</w:t>
      </w:r>
      <w:r>
        <w:rPr>
          <w:rFonts w:ascii="仿宋" w:eastAsia="仿宋" w:hAnsi="仿宋"/>
          <w:b/>
          <w:color w:val="000000"/>
          <w:sz w:val="32"/>
          <w:szCs w:val="32"/>
        </w:rPr>
        <w:t>2025</w:t>
      </w:r>
      <w:r>
        <w:rPr>
          <w:rFonts w:ascii="仿宋" w:eastAsia="仿宋" w:hAnsi="仿宋"/>
          <w:b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第三季度报告提示性公告</w:t>
      </w:r>
    </w:p>
    <w:p w:rsidR="00E51267" w:rsidRDefault="00E5126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E51267" w:rsidRDefault="0042436C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51267" w:rsidRDefault="0042436C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兴业基金管理</w:t>
      </w:r>
      <w:r>
        <w:rPr>
          <w:rFonts w:ascii="仿宋" w:eastAsia="仿宋" w:hAnsi="仿宋"/>
          <w:color w:val="000000"/>
          <w:sz w:val="32"/>
          <w:szCs w:val="32"/>
        </w:rPr>
        <w:t>有限公司</w:t>
      </w:r>
      <w:r>
        <w:rPr>
          <w:rFonts w:ascii="仿宋" w:eastAsia="仿宋" w:hAnsi="仿宋" w:hint="eastAsia"/>
          <w:color w:val="000000"/>
          <w:sz w:val="32"/>
          <w:szCs w:val="32"/>
        </w:rPr>
        <w:t>旗下公募基金的</w:t>
      </w: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第三季度报告</w:t>
      </w:r>
      <w:r>
        <w:rPr>
          <w:rFonts w:ascii="仿宋" w:eastAsia="仿宋" w:hAnsi="仿宋"/>
          <w:color w:val="000000"/>
          <w:sz w:val="32"/>
          <w:szCs w:val="32"/>
        </w:rPr>
        <w:t>全文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/>
          <w:color w:val="000000"/>
          <w:sz w:val="32"/>
          <w:szCs w:val="32"/>
        </w:rPr>
        <w:t>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28</w:t>
      </w:r>
      <w:r>
        <w:rPr>
          <w:rFonts w:ascii="仿宋" w:eastAsia="仿宋" w:hAnsi="仿宋" w:hint="eastAsia"/>
          <w:color w:val="000000"/>
          <w:sz w:val="32"/>
          <w:szCs w:val="32"/>
        </w:rPr>
        <w:t>日在</w:t>
      </w:r>
      <w:r>
        <w:rPr>
          <w:rFonts w:ascii="仿宋" w:eastAsia="仿宋" w:hAnsi="仿宋"/>
          <w:color w:val="000000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7" w:history="1">
        <w:r>
          <w:rPr>
            <w:rStyle w:val="a7"/>
            <w:rFonts w:ascii="仿宋" w:eastAsia="仿宋" w:hAnsi="仿宋"/>
            <w:sz w:val="32"/>
            <w:szCs w:val="32"/>
          </w:rPr>
          <w:t>http://www.cib-fund.com.cn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/>
          <w:sz w:val="32"/>
          <w:szCs w:val="32"/>
        </w:rPr>
        <w:t>基金</w:t>
      </w:r>
      <w:r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/>
          <w:sz w:val="32"/>
          <w:szCs w:val="32"/>
        </w:rPr>
        <w:t>400-0095-561</w:t>
      </w:r>
      <w:r>
        <w:rPr>
          <w:rFonts w:ascii="仿宋" w:eastAsia="仿宋" w:hAnsi="仿宋" w:hint="eastAsia"/>
          <w:color w:val="000000"/>
          <w:sz w:val="32"/>
          <w:szCs w:val="32"/>
        </w:rPr>
        <w:t>）咨询</w:t>
      </w:r>
      <w:r>
        <w:rPr>
          <w:rFonts w:ascii="仿宋" w:eastAsia="仿宋" w:hAnsi="仿宋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具体</w:t>
      </w:r>
      <w:r>
        <w:rPr>
          <w:rFonts w:ascii="仿宋" w:eastAsia="仿宋" w:hAnsi="仿宋"/>
          <w:color w:val="000000"/>
          <w:sz w:val="32"/>
          <w:szCs w:val="32"/>
        </w:rPr>
        <w:t>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7511"/>
      </w:tblGrid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98" w:type="pct"/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基金名称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兴业货币市场证券投资基金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兴业多策略灵活配置混合型发起式证券投资基金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兴业年年利定期开放债券型证券投资基金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兴业聚利灵活配置混合型证券投资基金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兴业收益增强债券型证券投资基金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兴业添利债券型证券投资基金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兴业稳固收益两年理财债券型证券投资基金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兴业养老目标日期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三年持有期混合型发起式基金中基金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(FOF)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兴业聚惠混合型证券投资基金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兴业添天盈货币市场基金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兴业国企改革灵活配置混合型证券投资基金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兴业鑫天盈货币市场基金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兴业丰利债券型证券投资基金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兴业短债债券型证券投资基金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兴业优债增利债券型证券投资基金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兴业丰泰债券型证券投资基金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兴业福益债券型证券投资基金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兴业聚盈混合型证券投资基金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兴业天融债券型证券投资基金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兴业聚鑫灵活配置混合型证券投资基金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兴业天禧债券型证券投资基金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兴业成长动力灵活配置混合型证券投资基金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兴业聚源混合型证券投资基金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1-3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年政策性金融债指数证券投资基金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兴业聚丰混合型证券投资基金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兴业稳天盈货币市场基金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兴业启元一年定期开放债券型证券投资基金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兴业裕恒债券型证券投资基金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中证兴业中高等级信用债指数证券投资基金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兴业裕华债券型证券投资基金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兴业裕丰债券型证券投资基金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兴业安润货币市场基金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兴业稳康三年定期开放债券型证券投资基金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兴业福鑫债券型证券投资基金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兴业瑞丰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兴业稳固收益一年理财债券型证券投资基金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兴业龙腾双益平衡混合型证券投资基金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兴业纯债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个月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兴业机遇债券型证券投资基金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兴业安保优选混合型证券投资基金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兴业中证银行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金融债指数证券投资基金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兴业鼎泰一年定期开放债券型发起式证券投资基金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兴业聚华混合型证券投资基金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兴业绿色纯债一年定期开放债券型证券投资基金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兴业嘉华一年定期开放债券型发起式证券投资基金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兴业睿进混合型证券投资基金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兴业嘉荣一年定期开放债券型发起式证券投资基金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兴业稳健双利一年持有期债券型证券投资基金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兴业优势产业混合型证券投资基金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兴业研究精选混合型证券投资基金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兴业消费精选混合型证券投资基金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lastRenderedPageBreak/>
              <w:t>62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兴业聚申一年持有期混合型证券投资基金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兴业医疗保健混合型证券投资基金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兴业高端制造混合型证券投资基金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兴业兴智一年持有期混合型证券投资基金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兴业聚乾混合型证券投资基金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兴业嘉福一年定期开放债券型发起式证券投资基金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天滚动持有短债债券型证券投资基金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兴业能源革新股票型证券投资基金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兴业聚兴混合型证券投资基金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兴业一年持有期债券型证券投资基金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兴业兴睿两年持有期混合型证券投资基金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兴业嘉鸿一年定期开放债券型发起式证券投资基金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天滚动持有中短债债券型证券投资基金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个月定期开放债券型证券投资基金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兴业沪深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天滚动持有债券型证券投资基金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兴业睿信一年定期开放债券型发起式证券投资基金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兴业致远混合型证券投资基金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兴业聚福一年持有期混合型证券投资基金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兴业中证同业存单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AAA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交易型开放式指数证券投资基金发起式联接基金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兴业嘉辰一年定期开放债券型发起式证券投资基金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兴业均衡优选混合型证券投资基金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兴业嘉远债券型证券投资基金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兴业稳健优选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ab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兴业稳福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兴业稳瑞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兴业添盈债券型证券投资基金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兴业稳利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兴业中证港股通互联网指数型发起式证券投资基金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兴业安康稳健养老目标一年持有期混合型发起式基金中基金（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兴业恒悦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天持有期债券型证券投资基金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兴业品质睿选混合型发起式证券投资基金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兴业弘远回报混合型发起式证券投资基金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兴业华证沪港深红利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兴业聚享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个月持有期混合型证券投资基金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03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指数增强型证券投资基金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04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05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06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交易型开放式指数证券投资基金联接基金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07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兴业中证红利指数型证券投资基金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08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兴业医疗创新混合型发起式证券投资基金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09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兴业兴和盛债券型证券投资基金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兴业福盛债券型证券投资基金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兴业先进制造混合型发起式证券投资基金</w:t>
            </w:r>
          </w:p>
        </w:tc>
      </w:tr>
      <w:tr w:rsidR="00E51267">
        <w:trPr>
          <w:trHeight w:val="270"/>
          <w:jc w:val="center"/>
        </w:trPr>
        <w:tc>
          <w:tcPr>
            <w:tcW w:w="802" w:type="pct"/>
            <w:shd w:val="clear" w:color="auto" w:fill="auto"/>
            <w:noWrap/>
            <w:vAlign w:val="center"/>
          </w:tcPr>
          <w:p w:rsidR="00E51267" w:rsidRDefault="0042436C">
            <w:pPr>
              <w:pStyle w:val="a5"/>
              <w:widowControl/>
              <w:ind w:left="420" w:firstLineChars="0" w:firstLine="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98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51267" w:rsidRDefault="0042436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兴业上证科创板综合价格交易型开放式指数证券投资基金</w:t>
            </w:r>
          </w:p>
        </w:tc>
      </w:tr>
    </w:tbl>
    <w:p w:rsidR="00E51267" w:rsidRDefault="0042436C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51267" w:rsidRDefault="0042436C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E51267" w:rsidRDefault="0042436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兴业基金管理有限</w:t>
      </w:r>
      <w:r>
        <w:rPr>
          <w:rFonts w:ascii="仿宋" w:eastAsia="仿宋" w:hAnsi="仿宋"/>
          <w:color w:val="000000"/>
          <w:sz w:val="32"/>
          <w:szCs w:val="32"/>
        </w:rPr>
        <w:t>公司</w:t>
      </w:r>
    </w:p>
    <w:p w:rsidR="00E51267" w:rsidRDefault="0042436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2</w:t>
      </w:r>
      <w:r>
        <w:rPr>
          <w:rFonts w:ascii="仿宋" w:eastAsia="仿宋" w:hAnsi="仿宋"/>
          <w:color w:val="000000"/>
          <w:sz w:val="32"/>
          <w:szCs w:val="32"/>
        </w:rPr>
        <w:t>025</w:t>
      </w:r>
      <w:r>
        <w:rPr>
          <w:rFonts w:ascii="仿宋" w:eastAsia="仿宋" w:hAnsi="仿宋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28</w:t>
      </w:r>
      <w:r>
        <w:rPr>
          <w:rFonts w:ascii="仿宋" w:eastAsia="仿宋" w:hAnsi="仿宋"/>
          <w:color w:val="000000"/>
          <w:sz w:val="32"/>
          <w:szCs w:val="32"/>
        </w:rPr>
        <w:t>日</w:t>
      </w:r>
    </w:p>
    <w:sectPr w:rsidR="00E51267" w:rsidSect="00E51267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67" w:rsidRDefault="00E51267" w:rsidP="00E51267">
      <w:r>
        <w:separator/>
      </w:r>
    </w:p>
  </w:endnote>
  <w:endnote w:type="continuationSeparator" w:id="0">
    <w:p w:rsidR="00E51267" w:rsidRDefault="00E51267" w:rsidP="00E51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5149236"/>
      <w:docPartObj>
        <w:docPartGallery w:val="Page Numbers (Bottom of Page)"/>
        <w:docPartUnique/>
      </w:docPartObj>
    </w:sdtPr>
    <w:sdtContent>
      <w:p w:rsidR="00E51267" w:rsidRDefault="00E51267">
        <w:pPr>
          <w:pStyle w:val="a4"/>
          <w:jc w:val="center"/>
        </w:pPr>
        <w:r>
          <w:fldChar w:fldCharType="begin"/>
        </w:r>
        <w:r w:rsidR="0042436C">
          <w:instrText>PAGE   \* MERGEFORMAT</w:instrText>
        </w:r>
        <w:r>
          <w:fldChar w:fldCharType="separate"/>
        </w:r>
        <w:r w:rsidR="0042436C" w:rsidRPr="0042436C">
          <w:rPr>
            <w:noProof/>
            <w:lang w:val="zh-CN"/>
          </w:rPr>
          <w:t>2</w:t>
        </w:r>
        <w:r>
          <w:fldChar w:fldCharType="end"/>
        </w:r>
      </w:p>
    </w:sdtContent>
  </w:sdt>
  <w:p w:rsidR="00E51267" w:rsidRDefault="00E512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4339447"/>
      <w:docPartObj>
        <w:docPartGallery w:val="Page Numbers (Bottom of Page)"/>
        <w:docPartUnique/>
      </w:docPartObj>
    </w:sdtPr>
    <w:sdtContent>
      <w:p w:rsidR="00E51267" w:rsidRDefault="00E51267">
        <w:pPr>
          <w:pStyle w:val="a4"/>
          <w:jc w:val="center"/>
        </w:pPr>
        <w:r>
          <w:fldChar w:fldCharType="begin"/>
        </w:r>
        <w:r w:rsidR="0042436C">
          <w:instrText>PAGE</w:instrText>
        </w:r>
        <w:r w:rsidR="0042436C">
          <w:instrText xml:space="preserve">   \* MERGEFORMAT</w:instrText>
        </w:r>
        <w:r>
          <w:fldChar w:fldCharType="separate"/>
        </w:r>
        <w:r w:rsidR="0042436C" w:rsidRPr="0042436C">
          <w:rPr>
            <w:noProof/>
            <w:lang w:val="zh-CN"/>
          </w:rPr>
          <w:t>1</w:t>
        </w:r>
        <w:r>
          <w:fldChar w:fldCharType="end"/>
        </w:r>
      </w:p>
    </w:sdtContent>
  </w:sdt>
  <w:p w:rsidR="00E51267" w:rsidRDefault="00E51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67" w:rsidRDefault="00E51267" w:rsidP="00E51267">
      <w:r>
        <w:separator/>
      </w:r>
    </w:p>
  </w:footnote>
  <w:footnote w:type="continuationSeparator" w:id="0">
    <w:p w:rsidR="00E51267" w:rsidRDefault="00E51267" w:rsidP="00E51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E51267"/>
    <w:rsid w:val="0042436C"/>
    <w:rsid w:val="00E5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6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512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51267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51267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1267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E51267"/>
    <w:rPr>
      <w:rFonts w:ascii="Times New Roman" w:eastAsia="黑体" w:hAnsi="Calibri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sid w:val="00E51267"/>
    <w:rPr>
      <w:rFonts w:ascii="Calibri" w:eastAsia="宋体" w:hAnsi="Calibri" w:cs="Arial"/>
      <w:b/>
      <w:bCs/>
      <w:kern w:val="2"/>
      <w:sz w:val="32"/>
      <w:szCs w:val="32"/>
      <w:lang w:val="en-US" w:eastAsia="zh-CN" w:bidi="ar-SA"/>
    </w:rPr>
  </w:style>
  <w:style w:type="paragraph" w:styleId="a3">
    <w:name w:val="header"/>
    <w:basedOn w:val="a"/>
    <w:qFormat/>
    <w:rsid w:val="00E5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rsid w:val="00E5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qFormat/>
    <w:rsid w:val="00E51267"/>
    <w:pPr>
      <w:ind w:firstLineChars="200" w:firstLine="200"/>
    </w:pPr>
  </w:style>
  <w:style w:type="paragraph" w:styleId="a6">
    <w:name w:val="Balloon Text"/>
    <w:basedOn w:val="a"/>
    <w:qFormat/>
    <w:rsid w:val="00E51267"/>
    <w:rPr>
      <w:sz w:val="18"/>
      <w:szCs w:val="18"/>
    </w:rPr>
  </w:style>
  <w:style w:type="character" w:styleId="a7">
    <w:name w:val="Hyperlink"/>
    <w:basedOn w:val="a0"/>
    <w:qFormat/>
    <w:rsid w:val="00E51267"/>
    <w:rPr>
      <w:color w:val="0000FF"/>
      <w:u w:val="single"/>
    </w:rPr>
  </w:style>
  <w:style w:type="character" w:styleId="a8">
    <w:name w:val="annotation reference"/>
    <w:basedOn w:val="a0"/>
    <w:qFormat/>
    <w:rsid w:val="00E51267"/>
    <w:rPr>
      <w:sz w:val="21"/>
      <w:szCs w:val="21"/>
    </w:rPr>
  </w:style>
  <w:style w:type="paragraph" w:styleId="a9">
    <w:name w:val="annotation text"/>
    <w:basedOn w:val="a"/>
    <w:qFormat/>
    <w:rsid w:val="00E51267"/>
    <w:pPr>
      <w:jc w:val="left"/>
    </w:pPr>
  </w:style>
  <w:style w:type="paragraph" w:styleId="aa">
    <w:name w:val="annotation subject"/>
    <w:basedOn w:val="a9"/>
    <w:next w:val="a9"/>
    <w:qFormat/>
    <w:rsid w:val="00E51267"/>
    <w:rPr>
      <w:b/>
      <w:bCs/>
    </w:rPr>
  </w:style>
  <w:style w:type="paragraph" w:styleId="ab">
    <w:name w:val="footnote text"/>
    <w:basedOn w:val="a"/>
    <w:qFormat/>
    <w:rsid w:val="00E51267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qFormat/>
    <w:rsid w:val="00E51267"/>
    <w:rPr>
      <w:vertAlign w:val="superscript"/>
    </w:rPr>
  </w:style>
  <w:style w:type="paragraph" w:customStyle="1" w:styleId="10">
    <w:name w:val="修订1"/>
    <w:qFormat/>
    <w:rsid w:val="00E51267"/>
    <w:rPr>
      <w:rFonts w:ascii="Calibri" w:hAnsi="Calibri" w:cs="Arial"/>
      <w:kern w:val="2"/>
      <w:sz w:val="21"/>
      <w:szCs w:val="22"/>
    </w:rPr>
  </w:style>
  <w:style w:type="paragraph" w:styleId="11">
    <w:name w:val="toc 1"/>
    <w:basedOn w:val="a"/>
    <w:next w:val="a"/>
    <w:autoRedefine/>
    <w:qFormat/>
    <w:rsid w:val="00E51267"/>
  </w:style>
  <w:style w:type="paragraph" w:styleId="20">
    <w:name w:val="toc 2"/>
    <w:basedOn w:val="a"/>
    <w:next w:val="a"/>
    <w:autoRedefine/>
    <w:qFormat/>
    <w:rsid w:val="00E51267"/>
    <w:pPr>
      <w:ind w:left="420"/>
    </w:pPr>
  </w:style>
  <w:style w:type="paragraph" w:styleId="30">
    <w:name w:val="toc 3"/>
    <w:basedOn w:val="a"/>
    <w:next w:val="a"/>
    <w:autoRedefine/>
    <w:qFormat/>
    <w:rsid w:val="00E51267"/>
    <w:pPr>
      <w:ind w:left="840"/>
    </w:pPr>
  </w:style>
  <w:style w:type="paragraph" w:styleId="4">
    <w:name w:val="toc 4"/>
    <w:basedOn w:val="a"/>
    <w:next w:val="a"/>
    <w:autoRedefine/>
    <w:qFormat/>
    <w:rsid w:val="00E51267"/>
    <w:pPr>
      <w:ind w:left="1260"/>
    </w:pPr>
  </w:style>
  <w:style w:type="paragraph" w:styleId="5">
    <w:name w:val="toc 5"/>
    <w:basedOn w:val="a"/>
    <w:next w:val="a"/>
    <w:autoRedefine/>
    <w:qFormat/>
    <w:rsid w:val="00E51267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b-fund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1739C22-ADD6-48FF-BA78-E93C2AAA6D8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4</DocSecurity>
  <Lines>21</Lines>
  <Paragraphs>6</Paragraphs>
  <ScaleCrop>false</ScaleCrop>
  <Company>CNSTOCK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