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E631A" w:rsidRDefault="002459EA">
      <w:pPr>
        <w:pStyle w:val="a7"/>
        <w:spacing w:before="0" w:beforeAutospacing="0" w:after="0" w:afterAutospacing="0" w:line="360" w:lineRule="auto"/>
        <w:jc w:val="center"/>
        <w:rPr>
          <w:b/>
          <w:bCs/>
          <w:sz w:val="28"/>
        </w:rPr>
      </w:pPr>
      <w:r>
        <w:rPr>
          <w:rFonts w:hint="eastAsia"/>
          <w:b/>
          <w:bCs/>
          <w:sz w:val="28"/>
        </w:rPr>
        <w:t>金鹰基金管理有限公司部分基金新增</w:t>
      </w:r>
      <w:r>
        <w:rPr>
          <w:rFonts w:hint="eastAsia"/>
          <w:b/>
          <w:bCs/>
          <w:sz w:val="28"/>
        </w:rPr>
        <w:t>北京广源达信基金销售有限公司</w:t>
      </w:r>
      <w:r>
        <w:rPr>
          <w:rFonts w:hint="eastAsia"/>
          <w:b/>
          <w:bCs/>
          <w:sz w:val="28"/>
        </w:rPr>
        <w:t>为代销机构开通基金转换、基金定投业务及费率优惠的公告</w:t>
      </w:r>
    </w:p>
    <w:p w:rsidR="005E631A" w:rsidRDefault="005E631A">
      <w:pPr>
        <w:pStyle w:val="a7"/>
        <w:spacing w:before="0" w:beforeAutospacing="0" w:after="0" w:afterAutospacing="0" w:line="360" w:lineRule="auto"/>
        <w:ind w:left="843" w:hangingChars="300" w:hanging="843"/>
        <w:jc w:val="both"/>
        <w:rPr>
          <w:b/>
          <w:bCs/>
          <w:sz w:val="28"/>
        </w:rPr>
      </w:pPr>
    </w:p>
    <w:p w:rsidR="005E631A" w:rsidRDefault="002459EA">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Pr>
          <w:rFonts w:cs="Calibri" w:hint="eastAsia"/>
        </w:rPr>
        <w:t>为了更好地满足广大投资者的理财需求，根据金鹰基金管理有限公司（以下简称“本基金管理人”）与</w:t>
      </w:r>
      <w:r>
        <w:rPr>
          <w:rFonts w:hint="eastAsia"/>
        </w:rPr>
        <w:t>北京广源达信基金销售有限公司</w:t>
      </w:r>
      <w:r>
        <w:rPr>
          <w:rFonts w:hint="eastAsia"/>
        </w:rPr>
        <w:t>（以下简称“</w:t>
      </w:r>
      <w:r>
        <w:rPr>
          <w:rFonts w:hint="eastAsia"/>
        </w:rPr>
        <w:t>广源达信</w:t>
      </w:r>
      <w:r>
        <w:rPr>
          <w:rFonts w:hint="eastAsia"/>
        </w:rPr>
        <w:t>”）</w:t>
      </w:r>
      <w:r>
        <w:rPr>
          <w:rFonts w:cs="Calibri" w:hint="eastAsia"/>
        </w:rPr>
        <w:t>签订的</w:t>
      </w:r>
      <w:r>
        <w:rPr>
          <w:rFonts w:asciiTheme="minorEastAsia" w:hAnsiTheme="minorEastAsia" w:cs="Calibri" w:hint="eastAsia"/>
        </w:rPr>
        <w:t>代理销售协议</w:t>
      </w:r>
      <w:r>
        <w:rPr>
          <w:rFonts w:cs="Calibri" w:hint="eastAsia"/>
        </w:rPr>
        <w:t>，本基金管理人决定自</w:t>
      </w:r>
      <w:r>
        <w:rPr>
          <w:rFonts w:cs="Calibri" w:hint="eastAsia"/>
        </w:rPr>
        <w:t>202</w:t>
      </w:r>
      <w:r>
        <w:rPr>
          <w:rFonts w:cs="Calibri"/>
        </w:rPr>
        <w:t>5</w:t>
      </w:r>
      <w:r>
        <w:rPr>
          <w:rFonts w:cs="Calibri" w:hint="eastAsia"/>
        </w:rPr>
        <w:t>年</w:t>
      </w:r>
      <w:r>
        <w:rPr>
          <w:rFonts w:cs="Calibri" w:hint="eastAsia"/>
        </w:rPr>
        <w:t>10</w:t>
      </w:r>
      <w:r>
        <w:rPr>
          <w:rFonts w:cs="Calibri" w:hint="eastAsia"/>
        </w:rPr>
        <w:t>月</w:t>
      </w:r>
      <w:r>
        <w:rPr>
          <w:rFonts w:cs="Calibri" w:hint="eastAsia"/>
        </w:rPr>
        <w:t>28</w:t>
      </w:r>
      <w:r>
        <w:rPr>
          <w:rFonts w:cs="Calibri" w:hint="eastAsia"/>
        </w:rPr>
        <w:t>日</w:t>
      </w:r>
      <w:r>
        <w:rPr>
          <w:rFonts w:cs="Calibri" w:hint="eastAsia"/>
        </w:rPr>
        <w:t>起</w:t>
      </w:r>
      <w:r>
        <w:rPr>
          <w:rFonts w:asciiTheme="minorEastAsia" w:hAnsiTheme="minorEastAsia" w:cs="Calibri" w:hint="eastAsia"/>
        </w:rPr>
        <w:t>，通过</w:t>
      </w:r>
      <w:r>
        <w:rPr>
          <w:rFonts w:asciiTheme="minorEastAsia" w:hAnsiTheme="minorEastAsia" w:cs="Calibri" w:hint="eastAsia"/>
        </w:rPr>
        <w:t>广源达信</w:t>
      </w:r>
      <w:r>
        <w:rPr>
          <w:rFonts w:asciiTheme="minorEastAsia" w:hAnsiTheme="minorEastAsia" w:cs="Calibri" w:hint="eastAsia"/>
        </w:rPr>
        <w:t>代理销售本基金管理人旗下部分基金</w:t>
      </w:r>
      <w:r>
        <w:rPr>
          <w:rFonts w:hint="eastAsia"/>
          <w:shd w:val="clear" w:color="auto" w:fill="FFFFFF"/>
        </w:rPr>
        <w:t>，</w:t>
      </w:r>
      <w:r>
        <w:rPr>
          <w:rFonts w:asciiTheme="minorEastAsia" w:eastAsiaTheme="minorEastAsia" w:hAnsiTheme="minorEastAsia" w:cstheme="minorEastAsia" w:hint="eastAsia"/>
          <w:color w:val="000000" w:themeColor="text1"/>
        </w:rPr>
        <w:t>并开通基金转换、基金定期定额投资（以下简称“基金定投”）业务及费率优惠，</w:t>
      </w:r>
      <w:r>
        <w:rPr>
          <w:rFonts w:hint="eastAsia"/>
          <w:shd w:val="clear" w:color="auto" w:fill="FFFFFF"/>
        </w:rPr>
        <w:t>具体公告如下：</w:t>
      </w:r>
    </w:p>
    <w:p w:rsidR="005E631A" w:rsidRDefault="005E631A">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一、新增代销基金</w:t>
      </w:r>
    </w:p>
    <w:tbl>
      <w:tblPr>
        <w:tblW w:w="8535" w:type="dxa"/>
        <w:tblInd w:w="-27" w:type="dxa"/>
        <w:tblLook w:val="04A0"/>
      </w:tblPr>
      <w:tblGrid>
        <w:gridCol w:w="1590"/>
        <w:gridCol w:w="6945"/>
      </w:tblGrid>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基金代码</w:t>
            </w:r>
          </w:p>
        </w:tc>
        <w:tc>
          <w:tcPr>
            <w:tcW w:w="6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基金名称</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022594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金鹰安荣配置两年持有期债券型发起式基金中基金（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022595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金鹰安荣配置两年持有期债券型发起式基金中基金（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015640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金鹰产业整合灵活配置混合型证券投资基金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018547</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金鹰产业智选一年持有期混合型证券投资基金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018548</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金鹰产业智选一年持有期混合型证券投资基金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013209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金鹰大视野混合型证券投资基金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013210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金鹰大视野混合型证券投资基金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020217</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金鹰多元策略灵活配置混合型证券投资基金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019092</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金鹰核心资源混合型证券投资基金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016563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金鹰红利价值灵活配置混合型证券投资基金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019093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金鹰科技创新股票型证券投资基金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020510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金鹰科技致远混合型证券投资基金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020511</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金鹰科技致远混合型证券投资基金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023581</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金鹰民族新兴灵活配置混合型证券投资基金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013263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金鹰年年邮享一年持有期债券型证券投资基金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013264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金鹰年年邮享一年持有期债券型证券投资基金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022230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金鹰年年邮享一年持有期债券型证券投资基金</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012905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金鹰睿选成长六个月持有期混合型证券投资基金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012906</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金鹰睿选成长六个月持有期混合型证券投资基金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014119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金鹰时代先锋混合型证券投资基金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014120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金鹰时代先锋混合型证券投资基金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015984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金鹰碳中和混合型发起式证券投资基金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015985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金鹰碳中和混合型发起式证券投资基金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018642</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金鹰添福纯债债券型证券投资基金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018643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金鹰添福纯债债券型证券投资基金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019638</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金鹰添瑞中短债债券型证券投资基金</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004045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金鹰添润定期开放债券型发起式证券投资基金</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005752</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金鹰添盛定期开放债券型发起式证券投资基金</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003163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金鹰添益</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个月定期开放债券型证券投资基金</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012623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金鹰添盈纯债债券型证券投资基金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012622</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金鹰添裕纯债债券型证券投资基金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016088</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金鹰添悦</w:t>
            </w:r>
            <w:r>
              <w:rPr>
                <w:rFonts w:ascii="宋体" w:eastAsia="宋体" w:hAnsi="宋体" w:cs="宋体" w:hint="eastAsia"/>
                <w:color w:val="000000"/>
                <w:kern w:val="0"/>
                <w:sz w:val="22"/>
                <w:lang/>
              </w:rPr>
              <w:t>60</w:t>
            </w:r>
            <w:r>
              <w:rPr>
                <w:rFonts w:ascii="宋体" w:eastAsia="宋体" w:hAnsi="宋体" w:cs="宋体" w:hint="eastAsia"/>
                <w:color w:val="000000"/>
                <w:kern w:val="0"/>
                <w:sz w:val="22"/>
                <w:lang/>
              </w:rPr>
              <w:t>天滚动持有短债债券型证券投资基金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016089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金鹰添悦</w:t>
            </w:r>
            <w:r>
              <w:rPr>
                <w:rFonts w:ascii="宋体" w:eastAsia="宋体" w:hAnsi="宋体" w:cs="宋体" w:hint="eastAsia"/>
                <w:color w:val="000000"/>
                <w:kern w:val="0"/>
                <w:sz w:val="22"/>
                <w:lang/>
              </w:rPr>
              <w:t>60</w:t>
            </w:r>
            <w:r>
              <w:rPr>
                <w:rFonts w:ascii="宋体" w:eastAsia="宋体" w:hAnsi="宋体" w:cs="宋体" w:hint="eastAsia"/>
                <w:color w:val="000000"/>
                <w:kern w:val="0"/>
                <w:sz w:val="22"/>
                <w:lang/>
              </w:rPr>
              <w:t>天滚动持有短债债券型证券投资基金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023961</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金鹰稳进配置六个月持有期混合型发起式基金中基金（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023962</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金鹰稳进配置六个月持有期混合型发起式基金中基金（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024066</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金鹰稳利配置三个月持有期债券型发起式基金中基金（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024067</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金鹰稳利配置三个月持有期债券型发起式基金中基金（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013479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金鹰先进制造股票型证券投资基金（</w:t>
            </w:r>
            <w:r>
              <w:rPr>
                <w:rFonts w:ascii="宋体" w:eastAsia="宋体" w:hAnsi="宋体" w:cs="宋体" w:hint="eastAsia"/>
                <w:color w:val="000000"/>
                <w:kern w:val="0"/>
                <w:sz w:val="22"/>
                <w:lang/>
              </w:rPr>
              <w:t>LOF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018057</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金鹰行业优势混合型证券投资基金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018549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金鹰研究驱动混合型证券投资基金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018550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金鹰研究驱动混合型证券投资基金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017050</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金鹰优选配置三个月持有期混合型发起式基金中基金（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023963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金鹰优选配置三个月持有期混合型发起式基金中基金（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017051</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金鹰优选配置三个月持有期混合型发起式基金中基金（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023964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金鹰优选配置三个月持有期混合型发起式基金中基金（</w:t>
            </w:r>
            <w:r>
              <w:rPr>
                <w:rFonts w:ascii="宋体" w:eastAsia="宋体" w:hAnsi="宋体" w:cs="宋体" w:hint="eastAsia"/>
                <w:color w:val="000000"/>
                <w:kern w:val="0"/>
                <w:sz w:val="22"/>
                <w:lang/>
              </w:rPr>
              <w:t>FOF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014336</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金鹰元丰债券型证券投资基金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022568</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金鹰元丰债券型证券投资基金</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022484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金鹰元祺信用债债券型证券投资基金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022146</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金鹰元盛债券型发起式证券投资基金（</w:t>
            </w:r>
            <w:r>
              <w:rPr>
                <w:rFonts w:ascii="宋体" w:eastAsia="宋体" w:hAnsi="宋体" w:cs="宋体" w:hint="eastAsia"/>
                <w:color w:val="000000"/>
                <w:kern w:val="0"/>
                <w:sz w:val="22"/>
                <w:lang/>
              </w:rPr>
              <w:t>LOF</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018644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金鹰悦享债券型证券投资基金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018645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金鹰悦享债券型证券投资基金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021729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金鹰悦享债券型证券投资基金</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019749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金鹰智慧生活灵活配置混合型证券投资基金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019094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金鹰中小盘精选证券投资基金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023333</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金鹰中证</w:t>
            </w:r>
            <w:r>
              <w:rPr>
                <w:rFonts w:ascii="宋体" w:eastAsia="宋体" w:hAnsi="宋体" w:cs="宋体" w:hint="eastAsia"/>
                <w:color w:val="000000"/>
                <w:kern w:val="0"/>
                <w:sz w:val="22"/>
                <w:lang/>
              </w:rPr>
              <w:t>A500</w:t>
            </w:r>
            <w:r>
              <w:rPr>
                <w:rFonts w:ascii="宋体" w:eastAsia="宋体" w:hAnsi="宋体" w:cs="宋体" w:hint="eastAsia"/>
                <w:color w:val="000000"/>
                <w:kern w:val="0"/>
                <w:sz w:val="22"/>
                <w:lang/>
              </w:rPr>
              <w:t>指数型发起式证券投资基金</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025125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金鹰中证</w:t>
            </w:r>
            <w:r>
              <w:rPr>
                <w:rFonts w:ascii="宋体" w:eastAsia="宋体" w:hAnsi="宋体" w:cs="宋体" w:hint="eastAsia"/>
                <w:color w:val="000000"/>
                <w:kern w:val="0"/>
                <w:sz w:val="22"/>
                <w:lang/>
              </w:rPr>
              <w:t>A500</w:t>
            </w:r>
            <w:r>
              <w:rPr>
                <w:rFonts w:ascii="宋体" w:eastAsia="宋体" w:hAnsi="宋体" w:cs="宋体" w:hint="eastAsia"/>
                <w:color w:val="000000"/>
                <w:kern w:val="0"/>
                <w:sz w:val="22"/>
                <w:lang/>
              </w:rPr>
              <w:t>指数型发起式证券投资基金</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023334</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金鹰中证</w:t>
            </w:r>
            <w:r>
              <w:rPr>
                <w:rFonts w:ascii="宋体" w:eastAsia="宋体" w:hAnsi="宋体" w:cs="宋体" w:hint="eastAsia"/>
                <w:color w:val="000000"/>
                <w:kern w:val="0"/>
                <w:sz w:val="22"/>
                <w:lang/>
              </w:rPr>
              <w:t>A500</w:t>
            </w:r>
            <w:r>
              <w:rPr>
                <w:rFonts w:ascii="宋体" w:eastAsia="宋体" w:hAnsi="宋体" w:cs="宋体" w:hint="eastAsia"/>
                <w:color w:val="000000"/>
                <w:kern w:val="0"/>
                <w:sz w:val="22"/>
                <w:lang/>
              </w:rPr>
              <w:t>指数型发起式证券投资基金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025126</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金鹰中证</w:t>
            </w:r>
            <w:r>
              <w:rPr>
                <w:rFonts w:ascii="宋体" w:eastAsia="宋体" w:hAnsi="宋体" w:cs="宋体" w:hint="eastAsia"/>
                <w:color w:val="000000"/>
                <w:kern w:val="0"/>
                <w:sz w:val="22"/>
                <w:lang/>
              </w:rPr>
              <w:t>A500</w:t>
            </w:r>
            <w:r>
              <w:rPr>
                <w:rFonts w:ascii="宋体" w:eastAsia="宋体" w:hAnsi="宋体" w:cs="宋体" w:hint="eastAsia"/>
                <w:color w:val="000000"/>
                <w:kern w:val="0"/>
                <w:sz w:val="22"/>
                <w:lang/>
              </w:rPr>
              <w:t>指数型发起式证券投资基金</w:t>
            </w:r>
            <w:r>
              <w:rPr>
                <w:rFonts w:ascii="宋体" w:eastAsia="宋体" w:hAnsi="宋体" w:cs="宋体" w:hint="eastAsia"/>
                <w:color w:val="000000"/>
                <w:kern w:val="0"/>
                <w:sz w:val="22"/>
                <w:lang/>
              </w:rPr>
              <w:t>D</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024778</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金鹰中证全指自由现金流指数型证券投资基金</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类份额</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023509</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金鹰中证同业存单</w:t>
            </w:r>
            <w:r>
              <w:rPr>
                <w:rFonts w:ascii="宋体" w:eastAsia="宋体" w:hAnsi="宋体" w:cs="宋体" w:hint="eastAsia"/>
                <w:color w:val="000000"/>
                <w:kern w:val="0"/>
                <w:sz w:val="22"/>
                <w:lang/>
              </w:rPr>
              <w:t>AAA</w:t>
            </w:r>
            <w:r>
              <w:rPr>
                <w:rFonts w:ascii="宋体" w:eastAsia="宋体" w:hAnsi="宋体" w:cs="宋体" w:hint="eastAsia"/>
                <w:color w:val="000000"/>
                <w:kern w:val="0"/>
                <w:sz w:val="22"/>
                <w:lang/>
              </w:rPr>
              <w:t>指数</w:t>
            </w:r>
            <w:r>
              <w:rPr>
                <w:rFonts w:ascii="宋体" w:eastAsia="宋体" w:hAnsi="宋体" w:cs="宋体" w:hint="eastAsia"/>
                <w:color w:val="000000"/>
                <w:kern w:val="0"/>
                <w:sz w:val="22"/>
                <w:lang/>
              </w:rPr>
              <w:t>7</w:t>
            </w:r>
            <w:r>
              <w:rPr>
                <w:rFonts w:ascii="宋体" w:eastAsia="宋体" w:hAnsi="宋体" w:cs="宋体" w:hint="eastAsia"/>
                <w:color w:val="000000"/>
                <w:kern w:val="0"/>
                <w:sz w:val="22"/>
                <w:lang/>
              </w:rPr>
              <w:t>天持有期证券投资基金</w:t>
            </w:r>
          </w:p>
        </w:tc>
      </w:tr>
      <w:tr w:rsidR="005E631A">
        <w:trPr>
          <w:trHeight w:val="270"/>
        </w:trPr>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631A" w:rsidRDefault="002459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019748</w:t>
            </w:r>
          </w:p>
        </w:tc>
        <w:tc>
          <w:tcPr>
            <w:tcW w:w="6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E631A" w:rsidRDefault="002459E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金鹰周期优选灵活配置混合型证券投资基金</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类份额</w:t>
            </w:r>
          </w:p>
        </w:tc>
      </w:tr>
    </w:tbl>
    <w:p w:rsidR="005E631A" w:rsidRDefault="005E631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二、投资者可在</w:t>
      </w:r>
      <w:r>
        <w:rPr>
          <w:rFonts w:asciiTheme="minorEastAsia" w:eastAsiaTheme="minorEastAsia" w:hAnsiTheme="minorEastAsia" w:cstheme="minorEastAsia" w:hint="eastAsia"/>
          <w:color w:val="000000" w:themeColor="text1"/>
        </w:rPr>
        <w:t>广源达信</w:t>
      </w:r>
      <w:r>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5E631A" w:rsidRDefault="005E631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三、重要提示</w:t>
      </w: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Pr>
          <w:rFonts w:asciiTheme="minorEastAsia" w:eastAsiaTheme="minorEastAsia" w:hAnsiTheme="minorEastAsia" w:cstheme="minorEastAsia" w:hint="eastAsia"/>
          <w:color w:val="000000" w:themeColor="text1"/>
        </w:rPr>
        <w:t>目前，金鹰添润定期开放债券型发起式证券投资基金、金鹰添盛定期开放债券型发起式证券投资基金、金鹰添益</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个月定期开放债券型证券投资基金仍处于封闭期，暂不开放申购、赎回、转换等业务，开放申购、赎回、转换等业务的时间另行公告。</w:t>
      </w: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color w:val="000000" w:themeColor="text1"/>
        </w:rPr>
        <w:t>.</w:t>
      </w:r>
      <w:r>
        <w:rPr>
          <w:rFonts w:asciiTheme="minorEastAsia" w:eastAsiaTheme="minorEastAsia" w:hAnsiTheme="minorEastAsia" w:cstheme="minorEastAsia" w:hint="eastAsia"/>
          <w:color w:val="000000" w:themeColor="text1"/>
        </w:rPr>
        <w:t>投资者在赎回（含转换转出）金鹰民族新兴灵活配置混合型证券投资基金份额时，本基金管理人将对每笔基金份额年化收益率超过</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的部分，按</w:t>
      </w:r>
      <w:r>
        <w:rPr>
          <w:rFonts w:asciiTheme="minorEastAsia" w:eastAsiaTheme="minorEastAsia" w:hAnsiTheme="minorEastAsia" w:cstheme="minorEastAsia" w:hint="eastAsia"/>
          <w:color w:val="000000" w:themeColor="text1"/>
        </w:rPr>
        <w:t>15%</w:t>
      </w:r>
      <w:r>
        <w:rPr>
          <w:rFonts w:asciiTheme="minorEastAsia" w:eastAsiaTheme="minorEastAsia" w:hAnsiTheme="minorEastAsia" w:cstheme="minorEastAsia" w:hint="eastAsia"/>
          <w:color w:val="000000" w:themeColor="text1"/>
        </w:rPr>
        <w:t>的比例计提附加管理费，有关附加管理费收取原则与计提方法的约定详见《基金合同》或《招募说明书》。</w:t>
      </w: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w:t>
      </w:r>
      <w:r>
        <w:rPr>
          <w:rFonts w:asciiTheme="minorEastAsia" w:eastAsiaTheme="minorEastAsia" w:hAnsiTheme="minorEastAsia" w:cstheme="minorEastAsia" w:hint="eastAsia"/>
          <w:color w:val="000000" w:themeColor="text1"/>
        </w:rPr>
        <w:t>FOF</w:t>
      </w:r>
      <w:r>
        <w:rPr>
          <w:rFonts w:asciiTheme="minorEastAsia" w:eastAsiaTheme="minorEastAsia" w:hAnsiTheme="minorEastAsia" w:cstheme="minorEastAsia" w:hint="eastAsia"/>
          <w:color w:val="000000" w:themeColor="text1"/>
        </w:rPr>
        <w:t>基金产品不支持与其他非</w:t>
      </w:r>
      <w:r>
        <w:rPr>
          <w:rFonts w:asciiTheme="minorEastAsia" w:eastAsiaTheme="minorEastAsia" w:hAnsiTheme="minorEastAsia" w:cstheme="minorEastAsia" w:hint="eastAsia"/>
          <w:color w:val="000000" w:themeColor="text1"/>
        </w:rPr>
        <w:t>FOF</w:t>
      </w:r>
      <w:r>
        <w:rPr>
          <w:rFonts w:asciiTheme="minorEastAsia" w:eastAsiaTheme="minorEastAsia" w:hAnsiTheme="minorEastAsia" w:cstheme="minorEastAsia" w:hint="eastAsia"/>
          <w:color w:val="000000" w:themeColor="text1"/>
        </w:rPr>
        <w:t>基金产品之间互相转换；对于同一只基金不同份额之间不支持相互转换。</w:t>
      </w: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5.</w:t>
      </w:r>
      <w:r>
        <w:rPr>
          <w:rFonts w:asciiTheme="minorEastAsia" w:eastAsiaTheme="minorEastAsia" w:hAnsiTheme="minorEastAsia" w:cstheme="minorEastAsia" w:hint="eastAsia"/>
          <w:color w:val="000000" w:themeColor="text1"/>
        </w:rPr>
        <w:t>本基金管理人旗下基</w:t>
      </w:r>
      <w:bookmarkStart w:id="0" w:name="_GoBack"/>
      <w:bookmarkEnd w:id="0"/>
      <w:r>
        <w:rPr>
          <w:rFonts w:asciiTheme="minorEastAsia" w:eastAsiaTheme="minorEastAsia" w:hAnsiTheme="minorEastAsia" w:cstheme="minorEastAsia" w:hint="eastAsia"/>
          <w:color w:val="000000" w:themeColor="text1"/>
        </w:rPr>
        <w:t>金在</w:t>
      </w:r>
      <w:r>
        <w:rPr>
          <w:rFonts w:asciiTheme="minorEastAsia" w:eastAsiaTheme="minorEastAsia" w:hAnsiTheme="minorEastAsia" w:cstheme="minorEastAsia" w:hint="eastAsia"/>
          <w:color w:val="000000" w:themeColor="text1"/>
        </w:rPr>
        <w:t>广源达信</w:t>
      </w:r>
      <w:r>
        <w:rPr>
          <w:rFonts w:asciiTheme="minorEastAsia" w:eastAsiaTheme="minorEastAsia" w:hAnsiTheme="minorEastAsia" w:cstheme="minorEastAsia" w:hint="eastAsia"/>
          <w:color w:val="000000" w:themeColor="text1"/>
        </w:rPr>
        <w:t>的申购、定投及转换补差费费率折扣最低不低于</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折，</w:t>
      </w:r>
      <w:r>
        <w:rPr>
          <w:rFonts w:asciiTheme="minorEastAsia" w:eastAsiaTheme="minorEastAsia" w:hAnsiTheme="minorEastAsia" w:cstheme="minorEastAsia" w:hint="eastAsia"/>
          <w:color w:val="000000" w:themeColor="text1"/>
        </w:rPr>
        <w:t>广源达信</w:t>
      </w:r>
      <w:r>
        <w:rPr>
          <w:rFonts w:asciiTheme="minorEastAsia" w:eastAsiaTheme="minorEastAsia" w:hAnsiTheme="minorEastAsia" w:cstheme="minorEastAsia" w:hint="eastAsia"/>
          <w:color w:val="000000" w:themeColor="text1"/>
        </w:rPr>
        <w:t>在此基础上实施的费率优惠活动本基金管理人不再进行限制，投资者通过</w:t>
      </w:r>
      <w:r>
        <w:rPr>
          <w:rFonts w:eastAsiaTheme="minorEastAsia" w:hint="eastAsia"/>
        </w:rPr>
        <w:t>广源达信</w:t>
      </w:r>
      <w:r>
        <w:rPr>
          <w:rFonts w:asciiTheme="minorEastAsia" w:eastAsiaTheme="minorEastAsia" w:hAnsiTheme="minorEastAsia" w:cstheme="minorEastAsia" w:hint="eastAsia"/>
          <w:color w:val="000000" w:themeColor="text1"/>
        </w:rPr>
        <w:t>申购、定投及转换本基金管理人旗下适用基金（仅限前端收费模式），其申购、定投及转换补差费费率以</w:t>
      </w:r>
      <w:r>
        <w:rPr>
          <w:rFonts w:eastAsiaTheme="minorEastAsia" w:hint="eastAsia"/>
        </w:rPr>
        <w:t>广源达信</w:t>
      </w:r>
      <w:r>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5E631A" w:rsidRDefault="002459EA">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6.</w:t>
      </w:r>
      <w:r>
        <w:rPr>
          <w:rFonts w:asciiTheme="minorEastAsia" w:eastAsiaTheme="minorEastAsia" w:hAnsiTheme="minorEastAsia" w:cstheme="minorEastAsia" w:hint="eastAsia"/>
          <w:color w:val="000000" w:themeColor="text1"/>
        </w:rPr>
        <w:t>本基金管理人其他基金如新增</w:t>
      </w:r>
      <w:r>
        <w:rPr>
          <w:rFonts w:eastAsiaTheme="minorEastAsia" w:hint="eastAsia"/>
        </w:rPr>
        <w:t>广源达信</w:t>
      </w:r>
      <w:r>
        <w:rPr>
          <w:rFonts w:asciiTheme="minorEastAsia" w:eastAsiaTheme="minorEastAsia" w:hAnsiTheme="minorEastAsia" w:cstheme="minorEastAsia" w:hint="eastAsia"/>
          <w:color w:val="000000" w:themeColor="text1"/>
        </w:rPr>
        <w:t>为代销机构，将同时开通基金转换、基金定投及费率优惠，我司不再另行公告。</w:t>
      </w:r>
    </w:p>
    <w:p w:rsidR="005E631A" w:rsidRDefault="005E631A">
      <w:pPr>
        <w:pStyle w:val="a7"/>
        <w:shd w:val="clear" w:color="auto" w:fill="FFFFFF"/>
        <w:adjustRightInd w:val="0"/>
        <w:snapToGrid w:val="0"/>
        <w:spacing w:before="0" w:beforeAutospacing="0" w:after="0" w:afterAutospacing="0" w:line="360" w:lineRule="auto"/>
        <w:jc w:val="both"/>
        <w:rPr>
          <w:rFonts w:cs="Calibri"/>
        </w:rPr>
      </w:pP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四、投资者可以通过以下方式咨询</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1.</w:t>
      </w:r>
      <w:r>
        <w:rPr>
          <w:rFonts w:cs="Calibri" w:hint="eastAsia"/>
        </w:rPr>
        <w:t>广源达信</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客服电话</w:t>
      </w:r>
      <w:r>
        <w:rPr>
          <w:rFonts w:cs="Calibri" w:hint="eastAsia"/>
        </w:rPr>
        <w:t>：</w:t>
      </w:r>
      <w:r>
        <w:rPr>
          <w:rFonts w:cs="Calibri" w:hint="eastAsia"/>
        </w:rPr>
        <w:t>400-616-7531</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网址：</w:t>
      </w:r>
      <w:r>
        <w:rPr>
          <w:rFonts w:cs="Calibri" w:hint="eastAsia"/>
        </w:rPr>
        <w:t>www.guangyuandaxin.com</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2.</w:t>
      </w:r>
      <w:r>
        <w:rPr>
          <w:rFonts w:cs="Calibri" w:hint="eastAsia"/>
        </w:rPr>
        <w:t>本基金管理人</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客服电话：</w:t>
      </w:r>
      <w:r>
        <w:rPr>
          <w:rFonts w:cs="Calibri" w:hint="eastAsia"/>
        </w:rPr>
        <w:t>4006-135-888</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网址：</w:t>
      </w:r>
      <w:r>
        <w:rPr>
          <w:rFonts w:cs="Calibri" w:hint="eastAsia"/>
        </w:rPr>
        <w:t>www.gefund.com.cn</w:t>
      </w:r>
    </w:p>
    <w:p w:rsidR="005E631A" w:rsidRDefault="005E631A">
      <w:pPr>
        <w:pStyle w:val="a7"/>
        <w:shd w:val="clear" w:color="auto" w:fill="FFFFFF"/>
        <w:adjustRightInd w:val="0"/>
        <w:snapToGrid w:val="0"/>
        <w:spacing w:before="0" w:beforeAutospacing="0" w:after="0" w:afterAutospacing="0" w:line="360" w:lineRule="auto"/>
        <w:ind w:firstLine="420"/>
        <w:jc w:val="both"/>
        <w:rPr>
          <w:rFonts w:cs="Calibri"/>
        </w:rPr>
      </w:pPr>
    </w:p>
    <w:p w:rsidR="005E631A" w:rsidRDefault="002459EA">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w:t>
      </w:r>
      <w:r>
        <w:rPr>
          <w:rFonts w:asciiTheme="minorEastAsia" w:eastAsiaTheme="minorEastAsia" w:hAnsiTheme="minorEastAsia" w:cstheme="minorEastAsia" w:hint="eastAsia"/>
          <w:color w:val="000000" w:themeColor="text1"/>
        </w:rPr>
        <w:t>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w:t>
      </w:r>
      <w:r>
        <w:rPr>
          <w:rFonts w:asciiTheme="minorEastAsia" w:eastAsiaTheme="minorEastAsia" w:hAnsiTheme="minorEastAsia" w:cstheme="minorEastAsia" w:hint="eastAsia"/>
          <w:color w:val="000000" w:themeColor="text1"/>
        </w:rPr>
        <w:t>ETF</w:t>
      </w:r>
      <w:r>
        <w:rPr>
          <w:rFonts w:asciiTheme="minorEastAsia" w:eastAsiaTheme="minorEastAsia" w:hAnsiTheme="minorEastAsia" w:cstheme="minorEastAsia" w:hint="eastAsia"/>
          <w:color w:val="000000" w:themeColor="text1"/>
        </w:rPr>
        <w:t>及中国证监会规定的其他基金品种或情形除外。基金不同于银行储蓄，基金投资人投资于基金有可能获得较高的收益，也有可能</w:t>
      </w:r>
      <w:r>
        <w:rPr>
          <w:rFonts w:asciiTheme="minorEastAsia" w:eastAsiaTheme="minorEastAsia" w:hAnsiTheme="minorEastAsia" w:cstheme="minorEastAsia" w:hint="eastAsia"/>
          <w:color w:val="000000" w:themeColor="text1"/>
        </w:rPr>
        <w:t>损失本金。基金管理人提醒投资者基金投资的“买者自负”原则，在投资者作出投资决策后，基金运营状况与基金净值变化引致的投资风险，由投资者自行负责。</w:t>
      </w:r>
    </w:p>
    <w:p w:rsidR="005E631A" w:rsidRDefault="002459EA">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特此公告。</w:t>
      </w:r>
    </w:p>
    <w:p w:rsidR="005E631A" w:rsidRDefault="005E631A">
      <w:pPr>
        <w:pStyle w:val="a7"/>
        <w:shd w:val="clear" w:color="auto" w:fill="FFFFFF"/>
        <w:adjustRightInd w:val="0"/>
        <w:snapToGrid w:val="0"/>
        <w:spacing w:before="0" w:beforeAutospacing="0" w:after="0" w:afterAutospacing="0" w:line="360" w:lineRule="auto"/>
        <w:ind w:firstLine="420"/>
        <w:jc w:val="both"/>
        <w:rPr>
          <w:rFonts w:cs="Calibri"/>
        </w:rPr>
      </w:pPr>
    </w:p>
    <w:p w:rsidR="005E631A" w:rsidRDefault="005E631A">
      <w:pPr>
        <w:pStyle w:val="a7"/>
        <w:shd w:val="clear" w:color="auto" w:fill="FFFFFF"/>
        <w:adjustRightInd w:val="0"/>
        <w:snapToGrid w:val="0"/>
        <w:spacing w:before="0" w:beforeAutospacing="0" w:after="0" w:afterAutospacing="0" w:line="360" w:lineRule="auto"/>
        <w:jc w:val="both"/>
        <w:rPr>
          <w:rFonts w:cs="Calibri"/>
        </w:rPr>
      </w:pPr>
    </w:p>
    <w:p w:rsidR="005E631A" w:rsidRDefault="002459EA">
      <w:pPr>
        <w:pStyle w:val="a7"/>
        <w:shd w:val="clear" w:color="auto" w:fill="FFFFFF"/>
        <w:adjustRightInd w:val="0"/>
        <w:snapToGrid w:val="0"/>
        <w:spacing w:before="0" w:beforeAutospacing="0" w:after="0" w:afterAutospacing="0" w:line="360" w:lineRule="auto"/>
        <w:ind w:firstLine="420"/>
        <w:jc w:val="right"/>
        <w:rPr>
          <w:rFonts w:cs="Calibri"/>
        </w:rPr>
      </w:pPr>
      <w:r>
        <w:rPr>
          <w:rFonts w:cs="Calibri" w:hint="eastAsia"/>
        </w:rPr>
        <w:t>金鹰基金管理有限公司</w:t>
      </w:r>
    </w:p>
    <w:p w:rsidR="005E631A" w:rsidRDefault="002459EA">
      <w:pPr>
        <w:pStyle w:val="a7"/>
        <w:shd w:val="clear" w:color="auto" w:fill="FFFFFF"/>
        <w:adjustRightInd w:val="0"/>
        <w:snapToGrid w:val="0"/>
        <w:spacing w:before="0" w:beforeAutospacing="0" w:after="0" w:afterAutospacing="0" w:line="360" w:lineRule="auto"/>
        <w:ind w:firstLine="420"/>
        <w:jc w:val="right"/>
        <w:rPr>
          <w:rFonts w:cs="Calibri"/>
        </w:rPr>
      </w:pPr>
      <w:r>
        <w:rPr>
          <w:rFonts w:cs="Calibri" w:hint="eastAsia"/>
        </w:rPr>
        <w:t>202</w:t>
      </w:r>
      <w:r>
        <w:rPr>
          <w:rFonts w:cs="Calibri"/>
        </w:rPr>
        <w:t>5</w:t>
      </w:r>
      <w:r>
        <w:rPr>
          <w:rFonts w:cs="Calibri" w:hint="eastAsia"/>
        </w:rPr>
        <w:t>年</w:t>
      </w:r>
      <w:r>
        <w:rPr>
          <w:rFonts w:cs="Calibri" w:hint="eastAsia"/>
        </w:rPr>
        <w:t>10</w:t>
      </w:r>
      <w:r>
        <w:rPr>
          <w:rFonts w:cs="Calibri" w:hint="eastAsia"/>
        </w:rPr>
        <w:t>月</w:t>
      </w:r>
      <w:r>
        <w:rPr>
          <w:rFonts w:cs="Calibri" w:hint="eastAsia"/>
        </w:rPr>
        <w:t>28</w:t>
      </w:r>
      <w:r>
        <w:rPr>
          <w:rFonts w:cs="Calibri" w:hint="eastAsia"/>
        </w:rPr>
        <w:t>日</w:t>
      </w:r>
    </w:p>
    <w:sectPr w:rsidR="005E631A" w:rsidSect="005E63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109AE"/>
    <w:rsid w:val="00023C0B"/>
    <w:rsid w:val="00036D62"/>
    <w:rsid w:val="0004705D"/>
    <w:rsid w:val="00070304"/>
    <w:rsid w:val="00071A90"/>
    <w:rsid w:val="000737EE"/>
    <w:rsid w:val="0007668C"/>
    <w:rsid w:val="00093875"/>
    <w:rsid w:val="000A0EF5"/>
    <w:rsid w:val="000B1AB2"/>
    <w:rsid w:val="000D170F"/>
    <w:rsid w:val="000E10B7"/>
    <w:rsid w:val="000E7D3C"/>
    <w:rsid w:val="000F4326"/>
    <w:rsid w:val="000F708A"/>
    <w:rsid w:val="00102D67"/>
    <w:rsid w:val="001039C4"/>
    <w:rsid w:val="00104C84"/>
    <w:rsid w:val="00112143"/>
    <w:rsid w:val="00112272"/>
    <w:rsid w:val="00126069"/>
    <w:rsid w:val="00142F9B"/>
    <w:rsid w:val="00156402"/>
    <w:rsid w:val="00163302"/>
    <w:rsid w:val="00172A27"/>
    <w:rsid w:val="00173177"/>
    <w:rsid w:val="00175014"/>
    <w:rsid w:val="0018069E"/>
    <w:rsid w:val="00181DF5"/>
    <w:rsid w:val="0018431F"/>
    <w:rsid w:val="00185A4A"/>
    <w:rsid w:val="00191741"/>
    <w:rsid w:val="00196156"/>
    <w:rsid w:val="001B433C"/>
    <w:rsid w:val="001C22C6"/>
    <w:rsid w:val="001C779B"/>
    <w:rsid w:val="001D0BCE"/>
    <w:rsid w:val="001E3351"/>
    <w:rsid w:val="001E7F59"/>
    <w:rsid w:val="002000F3"/>
    <w:rsid w:val="00204212"/>
    <w:rsid w:val="00210F18"/>
    <w:rsid w:val="00214830"/>
    <w:rsid w:val="002173DE"/>
    <w:rsid w:val="00227180"/>
    <w:rsid w:val="002357B3"/>
    <w:rsid w:val="002459EA"/>
    <w:rsid w:val="00264A16"/>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D0C3C"/>
    <w:rsid w:val="002E0CC4"/>
    <w:rsid w:val="002E0CEA"/>
    <w:rsid w:val="002F6B22"/>
    <w:rsid w:val="00305CC8"/>
    <w:rsid w:val="00305D3D"/>
    <w:rsid w:val="00311C3C"/>
    <w:rsid w:val="00313E92"/>
    <w:rsid w:val="00317240"/>
    <w:rsid w:val="00317B5D"/>
    <w:rsid w:val="003232A5"/>
    <w:rsid w:val="00324952"/>
    <w:rsid w:val="003333B0"/>
    <w:rsid w:val="0033673F"/>
    <w:rsid w:val="00336D66"/>
    <w:rsid w:val="0034379E"/>
    <w:rsid w:val="00347AA1"/>
    <w:rsid w:val="00347FF3"/>
    <w:rsid w:val="00361972"/>
    <w:rsid w:val="003631DF"/>
    <w:rsid w:val="00364825"/>
    <w:rsid w:val="00372758"/>
    <w:rsid w:val="003877F8"/>
    <w:rsid w:val="00390CB1"/>
    <w:rsid w:val="0039330F"/>
    <w:rsid w:val="00395D67"/>
    <w:rsid w:val="003A6B3A"/>
    <w:rsid w:val="003C4285"/>
    <w:rsid w:val="003C7AEC"/>
    <w:rsid w:val="003D2696"/>
    <w:rsid w:val="003D3C4C"/>
    <w:rsid w:val="003E168F"/>
    <w:rsid w:val="003F276E"/>
    <w:rsid w:val="00403891"/>
    <w:rsid w:val="00407305"/>
    <w:rsid w:val="00415A81"/>
    <w:rsid w:val="00420793"/>
    <w:rsid w:val="004219E2"/>
    <w:rsid w:val="0043356C"/>
    <w:rsid w:val="004351AB"/>
    <w:rsid w:val="00445F84"/>
    <w:rsid w:val="00447446"/>
    <w:rsid w:val="004511C4"/>
    <w:rsid w:val="00453E39"/>
    <w:rsid w:val="00472542"/>
    <w:rsid w:val="004768F1"/>
    <w:rsid w:val="00476AD1"/>
    <w:rsid w:val="004840C8"/>
    <w:rsid w:val="004944A3"/>
    <w:rsid w:val="004A0E27"/>
    <w:rsid w:val="004A1B5A"/>
    <w:rsid w:val="004A47C9"/>
    <w:rsid w:val="004B1512"/>
    <w:rsid w:val="004B7B90"/>
    <w:rsid w:val="004B7F7B"/>
    <w:rsid w:val="004C26F2"/>
    <w:rsid w:val="004C38D9"/>
    <w:rsid w:val="004C48BD"/>
    <w:rsid w:val="004C5102"/>
    <w:rsid w:val="004D0845"/>
    <w:rsid w:val="004D4E21"/>
    <w:rsid w:val="004E2142"/>
    <w:rsid w:val="004E32AC"/>
    <w:rsid w:val="00500661"/>
    <w:rsid w:val="00503779"/>
    <w:rsid w:val="00503A5C"/>
    <w:rsid w:val="00504054"/>
    <w:rsid w:val="00504982"/>
    <w:rsid w:val="00506924"/>
    <w:rsid w:val="00506C74"/>
    <w:rsid w:val="00506C89"/>
    <w:rsid w:val="00522178"/>
    <w:rsid w:val="00530F9A"/>
    <w:rsid w:val="00534398"/>
    <w:rsid w:val="0055048C"/>
    <w:rsid w:val="005507BB"/>
    <w:rsid w:val="005541C0"/>
    <w:rsid w:val="00566D76"/>
    <w:rsid w:val="005670F1"/>
    <w:rsid w:val="005706A4"/>
    <w:rsid w:val="0057721B"/>
    <w:rsid w:val="00587875"/>
    <w:rsid w:val="0059003D"/>
    <w:rsid w:val="005973D4"/>
    <w:rsid w:val="005A54A0"/>
    <w:rsid w:val="005B7934"/>
    <w:rsid w:val="005E5033"/>
    <w:rsid w:val="005E631A"/>
    <w:rsid w:val="005F0540"/>
    <w:rsid w:val="00610D9A"/>
    <w:rsid w:val="00626B49"/>
    <w:rsid w:val="00627EE6"/>
    <w:rsid w:val="00631BBC"/>
    <w:rsid w:val="00636821"/>
    <w:rsid w:val="00636DE1"/>
    <w:rsid w:val="006434F1"/>
    <w:rsid w:val="006463CA"/>
    <w:rsid w:val="00646793"/>
    <w:rsid w:val="006554A2"/>
    <w:rsid w:val="0066173E"/>
    <w:rsid w:val="006626F1"/>
    <w:rsid w:val="00663DC9"/>
    <w:rsid w:val="00665EFB"/>
    <w:rsid w:val="006738B3"/>
    <w:rsid w:val="00680493"/>
    <w:rsid w:val="00691BF4"/>
    <w:rsid w:val="006928B4"/>
    <w:rsid w:val="006A1197"/>
    <w:rsid w:val="006C3AF4"/>
    <w:rsid w:val="006C4B3B"/>
    <w:rsid w:val="006D6BCF"/>
    <w:rsid w:val="006D717C"/>
    <w:rsid w:val="0070267D"/>
    <w:rsid w:val="007069D1"/>
    <w:rsid w:val="0072345B"/>
    <w:rsid w:val="0072741B"/>
    <w:rsid w:val="00731549"/>
    <w:rsid w:val="007424F2"/>
    <w:rsid w:val="00743A13"/>
    <w:rsid w:val="00754FD6"/>
    <w:rsid w:val="00762114"/>
    <w:rsid w:val="00767674"/>
    <w:rsid w:val="00786DAF"/>
    <w:rsid w:val="00790DF8"/>
    <w:rsid w:val="0079226C"/>
    <w:rsid w:val="007B26E1"/>
    <w:rsid w:val="007C19E0"/>
    <w:rsid w:val="007C4602"/>
    <w:rsid w:val="007D35DE"/>
    <w:rsid w:val="007E2426"/>
    <w:rsid w:val="007E46F3"/>
    <w:rsid w:val="007E49A1"/>
    <w:rsid w:val="007F166F"/>
    <w:rsid w:val="007F31CD"/>
    <w:rsid w:val="007F42E4"/>
    <w:rsid w:val="0082536C"/>
    <w:rsid w:val="0082716F"/>
    <w:rsid w:val="00827326"/>
    <w:rsid w:val="00837E44"/>
    <w:rsid w:val="00841C59"/>
    <w:rsid w:val="008512B8"/>
    <w:rsid w:val="00860503"/>
    <w:rsid w:val="00860E1D"/>
    <w:rsid w:val="00864CDD"/>
    <w:rsid w:val="008769F5"/>
    <w:rsid w:val="00876A48"/>
    <w:rsid w:val="0088224E"/>
    <w:rsid w:val="00882A09"/>
    <w:rsid w:val="008919C0"/>
    <w:rsid w:val="008A01A0"/>
    <w:rsid w:val="008A27AD"/>
    <w:rsid w:val="008A29CE"/>
    <w:rsid w:val="008B0A9C"/>
    <w:rsid w:val="008B2268"/>
    <w:rsid w:val="008B2C05"/>
    <w:rsid w:val="008B7C7A"/>
    <w:rsid w:val="008C1883"/>
    <w:rsid w:val="008C5B8A"/>
    <w:rsid w:val="008E589A"/>
    <w:rsid w:val="008E6540"/>
    <w:rsid w:val="008F5130"/>
    <w:rsid w:val="00901838"/>
    <w:rsid w:val="00916226"/>
    <w:rsid w:val="00941216"/>
    <w:rsid w:val="00953E06"/>
    <w:rsid w:val="00954AD7"/>
    <w:rsid w:val="0096184E"/>
    <w:rsid w:val="009633B5"/>
    <w:rsid w:val="00965497"/>
    <w:rsid w:val="00965B2D"/>
    <w:rsid w:val="009704E9"/>
    <w:rsid w:val="0097117B"/>
    <w:rsid w:val="009844B9"/>
    <w:rsid w:val="00986D05"/>
    <w:rsid w:val="009877A4"/>
    <w:rsid w:val="009974A3"/>
    <w:rsid w:val="009B7508"/>
    <w:rsid w:val="009C0014"/>
    <w:rsid w:val="009C3941"/>
    <w:rsid w:val="009C6597"/>
    <w:rsid w:val="009D5400"/>
    <w:rsid w:val="009D5A96"/>
    <w:rsid w:val="009F38CE"/>
    <w:rsid w:val="00A00AAF"/>
    <w:rsid w:val="00A0278D"/>
    <w:rsid w:val="00A15DC9"/>
    <w:rsid w:val="00A37537"/>
    <w:rsid w:val="00A377DB"/>
    <w:rsid w:val="00A46BE9"/>
    <w:rsid w:val="00A522B4"/>
    <w:rsid w:val="00A60C90"/>
    <w:rsid w:val="00A61416"/>
    <w:rsid w:val="00A6729C"/>
    <w:rsid w:val="00A70945"/>
    <w:rsid w:val="00A70B1F"/>
    <w:rsid w:val="00A81E34"/>
    <w:rsid w:val="00A95060"/>
    <w:rsid w:val="00AB4E85"/>
    <w:rsid w:val="00AC49BE"/>
    <w:rsid w:val="00AD4BE8"/>
    <w:rsid w:val="00AD4FA1"/>
    <w:rsid w:val="00AD6E8D"/>
    <w:rsid w:val="00AF0E2D"/>
    <w:rsid w:val="00AF1899"/>
    <w:rsid w:val="00AF1A2D"/>
    <w:rsid w:val="00AF76F6"/>
    <w:rsid w:val="00B01D7F"/>
    <w:rsid w:val="00B0516D"/>
    <w:rsid w:val="00B11B8C"/>
    <w:rsid w:val="00B336E6"/>
    <w:rsid w:val="00B424A3"/>
    <w:rsid w:val="00B632AB"/>
    <w:rsid w:val="00B679FB"/>
    <w:rsid w:val="00B80061"/>
    <w:rsid w:val="00B85DD2"/>
    <w:rsid w:val="00B87310"/>
    <w:rsid w:val="00B921F1"/>
    <w:rsid w:val="00B975FE"/>
    <w:rsid w:val="00BA133E"/>
    <w:rsid w:val="00BA4D20"/>
    <w:rsid w:val="00BA5803"/>
    <w:rsid w:val="00BB0D06"/>
    <w:rsid w:val="00BB2145"/>
    <w:rsid w:val="00BB477F"/>
    <w:rsid w:val="00BB5BDE"/>
    <w:rsid w:val="00BC2167"/>
    <w:rsid w:val="00BC38F5"/>
    <w:rsid w:val="00BC549F"/>
    <w:rsid w:val="00BC5516"/>
    <w:rsid w:val="00BC560B"/>
    <w:rsid w:val="00BC7D60"/>
    <w:rsid w:val="00BD01CC"/>
    <w:rsid w:val="00BE1FB8"/>
    <w:rsid w:val="00BF6A07"/>
    <w:rsid w:val="00C012DA"/>
    <w:rsid w:val="00C041D4"/>
    <w:rsid w:val="00C06005"/>
    <w:rsid w:val="00C15311"/>
    <w:rsid w:val="00C267AE"/>
    <w:rsid w:val="00C27637"/>
    <w:rsid w:val="00C3146D"/>
    <w:rsid w:val="00C40AB2"/>
    <w:rsid w:val="00C453AF"/>
    <w:rsid w:val="00C51529"/>
    <w:rsid w:val="00C52FB1"/>
    <w:rsid w:val="00C5608E"/>
    <w:rsid w:val="00C67688"/>
    <w:rsid w:val="00C873A7"/>
    <w:rsid w:val="00C930EB"/>
    <w:rsid w:val="00CA1413"/>
    <w:rsid w:val="00CA2869"/>
    <w:rsid w:val="00CA36CF"/>
    <w:rsid w:val="00CA3B8C"/>
    <w:rsid w:val="00CA62D2"/>
    <w:rsid w:val="00CA73E7"/>
    <w:rsid w:val="00CB098D"/>
    <w:rsid w:val="00CC5E82"/>
    <w:rsid w:val="00CD2771"/>
    <w:rsid w:val="00CD57F0"/>
    <w:rsid w:val="00CE0062"/>
    <w:rsid w:val="00D037FF"/>
    <w:rsid w:val="00D25D72"/>
    <w:rsid w:val="00D37F62"/>
    <w:rsid w:val="00D414D8"/>
    <w:rsid w:val="00D61B38"/>
    <w:rsid w:val="00D61C64"/>
    <w:rsid w:val="00D67F01"/>
    <w:rsid w:val="00D7160C"/>
    <w:rsid w:val="00D773FA"/>
    <w:rsid w:val="00D81E13"/>
    <w:rsid w:val="00D861DB"/>
    <w:rsid w:val="00D90F6C"/>
    <w:rsid w:val="00DA199C"/>
    <w:rsid w:val="00DA5245"/>
    <w:rsid w:val="00DB229B"/>
    <w:rsid w:val="00DB3A6F"/>
    <w:rsid w:val="00DB40C6"/>
    <w:rsid w:val="00DC079C"/>
    <w:rsid w:val="00DC4CB3"/>
    <w:rsid w:val="00DC5262"/>
    <w:rsid w:val="00DC763B"/>
    <w:rsid w:val="00DC7DCB"/>
    <w:rsid w:val="00DD24CD"/>
    <w:rsid w:val="00DF7CC2"/>
    <w:rsid w:val="00E02CA7"/>
    <w:rsid w:val="00E13E9E"/>
    <w:rsid w:val="00E14296"/>
    <w:rsid w:val="00E22DBA"/>
    <w:rsid w:val="00E241D2"/>
    <w:rsid w:val="00E26003"/>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2709"/>
    <w:rsid w:val="00EE68E6"/>
    <w:rsid w:val="00F030ED"/>
    <w:rsid w:val="00F061A9"/>
    <w:rsid w:val="00F14BCF"/>
    <w:rsid w:val="00F173E8"/>
    <w:rsid w:val="00F23E9A"/>
    <w:rsid w:val="00F31BC6"/>
    <w:rsid w:val="00F36BA5"/>
    <w:rsid w:val="00F53580"/>
    <w:rsid w:val="00F55EE7"/>
    <w:rsid w:val="00F624D8"/>
    <w:rsid w:val="00F73002"/>
    <w:rsid w:val="00F73A92"/>
    <w:rsid w:val="00F73AF8"/>
    <w:rsid w:val="00F77A0A"/>
    <w:rsid w:val="00F8346B"/>
    <w:rsid w:val="00F91F27"/>
    <w:rsid w:val="00F92C9B"/>
    <w:rsid w:val="00FA3C34"/>
    <w:rsid w:val="00FA4261"/>
    <w:rsid w:val="00FB30FB"/>
    <w:rsid w:val="00FC00B2"/>
    <w:rsid w:val="00FC0836"/>
    <w:rsid w:val="00FD53FB"/>
    <w:rsid w:val="00FE15E6"/>
    <w:rsid w:val="00FE3862"/>
    <w:rsid w:val="00FE770E"/>
    <w:rsid w:val="00FF3103"/>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1A"/>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5E631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E631A"/>
    <w:pPr>
      <w:jc w:val="left"/>
    </w:pPr>
  </w:style>
  <w:style w:type="paragraph" w:styleId="a4">
    <w:name w:val="Balloon Text"/>
    <w:basedOn w:val="a"/>
    <w:link w:val="Char0"/>
    <w:uiPriority w:val="99"/>
    <w:semiHidden/>
    <w:unhideWhenUsed/>
    <w:qFormat/>
    <w:rsid w:val="005E631A"/>
    <w:rPr>
      <w:sz w:val="18"/>
      <w:szCs w:val="18"/>
    </w:rPr>
  </w:style>
  <w:style w:type="paragraph" w:styleId="a5">
    <w:name w:val="footer"/>
    <w:basedOn w:val="a"/>
    <w:link w:val="Char1"/>
    <w:uiPriority w:val="99"/>
    <w:unhideWhenUsed/>
    <w:qFormat/>
    <w:rsid w:val="005E631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E631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E631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E631A"/>
    <w:rPr>
      <w:b/>
      <w:bCs/>
    </w:rPr>
  </w:style>
  <w:style w:type="table" w:styleId="a9">
    <w:name w:val="Table Grid"/>
    <w:basedOn w:val="a1"/>
    <w:uiPriority w:val="59"/>
    <w:qFormat/>
    <w:rsid w:val="005E6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5E631A"/>
    <w:rPr>
      <w:color w:val="4C4C4C"/>
      <w:u w:val="none"/>
    </w:rPr>
  </w:style>
  <w:style w:type="character" w:styleId="ab">
    <w:name w:val="Emphasis"/>
    <w:basedOn w:val="a0"/>
    <w:uiPriority w:val="20"/>
    <w:qFormat/>
    <w:rsid w:val="005E631A"/>
  </w:style>
  <w:style w:type="character" w:styleId="HTML">
    <w:name w:val="HTML Acronym"/>
    <w:basedOn w:val="a0"/>
    <w:uiPriority w:val="99"/>
    <w:semiHidden/>
    <w:unhideWhenUsed/>
    <w:qFormat/>
    <w:rsid w:val="005E631A"/>
  </w:style>
  <w:style w:type="character" w:styleId="ac">
    <w:name w:val="Hyperlink"/>
    <w:basedOn w:val="a0"/>
    <w:uiPriority w:val="99"/>
    <w:unhideWhenUsed/>
    <w:qFormat/>
    <w:rsid w:val="005E631A"/>
    <w:rPr>
      <w:color w:val="0000FF"/>
      <w:u w:val="single"/>
    </w:rPr>
  </w:style>
  <w:style w:type="character" w:styleId="ad">
    <w:name w:val="annotation reference"/>
    <w:basedOn w:val="a0"/>
    <w:uiPriority w:val="99"/>
    <w:semiHidden/>
    <w:unhideWhenUsed/>
    <w:qFormat/>
    <w:rsid w:val="005E631A"/>
    <w:rPr>
      <w:sz w:val="21"/>
      <w:szCs w:val="21"/>
    </w:rPr>
  </w:style>
  <w:style w:type="character" w:customStyle="1" w:styleId="3Char">
    <w:name w:val="标题 3 Char"/>
    <w:basedOn w:val="a0"/>
    <w:link w:val="3"/>
    <w:uiPriority w:val="9"/>
    <w:qFormat/>
    <w:rsid w:val="005E631A"/>
    <w:rPr>
      <w:rFonts w:ascii="宋体" w:eastAsia="宋体" w:hAnsi="宋体" w:cs="宋体"/>
      <w:b/>
      <w:bCs/>
      <w:kern w:val="0"/>
      <w:sz w:val="27"/>
      <w:szCs w:val="27"/>
    </w:rPr>
  </w:style>
  <w:style w:type="character" w:customStyle="1" w:styleId="span4">
    <w:name w:val="span4"/>
    <w:basedOn w:val="a0"/>
    <w:qFormat/>
    <w:rsid w:val="005E631A"/>
  </w:style>
  <w:style w:type="character" w:customStyle="1" w:styleId="span01">
    <w:name w:val="span01"/>
    <w:basedOn w:val="a0"/>
    <w:qFormat/>
    <w:rsid w:val="005E631A"/>
    <w:rPr>
      <w:sz w:val="24"/>
      <w:szCs w:val="24"/>
    </w:rPr>
  </w:style>
  <w:style w:type="character" w:customStyle="1" w:styleId="icon2">
    <w:name w:val="icon2"/>
    <w:basedOn w:val="a0"/>
    <w:qFormat/>
    <w:rsid w:val="005E631A"/>
  </w:style>
  <w:style w:type="character" w:customStyle="1" w:styleId="fqrsyliswk">
    <w:name w:val="fqrsyl_iswk"/>
    <w:basedOn w:val="a0"/>
    <w:qFormat/>
    <w:rsid w:val="005E631A"/>
  </w:style>
  <w:style w:type="character" w:customStyle="1" w:styleId="span03">
    <w:name w:val="span03"/>
    <w:basedOn w:val="a0"/>
    <w:qFormat/>
    <w:rsid w:val="005E631A"/>
  </w:style>
  <w:style w:type="character" w:customStyle="1" w:styleId="span031">
    <w:name w:val="span031"/>
    <w:basedOn w:val="a0"/>
    <w:qFormat/>
    <w:rsid w:val="005E631A"/>
  </w:style>
  <w:style w:type="character" w:customStyle="1" w:styleId="fmwfsyiswk">
    <w:name w:val="fmwfsy_iswk"/>
    <w:basedOn w:val="a0"/>
    <w:qFormat/>
    <w:rsid w:val="005E631A"/>
  </w:style>
  <w:style w:type="character" w:customStyle="1" w:styleId="span1">
    <w:name w:val="span1"/>
    <w:basedOn w:val="a0"/>
    <w:qFormat/>
    <w:rsid w:val="005E631A"/>
  </w:style>
  <w:style w:type="character" w:customStyle="1" w:styleId="span2">
    <w:name w:val="span2"/>
    <w:basedOn w:val="a0"/>
    <w:qFormat/>
    <w:rsid w:val="005E631A"/>
  </w:style>
  <w:style w:type="character" w:customStyle="1" w:styleId="hover46">
    <w:name w:val="hover46"/>
    <w:basedOn w:val="a0"/>
    <w:qFormat/>
    <w:rsid w:val="005E631A"/>
    <w:rPr>
      <w:shd w:val="clear" w:color="auto" w:fill="FEF2E7"/>
    </w:rPr>
  </w:style>
  <w:style w:type="character" w:customStyle="1" w:styleId="hover47">
    <w:name w:val="hover47"/>
    <w:basedOn w:val="a0"/>
    <w:qFormat/>
    <w:rsid w:val="005E631A"/>
    <w:rPr>
      <w:color w:val="F88413"/>
    </w:rPr>
  </w:style>
  <w:style w:type="character" w:customStyle="1" w:styleId="span02">
    <w:name w:val="span02"/>
    <w:basedOn w:val="a0"/>
    <w:qFormat/>
    <w:rsid w:val="005E631A"/>
    <w:rPr>
      <w:sz w:val="24"/>
      <w:szCs w:val="24"/>
    </w:rPr>
  </w:style>
  <w:style w:type="character" w:customStyle="1" w:styleId="span021">
    <w:name w:val="span021"/>
    <w:basedOn w:val="a0"/>
    <w:qFormat/>
    <w:rsid w:val="005E631A"/>
  </w:style>
  <w:style w:type="character" w:customStyle="1" w:styleId="on26">
    <w:name w:val="on26"/>
    <w:basedOn w:val="a0"/>
    <w:qFormat/>
    <w:rsid w:val="005E631A"/>
    <w:rPr>
      <w:color w:val="F88413"/>
    </w:rPr>
  </w:style>
  <w:style w:type="character" w:customStyle="1" w:styleId="on27">
    <w:name w:val="on27"/>
    <w:basedOn w:val="a0"/>
    <w:qFormat/>
    <w:rsid w:val="005E631A"/>
  </w:style>
  <w:style w:type="character" w:customStyle="1" w:styleId="span3">
    <w:name w:val="span3"/>
    <w:basedOn w:val="a0"/>
    <w:qFormat/>
    <w:rsid w:val="005E631A"/>
  </w:style>
  <w:style w:type="character" w:customStyle="1" w:styleId="span011">
    <w:name w:val="span011"/>
    <w:basedOn w:val="a0"/>
    <w:qFormat/>
    <w:rsid w:val="005E631A"/>
  </w:style>
  <w:style w:type="character" w:customStyle="1" w:styleId="icon">
    <w:name w:val="icon"/>
    <w:basedOn w:val="a0"/>
    <w:qFormat/>
    <w:rsid w:val="005E631A"/>
  </w:style>
  <w:style w:type="character" w:customStyle="1" w:styleId="hover44">
    <w:name w:val="hover44"/>
    <w:basedOn w:val="a0"/>
    <w:qFormat/>
    <w:rsid w:val="005E631A"/>
    <w:rPr>
      <w:shd w:val="clear" w:color="auto" w:fill="FEF2E7"/>
    </w:rPr>
  </w:style>
  <w:style w:type="character" w:customStyle="1" w:styleId="hover45">
    <w:name w:val="hover45"/>
    <w:basedOn w:val="a0"/>
    <w:qFormat/>
    <w:rsid w:val="005E631A"/>
    <w:rPr>
      <w:color w:val="F88413"/>
    </w:rPr>
  </w:style>
  <w:style w:type="character" w:customStyle="1" w:styleId="on">
    <w:name w:val="on"/>
    <w:basedOn w:val="a0"/>
    <w:qFormat/>
    <w:rsid w:val="005E631A"/>
    <w:rPr>
      <w:color w:val="F88413"/>
    </w:rPr>
  </w:style>
  <w:style w:type="character" w:customStyle="1" w:styleId="on1">
    <w:name w:val="on1"/>
    <w:basedOn w:val="a0"/>
    <w:qFormat/>
    <w:rsid w:val="005E631A"/>
  </w:style>
  <w:style w:type="character" w:customStyle="1" w:styleId="Char2">
    <w:name w:val="页眉 Char"/>
    <w:basedOn w:val="a0"/>
    <w:link w:val="a6"/>
    <w:uiPriority w:val="99"/>
    <w:qFormat/>
    <w:rsid w:val="005E631A"/>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5E631A"/>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5E631A"/>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5E631A"/>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5E631A"/>
    <w:rPr>
      <w:rFonts w:asciiTheme="minorHAnsi" w:eastAsiaTheme="minorEastAsia" w:hAnsiTheme="minorHAnsi" w:cstheme="minorBidi"/>
      <w:kern w:val="2"/>
      <w:sz w:val="18"/>
      <w:szCs w:val="18"/>
    </w:rPr>
  </w:style>
  <w:style w:type="character" w:customStyle="1" w:styleId="hover43">
    <w:name w:val="hover43"/>
    <w:basedOn w:val="a0"/>
    <w:qFormat/>
    <w:rsid w:val="005E631A"/>
    <w:rPr>
      <w:color w:val="F88413"/>
    </w:rPr>
  </w:style>
  <w:style w:type="paragraph" w:customStyle="1" w:styleId="Default">
    <w:name w:val="Default"/>
    <w:qFormat/>
    <w:rsid w:val="005E631A"/>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5E631A"/>
    <w:rPr>
      <w:color w:val="F88413"/>
    </w:rPr>
  </w:style>
  <w:style w:type="character" w:customStyle="1" w:styleId="hover1">
    <w:name w:val="hover1"/>
    <w:basedOn w:val="a0"/>
    <w:qFormat/>
    <w:rsid w:val="005E631A"/>
    <w:rPr>
      <w:shd w:val="clear" w:color="auto" w:fill="FEF2E7"/>
    </w:rPr>
  </w:style>
  <w:style w:type="character" w:customStyle="1" w:styleId="hover42">
    <w:name w:val="hover42"/>
    <w:basedOn w:val="a0"/>
    <w:qFormat/>
    <w:rsid w:val="005E631A"/>
    <w:rPr>
      <w:shd w:val="clear" w:color="auto" w:fill="FEF2E7"/>
    </w:rPr>
  </w:style>
  <w:style w:type="character" w:customStyle="1" w:styleId="on3">
    <w:name w:val="on3"/>
    <w:basedOn w:val="a0"/>
    <w:qFormat/>
    <w:rsid w:val="005E631A"/>
  </w:style>
  <w:style w:type="character" w:customStyle="1" w:styleId="on4">
    <w:name w:val="on4"/>
    <w:basedOn w:val="a0"/>
    <w:qFormat/>
    <w:rsid w:val="005E631A"/>
    <w:rPr>
      <w:color w:val="F88413"/>
    </w:rPr>
  </w:style>
  <w:style w:type="paragraph" w:customStyle="1" w:styleId="1">
    <w:name w:val="修订1"/>
    <w:hidden/>
    <w:uiPriority w:val="99"/>
    <w:semiHidden/>
    <w:qFormat/>
    <w:rsid w:val="005E631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3054</Characters>
  <Application>Microsoft Office Word</Application>
  <DocSecurity>4</DocSecurity>
  <Lines>25</Lines>
  <Paragraphs>7</Paragraphs>
  <ScaleCrop>false</ScaleCrop>
  <Company>Microsoft</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2025-10-27T16:05:00Z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eyJoZGlkIjoiODE2ZTI2ODZiOThhZmJhZGYzY2NjM2ZlNzJkYTg5M2MiLCJ1c2VySWQiOiI0Mzc4MTY0NzcifQ==</vt:lpwstr>
  </property>
  <property fmtid="{D5CDD505-2E9C-101B-9397-08002B2CF9AE}" pid="4" name="ICV">
    <vt:lpwstr>C6AD6F789BD04F2BA959143A699FE545_12</vt:lpwstr>
  </property>
</Properties>
</file>