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04" w:rsidRPr="006B300B" w:rsidRDefault="00617D18" w:rsidP="00BB4B04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SimSun-Identity-H"/>
          <w:b/>
          <w:kern w:val="0"/>
          <w:sz w:val="28"/>
          <w:szCs w:val="28"/>
        </w:rPr>
      </w:pPr>
      <w:r>
        <w:rPr>
          <w:b/>
          <w:color w:val="1E1E1E"/>
          <w:sz w:val="28"/>
          <w:szCs w:val="28"/>
        </w:rPr>
        <w:t>前海开源基金管理有限公司</w:t>
      </w:r>
    </w:p>
    <w:p w:rsidR="00F06DBA" w:rsidRPr="006B300B" w:rsidRDefault="00E21DDC" w:rsidP="00BB4B04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SimSun-Identity-H"/>
          <w:b/>
          <w:kern w:val="0"/>
          <w:sz w:val="28"/>
          <w:szCs w:val="28"/>
        </w:rPr>
      </w:pPr>
      <w:r w:rsidRPr="006B300B">
        <w:rPr>
          <w:rFonts w:ascii="宋体" w:hAnsi="宋体" w:cs="SimSun-Identity-H" w:hint="eastAsia"/>
          <w:b/>
          <w:kern w:val="0"/>
          <w:sz w:val="28"/>
          <w:szCs w:val="28"/>
        </w:rPr>
        <w:t>关于旗下基金调整长期停牌股票估值方法的提示性公告</w:t>
      </w:r>
    </w:p>
    <w:p w:rsidR="00F06DBA" w:rsidRPr="006B300B" w:rsidRDefault="00F06DBA" w:rsidP="00F06DBA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-Identity-H"/>
          <w:kern w:val="0"/>
          <w:sz w:val="24"/>
          <w:szCs w:val="24"/>
        </w:rPr>
      </w:pPr>
    </w:p>
    <w:p w:rsidR="00F06DBA" w:rsidRPr="006B300B" w:rsidRDefault="003C00DC" w:rsidP="00F06DB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  <w:r>
        <w:rPr>
          <w:rFonts w:ascii="楷体" w:eastAsia="楷体" w:hAnsi="楷体" w:cs="SimSun-Identity-H" w:hint="eastAsia"/>
          <w:kern w:val="0"/>
          <w:sz w:val="24"/>
          <w:szCs w:val="24"/>
        </w:rPr>
        <w:t xml:space="preserve">   </w:t>
      </w:r>
      <w:r w:rsidR="001F73E3" w:rsidRPr="001F73E3">
        <w:rPr>
          <w:rFonts w:ascii="楷体" w:eastAsia="楷体" w:hAnsi="楷体" w:cs="SimSun-Identity-H" w:hint="eastAsia"/>
          <w:kern w:val="0"/>
          <w:sz w:val="24"/>
          <w:szCs w:val="24"/>
        </w:rPr>
        <w:t>根据《中国证券监督管理委员会关于证券投资基金估值业务的指导意见》（证监会公告</w:t>
      </w:r>
      <w:r w:rsidR="00213852">
        <w:rPr>
          <w:rFonts w:ascii="楷体" w:eastAsia="楷体" w:hAnsi="楷体" w:cs="SimSun-Identity-H" w:hint="eastAsia"/>
          <w:kern w:val="0"/>
          <w:sz w:val="24"/>
          <w:szCs w:val="24"/>
        </w:rPr>
        <w:t>[2017]13</w:t>
      </w:r>
      <w:r w:rsidR="001F73E3" w:rsidRPr="001F73E3">
        <w:rPr>
          <w:rFonts w:ascii="楷体" w:eastAsia="楷体" w:hAnsi="楷体" w:cs="SimSun-Identity-H" w:hint="eastAsia"/>
          <w:kern w:val="0"/>
          <w:sz w:val="24"/>
          <w:szCs w:val="24"/>
        </w:rPr>
        <w:t>号）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以及中国证券投资基金业协会《关于发布中基协（AMAC）基金行业股票估值指数的通知》(中基协发</w:t>
      </w:r>
      <w:r w:rsidR="00C000F6" w:rsidRPr="006B300B">
        <w:rPr>
          <w:rFonts w:ascii="楷体" w:eastAsia="楷体" w:hAnsi="楷体" w:cs="SimSun-Identity-H" w:hint="eastAsia"/>
          <w:kern w:val="0"/>
          <w:sz w:val="24"/>
          <w:szCs w:val="24"/>
        </w:rPr>
        <w:t>[2013]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第13号)</w:t>
      </w:r>
      <w:r w:rsidR="00FB4721" w:rsidRPr="006B300B">
        <w:rPr>
          <w:rFonts w:ascii="楷体" w:eastAsia="楷体" w:hAnsi="楷体" w:cs="SimSun-Identity-H" w:hint="eastAsia"/>
          <w:kern w:val="0"/>
          <w:sz w:val="24"/>
          <w:szCs w:val="24"/>
        </w:rPr>
        <w:t>等有关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规定，经</w:t>
      </w:r>
      <w:r w:rsidR="00617D18">
        <w:rPr>
          <w:rFonts w:ascii="楷体" w:eastAsia="楷体" w:hAnsi="楷体" w:cs="SimSun-Identity-H" w:hint="eastAsia"/>
          <w:kern w:val="0"/>
          <w:sz w:val="24"/>
          <w:szCs w:val="24"/>
        </w:rPr>
        <w:t>前海开源基金管理有限公司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（以下简称“本公司”）</w:t>
      </w:r>
      <w:r w:rsidR="00F06DB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与基金托管人协商一致，自</w:t>
      </w:r>
      <w:r w:rsidR="00617D18">
        <w:rPr>
          <w:rFonts w:ascii="楷体" w:eastAsia="楷体" w:hAnsi="楷体" w:cs="SimSun-Identity-H"/>
          <w:kern w:val="0"/>
          <w:sz w:val="24"/>
          <w:szCs w:val="24"/>
        </w:rPr>
        <w:t>2025年10月27日</w:t>
      </w:r>
      <w:r w:rsidR="00F06DB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起，</w:t>
      </w:r>
      <w:r w:rsidR="00291759" w:rsidRPr="006B300B">
        <w:rPr>
          <w:rFonts w:ascii="楷体" w:eastAsia="楷体" w:hAnsi="楷体" w:cs="SimSun-Identity-H" w:hint="eastAsia"/>
          <w:kern w:val="0"/>
          <w:sz w:val="24"/>
          <w:szCs w:val="24"/>
        </w:rPr>
        <w:t>以中基协AMAC</w:t>
      </w:r>
      <w:r w:rsidR="00DE3B62" w:rsidRPr="006B300B">
        <w:rPr>
          <w:rFonts w:ascii="楷体" w:eastAsia="楷体" w:hAnsi="楷体" w:cs="SimSun-Identity-H" w:hint="eastAsia"/>
          <w:kern w:val="0"/>
          <w:sz w:val="24"/>
          <w:szCs w:val="24"/>
        </w:rPr>
        <w:t>行业指数</w:t>
      </w:r>
      <w:r w:rsidR="00291759" w:rsidRPr="006B300B">
        <w:rPr>
          <w:rFonts w:ascii="楷体" w:eastAsia="楷体" w:hAnsi="楷体" w:cs="SimSun-Identity-H" w:hint="eastAsia"/>
          <w:kern w:val="0"/>
          <w:sz w:val="24"/>
          <w:szCs w:val="24"/>
        </w:rPr>
        <w:t>为计算依据，对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本公司</w:t>
      </w:r>
      <w:r w:rsidR="00762F22" w:rsidRPr="006B300B">
        <w:rPr>
          <w:rFonts w:ascii="楷体" w:eastAsia="楷体" w:hAnsi="楷体" w:cs="SimSun-Identity-H" w:hint="eastAsia"/>
          <w:kern w:val="0"/>
          <w:sz w:val="24"/>
          <w:szCs w:val="24"/>
        </w:rPr>
        <w:t>旗下基金</w:t>
      </w:r>
      <w:r w:rsidR="005A3C39">
        <w:rPr>
          <w:rFonts w:ascii="楷体" w:eastAsia="楷体" w:hAnsi="楷体" w:cs="SimSun-Identity-H" w:hint="eastAsia"/>
          <w:kern w:val="0"/>
          <w:sz w:val="24"/>
          <w:szCs w:val="24"/>
        </w:rPr>
        <w:t>（E</w:t>
      </w:r>
      <w:r w:rsidR="005A3C39">
        <w:rPr>
          <w:rFonts w:ascii="楷体" w:eastAsia="楷体" w:hAnsi="楷体" w:cs="SimSun-Identity-H"/>
          <w:kern w:val="0"/>
          <w:sz w:val="24"/>
          <w:szCs w:val="24"/>
        </w:rPr>
        <w:t>TF除外</w:t>
      </w:r>
      <w:r w:rsidR="005A3C39">
        <w:rPr>
          <w:rFonts w:ascii="楷体" w:eastAsia="楷体" w:hAnsi="楷体" w:cs="SimSun-Identity-H" w:hint="eastAsia"/>
          <w:kern w:val="0"/>
          <w:sz w:val="24"/>
          <w:szCs w:val="24"/>
        </w:rPr>
        <w:t>）</w:t>
      </w:r>
      <w:r w:rsidR="00762F22" w:rsidRPr="006B300B">
        <w:rPr>
          <w:rFonts w:ascii="楷体" w:eastAsia="楷体" w:hAnsi="楷体" w:cs="SimSun-Identity-H" w:hint="eastAsia"/>
          <w:kern w:val="0"/>
          <w:sz w:val="24"/>
          <w:szCs w:val="24"/>
        </w:rPr>
        <w:t>所持有的</w:t>
      </w:r>
      <w:r w:rsidR="005A3C39" w:rsidRPr="000B1266">
        <w:rPr>
          <w:rFonts w:ascii="楷体" w:eastAsia="楷体" w:hAnsi="楷体" w:cs="SimSun-Identity-H" w:hint="eastAsia"/>
          <w:kern w:val="0"/>
          <w:sz w:val="24"/>
          <w:szCs w:val="24"/>
        </w:rPr>
        <w:t>“</w:t>
      </w:r>
      <w:r w:rsidR="00617D18">
        <w:rPr>
          <w:rFonts w:ascii="楷体" w:eastAsia="楷体" w:hAnsi="楷体" w:cs="SimSun-Identity-H" w:hint="eastAsia"/>
          <w:bCs/>
          <w:kern w:val="0"/>
          <w:sz w:val="24"/>
          <w:szCs w:val="24"/>
        </w:rPr>
        <w:t>东土科技</w:t>
      </w:r>
      <w:r w:rsidR="005A3C39" w:rsidRPr="000B1266">
        <w:rPr>
          <w:rFonts w:ascii="楷体" w:eastAsia="楷体" w:hAnsi="楷体" w:cs="SimSun-Identity-H" w:hint="eastAsia"/>
          <w:kern w:val="0"/>
          <w:sz w:val="24"/>
          <w:szCs w:val="24"/>
        </w:rPr>
        <w:t>”</w:t>
      </w:r>
      <w:r w:rsidR="00FD616A" w:rsidRPr="00FD616A">
        <w:rPr>
          <w:rFonts w:ascii="楷体" w:eastAsia="楷体" w:hAnsi="楷体" w:cs="SimSun-Identity-H" w:hint="eastAsia"/>
          <w:kern w:val="0"/>
          <w:sz w:val="24"/>
          <w:szCs w:val="24"/>
        </w:rPr>
        <w:t>（证券代码：</w:t>
      </w:r>
      <w:r w:rsidR="00617D18">
        <w:rPr>
          <w:rFonts w:ascii="楷体" w:eastAsia="楷体" w:hAnsi="楷体" w:cs="SimSun-Identity-H"/>
          <w:kern w:val="0"/>
          <w:sz w:val="24"/>
          <w:szCs w:val="24"/>
        </w:rPr>
        <w:t>300353</w:t>
      </w:r>
      <w:r w:rsidR="00FD616A" w:rsidRPr="00FD616A">
        <w:rPr>
          <w:rFonts w:ascii="楷体" w:eastAsia="楷体" w:hAnsi="楷体" w:cs="SimSun-Identity-H" w:hint="eastAsia"/>
          <w:kern w:val="0"/>
          <w:sz w:val="24"/>
          <w:szCs w:val="24"/>
        </w:rPr>
        <w:t>）</w:t>
      </w:r>
      <w:r w:rsidR="00291759" w:rsidRPr="006B300B">
        <w:rPr>
          <w:rFonts w:ascii="楷体" w:eastAsia="楷体" w:hAnsi="楷体" w:cs="SimSun-Identity-H" w:hint="eastAsia"/>
          <w:kern w:val="0"/>
          <w:sz w:val="24"/>
          <w:szCs w:val="24"/>
        </w:rPr>
        <w:t>，</w:t>
      </w:r>
      <w:r w:rsidR="00A307F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采用</w:t>
      </w:r>
      <w:r w:rsidR="00CC732B" w:rsidRPr="006B300B">
        <w:rPr>
          <w:rFonts w:ascii="楷体" w:eastAsia="楷体" w:hAnsi="楷体" w:cs="SimSun-Identity-H"/>
          <w:kern w:val="0"/>
          <w:sz w:val="24"/>
          <w:szCs w:val="24"/>
        </w:rPr>
        <w:t>基金估值工作小组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《</w:t>
      </w:r>
      <w:r w:rsidR="00CC732B" w:rsidRPr="006B300B">
        <w:rPr>
          <w:rFonts w:ascii="楷体" w:eastAsia="楷体" w:hAnsi="楷体" w:cs="SimSun-Identity-H"/>
          <w:kern w:val="0"/>
          <w:sz w:val="24"/>
          <w:szCs w:val="24"/>
        </w:rPr>
        <w:t>关于停牌股票估值的参考方法》中的“指数收益法”进行估值。</w:t>
      </w:r>
    </w:p>
    <w:p w:rsidR="00F06DBA" w:rsidRPr="006B300B" w:rsidRDefault="00F06DBA" w:rsidP="001D7D4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  <w:r w:rsidRPr="006B300B">
        <w:rPr>
          <w:rFonts w:ascii="楷体" w:eastAsia="楷体" w:hAnsi="楷体" w:cs="SimSun-Identity-H" w:hint="eastAsia"/>
          <w:kern w:val="0"/>
          <w:sz w:val="24"/>
          <w:szCs w:val="24"/>
        </w:rPr>
        <w:t>自</w:t>
      </w:r>
      <w:r w:rsidR="00F21192" w:rsidRPr="006B300B">
        <w:rPr>
          <w:rFonts w:ascii="楷体" w:eastAsia="楷体" w:hAnsi="楷体" w:cs="SimSun-Identity-H" w:hint="eastAsia"/>
          <w:kern w:val="0"/>
          <w:sz w:val="24"/>
          <w:szCs w:val="24"/>
        </w:rPr>
        <w:t xml:space="preserve"> </w:t>
      </w:r>
      <w:r w:rsidR="00E66406" w:rsidRPr="006B300B">
        <w:rPr>
          <w:rFonts w:ascii="楷体" w:eastAsia="楷体" w:hAnsi="楷体" w:cs="SimSun-Identity-H" w:hint="eastAsia"/>
          <w:kern w:val="0"/>
          <w:sz w:val="24"/>
          <w:szCs w:val="24"/>
        </w:rPr>
        <w:t>“</w:t>
      </w:r>
      <w:r w:rsidR="00617D18">
        <w:rPr>
          <w:rFonts w:ascii="楷体" w:eastAsia="楷体" w:hAnsi="楷体" w:cs="SimSun-Identity-H" w:hint="eastAsia"/>
          <w:bCs/>
          <w:kern w:val="0"/>
          <w:sz w:val="24"/>
          <w:szCs w:val="24"/>
        </w:rPr>
        <w:t>东土科技</w:t>
      </w:r>
      <w:r w:rsidR="00CC7BBC" w:rsidRPr="006B300B">
        <w:rPr>
          <w:rFonts w:ascii="楷体" w:eastAsia="楷体" w:hAnsi="楷体" w:cs="SimSun-Identity-H" w:hint="eastAsia"/>
          <w:kern w:val="0"/>
          <w:sz w:val="24"/>
          <w:szCs w:val="24"/>
        </w:rPr>
        <w:t>”</w:t>
      </w:r>
      <w:r w:rsidRPr="006B300B">
        <w:rPr>
          <w:rFonts w:ascii="楷体" w:eastAsia="楷体" w:hAnsi="楷体" w:cs="SimSun-Identity-H" w:hint="eastAsia"/>
          <w:kern w:val="0"/>
          <w:sz w:val="24"/>
          <w:szCs w:val="24"/>
        </w:rPr>
        <w:t>复牌且其交易体现了活跃市场交易特征后，</w:t>
      </w:r>
      <w:r w:rsidR="008658DB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恢复采用交易所</w:t>
      </w:r>
      <w:r w:rsidR="000D603F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当日</w:t>
      </w:r>
      <w:r w:rsidR="008658DB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收盘价</w:t>
      </w:r>
      <w:r w:rsidR="008C44B2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进行</w:t>
      </w:r>
      <w:r w:rsidR="008658DB" w:rsidRPr="006B300B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估值</w:t>
      </w:r>
      <w:r w:rsidRPr="006B300B">
        <w:rPr>
          <w:rFonts w:ascii="楷体" w:eastAsia="楷体" w:hAnsi="楷体" w:cs="SimSun-Identity-H" w:hint="eastAsia"/>
          <w:kern w:val="0"/>
          <w:sz w:val="24"/>
          <w:szCs w:val="24"/>
        </w:rPr>
        <w:t>，届时不再另行公告。</w:t>
      </w:r>
      <w:r w:rsidR="001D7D45" w:rsidRPr="006B300B">
        <w:rPr>
          <w:rFonts w:ascii="楷体" w:eastAsia="楷体" w:hAnsi="楷体" w:cs="SimSun-Identity-H" w:hint="eastAsia"/>
          <w:kern w:val="0"/>
          <w:sz w:val="24"/>
          <w:szCs w:val="24"/>
        </w:rPr>
        <w:t>敬请投资者予以关注。</w:t>
      </w:r>
    </w:p>
    <w:p w:rsidR="006B7D79" w:rsidRDefault="00581EEB" w:rsidP="006B7D7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  <w:r w:rsidRPr="006B300B">
        <w:rPr>
          <w:rFonts w:ascii="楷体" w:eastAsia="楷体" w:hAnsi="楷体" w:cs="SimSun-Identity-H" w:hint="eastAsia"/>
          <w:kern w:val="0"/>
          <w:sz w:val="24"/>
          <w:szCs w:val="24"/>
        </w:rPr>
        <w:t>特此公告</w:t>
      </w:r>
      <w:r w:rsidR="00F06DBA" w:rsidRPr="006B300B">
        <w:rPr>
          <w:rFonts w:ascii="楷体" w:eastAsia="楷体" w:hAnsi="楷体" w:cs="SimSun-Identity-H" w:hint="eastAsia"/>
          <w:kern w:val="0"/>
          <w:sz w:val="24"/>
          <w:szCs w:val="24"/>
        </w:rPr>
        <w:t>。</w:t>
      </w:r>
    </w:p>
    <w:p w:rsidR="006B7D79" w:rsidRDefault="006B7D79" w:rsidP="006B7D7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</w:p>
    <w:p w:rsidR="006B7D79" w:rsidRDefault="006B7D79" w:rsidP="006B7D7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</w:p>
    <w:p w:rsidR="00857D9D" w:rsidRPr="006B300B" w:rsidRDefault="00857D9D" w:rsidP="006B7D7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楷体" w:eastAsia="楷体" w:hAnsi="楷体" w:cs="SimSun-Identity-H"/>
          <w:kern w:val="0"/>
          <w:sz w:val="24"/>
          <w:szCs w:val="24"/>
        </w:rPr>
      </w:pPr>
      <w:bookmarkStart w:id="0" w:name="_GoBack"/>
      <w:bookmarkEnd w:id="0"/>
    </w:p>
    <w:p w:rsidR="00F06DBA" w:rsidRPr="006B300B" w:rsidRDefault="00617D18" w:rsidP="00F06DBA">
      <w:pPr>
        <w:autoSpaceDE w:val="0"/>
        <w:autoSpaceDN w:val="0"/>
        <w:adjustRightInd w:val="0"/>
        <w:spacing w:line="360" w:lineRule="auto"/>
        <w:jc w:val="right"/>
        <w:rPr>
          <w:rFonts w:ascii="楷体" w:eastAsia="楷体" w:hAnsi="楷体" w:cs="SimSun-Identity-H"/>
          <w:kern w:val="0"/>
          <w:sz w:val="24"/>
          <w:szCs w:val="24"/>
        </w:rPr>
      </w:pPr>
      <w:r>
        <w:rPr>
          <w:rFonts w:ascii="楷体" w:eastAsia="楷体" w:hAnsi="楷体" w:cs="SimSun-Identity-H" w:hint="eastAsia"/>
          <w:kern w:val="0"/>
          <w:sz w:val="24"/>
          <w:szCs w:val="24"/>
        </w:rPr>
        <w:t>前海开源基金管理有限公司</w:t>
      </w:r>
    </w:p>
    <w:p w:rsidR="00C309F5" w:rsidRPr="003F1AEE" w:rsidRDefault="00617D18" w:rsidP="00F06DBA">
      <w:pPr>
        <w:spacing w:line="360" w:lineRule="auto"/>
        <w:jc w:val="right"/>
        <w:rPr>
          <w:rFonts w:ascii="楷体" w:eastAsia="楷体" w:hAnsi="楷体" w:cs="SimSun-Identity-H"/>
          <w:color w:val="FF0000"/>
          <w:kern w:val="0"/>
          <w:sz w:val="24"/>
          <w:szCs w:val="24"/>
        </w:rPr>
      </w:pPr>
      <w:r>
        <w:rPr>
          <w:rFonts w:ascii="楷体" w:eastAsia="楷体" w:hAnsi="楷体" w:cs="SimSun-Identity-H" w:hint="eastAsia"/>
          <w:kern w:val="0"/>
          <w:sz w:val="24"/>
          <w:szCs w:val="24"/>
        </w:rPr>
        <w:t>2025年10月28日</w:t>
      </w:r>
    </w:p>
    <w:sectPr w:rsidR="00C309F5" w:rsidRPr="003F1AEE" w:rsidSect="004D6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566" w:rsidRDefault="005A0566" w:rsidP="00E21DDC">
      <w:r>
        <w:separator/>
      </w:r>
    </w:p>
  </w:endnote>
  <w:endnote w:type="continuationSeparator" w:id="0">
    <w:p w:rsidR="005A0566" w:rsidRDefault="005A0566" w:rsidP="00E21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-Identity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566" w:rsidRDefault="005A0566" w:rsidP="00E21DDC">
      <w:r>
        <w:separator/>
      </w:r>
    </w:p>
  </w:footnote>
  <w:footnote w:type="continuationSeparator" w:id="0">
    <w:p w:rsidR="005A0566" w:rsidRDefault="005A0566" w:rsidP="00E21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DBA"/>
    <w:rsid w:val="000046A6"/>
    <w:rsid w:val="00010565"/>
    <w:rsid w:val="000308A3"/>
    <w:rsid w:val="00036FF5"/>
    <w:rsid w:val="00057801"/>
    <w:rsid w:val="000757C5"/>
    <w:rsid w:val="00094960"/>
    <w:rsid w:val="000B1266"/>
    <w:rsid w:val="000D603F"/>
    <w:rsid w:val="001006A9"/>
    <w:rsid w:val="00101A34"/>
    <w:rsid w:val="00113220"/>
    <w:rsid w:val="00122895"/>
    <w:rsid w:val="001377C9"/>
    <w:rsid w:val="00144C53"/>
    <w:rsid w:val="0016052D"/>
    <w:rsid w:val="00176A5A"/>
    <w:rsid w:val="0018324B"/>
    <w:rsid w:val="001861DA"/>
    <w:rsid w:val="00191443"/>
    <w:rsid w:val="001A1E75"/>
    <w:rsid w:val="001D7D45"/>
    <w:rsid w:val="001E1DAB"/>
    <w:rsid w:val="001F253B"/>
    <w:rsid w:val="001F54D5"/>
    <w:rsid w:val="001F73E3"/>
    <w:rsid w:val="001F7FB6"/>
    <w:rsid w:val="002059CB"/>
    <w:rsid w:val="00213852"/>
    <w:rsid w:val="00215259"/>
    <w:rsid w:val="00283E05"/>
    <w:rsid w:val="00287362"/>
    <w:rsid w:val="00291759"/>
    <w:rsid w:val="00291BC3"/>
    <w:rsid w:val="002C02E1"/>
    <w:rsid w:val="002D1CAF"/>
    <w:rsid w:val="002F7AAF"/>
    <w:rsid w:val="003048D5"/>
    <w:rsid w:val="00314370"/>
    <w:rsid w:val="00316C50"/>
    <w:rsid w:val="0033015E"/>
    <w:rsid w:val="0033329D"/>
    <w:rsid w:val="003535E2"/>
    <w:rsid w:val="00354285"/>
    <w:rsid w:val="003559AB"/>
    <w:rsid w:val="003569A1"/>
    <w:rsid w:val="00357DA9"/>
    <w:rsid w:val="00360B83"/>
    <w:rsid w:val="00377162"/>
    <w:rsid w:val="003C00DC"/>
    <w:rsid w:val="003C023C"/>
    <w:rsid w:val="003C0681"/>
    <w:rsid w:val="003C1094"/>
    <w:rsid w:val="003E4AEA"/>
    <w:rsid w:val="003F1AEE"/>
    <w:rsid w:val="003F7228"/>
    <w:rsid w:val="0041562B"/>
    <w:rsid w:val="0042216E"/>
    <w:rsid w:val="00457B4A"/>
    <w:rsid w:val="00466869"/>
    <w:rsid w:val="004734D8"/>
    <w:rsid w:val="0047423F"/>
    <w:rsid w:val="0048199F"/>
    <w:rsid w:val="004A08FB"/>
    <w:rsid w:val="004A10AB"/>
    <w:rsid w:val="004A66E8"/>
    <w:rsid w:val="004B3F75"/>
    <w:rsid w:val="004B51D8"/>
    <w:rsid w:val="004D55DE"/>
    <w:rsid w:val="004D622B"/>
    <w:rsid w:val="004E0D7C"/>
    <w:rsid w:val="004F6221"/>
    <w:rsid w:val="00513859"/>
    <w:rsid w:val="00514ACA"/>
    <w:rsid w:val="005407A4"/>
    <w:rsid w:val="005434C1"/>
    <w:rsid w:val="0054765E"/>
    <w:rsid w:val="00555DCB"/>
    <w:rsid w:val="00556AB3"/>
    <w:rsid w:val="00561B74"/>
    <w:rsid w:val="00581EEB"/>
    <w:rsid w:val="0059180B"/>
    <w:rsid w:val="005919F5"/>
    <w:rsid w:val="00592E6F"/>
    <w:rsid w:val="005A0566"/>
    <w:rsid w:val="005A3C39"/>
    <w:rsid w:val="005A639C"/>
    <w:rsid w:val="006051A1"/>
    <w:rsid w:val="00605485"/>
    <w:rsid w:val="00610A50"/>
    <w:rsid w:val="00617700"/>
    <w:rsid w:val="00617D18"/>
    <w:rsid w:val="006316EA"/>
    <w:rsid w:val="00642418"/>
    <w:rsid w:val="006449E5"/>
    <w:rsid w:val="00664431"/>
    <w:rsid w:val="00664464"/>
    <w:rsid w:val="00665CF7"/>
    <w:rsid w:val="0066756E"/>
    <w:rsid w:val="006802C4"/>
    <w:rsid w:val="006A4D57"/>
    <w:rsid w:val="006B050B"/>
    <w:rsid w:val="006B300B"/>
    <w:rsid w:val="006B7D79"/>
    <w:rsid w:val="006D229D"/>
    <w:rsid w:val="006D27D9"/>
    <w:rsid w:val="006D48CF"/>
    <w:rsid w:val="006D5154"/>
    <w:rsid w:val="006D6DF1"/>
    <w:rsid w:val="006E0353"/>
    <w:rsid w:val="006E4CE7"/>
    <w:rsid w:val="006F59AB"/>
    <w:rsid w:val="0071086E"/>
    <w:rsid w:val="00715EE5"/>
    <w:rsid w:val="00732F92"/>
    <w:rsid w:val="007337B7"/>
    <w:rsid w:val="0074164E"/>
    <w:rsid w:val="00753A08"/>
    <w:rsid w:val="00762F22"/>
    <w:rsid w:val="00772FB4"/>
    <w:rsid w:val="00782DF9"/>
    <w:rsid w:val="007B5939"/>
    <w:rsid w:val="007B7F4C"/>
    <w:rsid w:val="007C658A"/>
    <w:rsid w:val="007D405D"/>
    <w:rsid w:val="007D49F5"/>
    <w:rsid w:val="007E090E"/>
    <w:rsid w:val="007F154F"/>
    <w:rsid w:val="00807065"/>
    <w:rsid w:val="00814049"/>
    <w:rsid w:val="00816D81"/>
    <w:rsid w:val="008340DF"/>
    <w:rsid w:val="00843CF5"/>
    <w:rsid w:val="008568EA"/>
    <w:rsid w:val="00857D9D"/>
    <w:rsid w:val="0086168D"/>
    <w:rsid w:val="008658DB"/>
    <w:rsid w:val="00882CE4"/>
    <w:rsid w:val="0088422D"/>
    <w:rsid w:val="008A1798"/>
    <w:rsid w:val="008C40E6"/>
    <w:rsid w:val="008C44B2"/>
    <w:rsid w:val="008C521A"/>
    <w:rsid w:val="008D372E"/>
    <w:rsid w:val="008F0F4F"/>
    <w:rsid w:val="008F237C"/>
    <w:rsid w:val="00904F66"/>
    <w:rsid w:val="00964D75"/>
    <w:rsid w:val="00977544"/>
    <w:rsid w:val="00986880"/>
    <w:rsid w:val="00993746"/>
    <w:rsid w:val="009A1C4D"/>
    <w:rsid w:val="009A23EC"/>
    <w:rsid w:val="009A2C32"/>
    <w:rsid w:val="009A783B"/>
    <w:rsid w:val="009D2222"/>
    <w:rsid w:val="009F0D79"/>
    <w:rsid w:val="009F121D"/>
    <w:rsid w:val="009F6E21"/>
    <w:rsid w:val="00A11A02"/>
    <w:rsid w:val="00A1777F"/>
    <w:rsid w:val="00A307FA"/>
    <w:rsid w:val="00A45C4A"/>
    <w:rsid w:val="00A76DBF"/>
    <w:rsid w:val="00A962EC"/>
    <w:rsid w:val="00AA12D9"/>
    <w:rsid w:val="00AA47AC"/>
    <w:rsid w:val="00AA64A4"/>
    <w:rsid w:val="00AB2A33"/>
    <w:rsid w:val="00AF5E6C"/>
    <w:rsid w:val="00AF6ED0"/>
    <w:rsid w:val="00B072C7"/>
    <w:rsid w:val="00B162EE"/>
    <w:rsid w:val="00B21CD9"/>
    <w:rsid w:val="00B33719"/>
    <w:rsid w:val="00B51078"/>
    <w:rsid w:val="00B6321A"/>
    <w:rsid w:val="00BB4B04"/>
    <w:rsid w:val="00BF278A"/>
    <w:rsid w:val="00BF536D"/>
    <w:rsid w:val="00BF560C"/>
    <w:rsid w:val="00C000F6"/>
    <w:rsid w:val="00C0500C"/>
    <w:rsid w:val="00C05354"/>
    <w:rsid w:val="00C23065"/>
    <w:rsid w:val="00C27F55"/>
    <w:rsid w:val="00C309F5"/>
    <w:rsid w:val="00C559E2"/>
    <w:rsid w:val="00C82B32"/>
    <w:rsid w:val="00CA224A"/>
    <w:rsid w:val="00CA4A8C"/>
    <w:rsid w:val="00CC732B"/>
    <w:rsid w:val="00CC7BBC"/>
    <w:rsid w:val="00CD1F5D"/>
    <w:rsid w:val="00CF3783"/>
    <w:rsid w:val="00D02600"/>
    <w:rsid w:val="00D029FF"/>
    <w:rsid w:val="00D05D6B"/>
    <w:rsid w:val="00D07313"/>
    <w:rsid w:val="00D22971"/>
    <w:rsid w:val="00D24C55"/>
    <w:rsid w:val="00D33EF7"/>
    <w:rsid w:val="00D42B4D"/>
    <w:rsid w:val="00D4700D"/>
    <w:rsid w:val="00D5207A"/>
    <w:rsid w:val="00D75815"/>
    <w:rsid w:val="00D76D2A"/>
    <w:rsid w:val="00D85D80"/>
    <w:rsid w:val="00D86FF4"/>
    <w:rsid w:val="00D94415"/>
    <w:rsid w:val="00DB4E53"/>
    <w:rsid w:val="00DB7693"/>
    <w:rsid w:val="00DC4C2F"/>
    <w:rsid w:val="00DD11B4"/>
    <w:rsid w:val="00DE3B62"/>
    <w:rsid w:val="00E21DDC"/>
    <w:rsid w:val="00E61800"/>
    <w:rsid w:val="00E66406"/>
    <w:rsid w:val="00E81D19"/>
    <w:rsid w:val="00E85C0D"/>
    <w:rsid w:val="00E953D7"/>
    <w:rsid w:val="00EA42CA"/>
    <w:rsid w:val="00EB128E"/>
    <w:rsid w:val="00EB489B"/>
    <w:rsid w:val="00EC7CD7"/>
    <w:rsid w:val="00ED7198"/>
    <w:rsid w:val="00EE14AD"/>
    <w:rsid w:val="00EF2B70"/>
    <w:rsid w:val="00F03989"/>
    <w:rsid w:val="00F06DBA"/>
    <w:rsid w:val="00F121F4"/>
    <w:rsid w:val="00F1361D"/>
    <w:rsid w:val="00F21192"/>
    <w:rsid w:val="00F337F0"/>
    <w:rsid w:val="00F74E5F"/>
    <w:rsid w:val="00F811BC"/>
    <w:rsid w:val="00F9554E"/>
    <w:rsid w:val="00FB4721"/>
    <w:rsid w:val="00FB74C0"/>
    <w:rsid w:val="00FC4286"/>
    <w:rsid w:val="00FD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9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Typewriter"/>
    <w:uiPriority w:val="99"/>
    <w:semiHidden/>
    <w:unhideWhenUsed/>
    <w:rsid w:val="00CC732B"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21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21D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1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21DD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1CD9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B21CD9"/>
    <w:rPr>
      <w:kern w:val="2"/>
      <w:sz w:val="18"/>
      <w:szCs w:val="18"/>
    </w:rPr>
  </w:style>
  <w:style w:type="character" w:styleId="a7">
    <w:name w:val="Strong"/>
    <w:uiPriority w:val="22"/>
    <w:qFormat/>
    <w:rsid w:val="000B12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41CD-AD0A-48A2-A15E-B9F0C66C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4</DocSecurity>
  <Lines>2</Lines>
  <Paragraphs>1</Paragraphs>
  <ScaleCrop>false</ScaleCrop>
  <Company>Lenovo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陈艳</dc:creator>
  <cp:keywords/>
  <cp:lastModifiedBy>ZHONGM</cp:lastModifiedBy>
  <cp:revision>2</cp:revision>
  <cp:lastPrinted>2021-02-18T09:15:00Z</cp:lastPrinted>
  <dcterms:created xsi:type="dcterms:W3CDTF">2025-10-27T16:05:00Z</dcterms:created>
  <dcterms:modified xsi:type="dcterms:W3CDTF">2025-10-27T16:05:00Z</dcterms:modified>
</cp:coreProperties>
</file>