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0D" w:rsidRPr="005F2398" w:rsidRDefault="00CA1D5A" w:rsidP="00BE3484">
      <w:pPr>
        <w:pStyle w:val="Default"/>
        <w:spacing w:beforeLines="50" w:afterLines="50"/>
        <w:jc w:val="center"/>
        <w:rPr>
          <w:rFonts w:ascii="Times New Roman" w:eastAsia="黑体" w:hAnsi="Times New Roman" w:cs="Times New Roman"/>
          <w:b/>
          <w:color w:val="auto"/>
          <w:kern w:val="2"/>
          <w:sz w:val="32"/>
          <w:szCs w:val="32"/>
        </w:rPr>
      </w:pPr>
      <w:r w:rsidRPr="005F2398">
        <w:rPr>
          <w:rFonts w:ascii="Times New Roman" w:eastAsia="黑体" w:hAnsi="Times New Roman" w:cs="Times New Roman" w:hint="eastAsia"/>
          <w:b/>
          <w:color w:val="auto"/>
          <w:kern w:val="2"/>
          <w:sz w:val="32"/>
          <w:szCs w:val="32"/>
        </w:rPr>
        <w:t>宝盈基金管理有限公司关于旗下部分基金非港股通交易日暂停申购、赎回</w:t>
      </w:r>
      <w:r w:rsidR="009E5937" w:rsidRPr="005F2398">
        <w:rPr>
          <w:rFonts w:ascii="Times New Roman" w:eastAsia="黑体" w:hAnsi="Times New Roman" w:cs="Times New Roman" w:hint="eastAsia"/>
          <w:b/>
          <w:color w:val="auto"/>
          <w:kern w:val="2"/>
          <w:sz w:val="32"/>
          <w:szCs w:val="32"/>
        </w:rPr>
        <w:t>、</w:t>
      </w:r>
      <w:r w:rsidR="009E5937" w:rsidRPr="005F2398">
        <w:rPr>
          <w:rFonts w:ascii="Times New Roman" w:eastAsia="黑体" w:hAnsi="Times New Roman" w:cs="Times New Roman" w:hint="eastAsia"/>
          <w:b/>
          <w:sz w:val="32"/>
          <w:szCs w:val="32"/>
        </w:rPr>
        <w:t>定期定额投资及转换业务</w:t>
      </w:r>
      <w:r w:rsidRPr="005F2398">
        <w:rPr>
          <w:rFonts w:ascii="Times New Roman" w:eastAsia="黑体" w:hAnsi="Times New Roman" w:cs="Times New Roman" w:hint="eastAsia"/>
          <w:b/>
          <w:color w:val="auto"/>
          <w:kern w:val="2"/>
          <w:sz w:val="32"/>
          <w:szCs w:val="32"/>
        </w:rPr>
        <w:t>的公告</w:t>
      </w:r>
    </w:p>
    <w:p w:rsidR="00E727A7" w:rsidRPr="009B3F7B" w:rsidRDefault="00BB4C7D" w:rsidP="007F3ACD">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根据</w:t>
      </w:r>
      <w:r w:rsidR="007B5DDB" w:rsidRPr="009B3F7B">
        <w:rPr>
          <w:rFonts w:ascii="Times New Roman" w:hAnsi="Times New Roman" w:cs="Times New Roman"/>
          <w:color w:val="000000" w:themeColor="text1"/>
          <w:sz w:val="24"/>
          <w:szCs w:val="24"/>
        </w:rPr>
        <w:t>宝盈基金管理有限公司</w:t>
      </w:r>
      <w:r w:rsidR="00426343" w:rsidRPr="009B3F7B">
        <w:rPr>
          <w:rFonts w:ascii="Times New Roman" w:hAnsi="Times New Roman" w:cs="Times New Roman"/>
          <w:color w:val="000000" w:themeColor="text1"/>
          <w:sz w:val="24"/>
          <w:szCs w:val="24"/>
        </w:rPr>
        <w:t>（以下简称</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本公司</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w:t>
      </w:r>
      <w:r w:rsidR="007B5DDB" w:rsidRPr="009B3F7B">
        <w:rPr>
          <w:rFonts w:ascii="Times New Roman" w:hAnsi="Times New Roman" w:cs="Times New Roman"/>
          <w:color w:val="000000" w:themeColor="text1"/>
          <w:sz w:val="24"/>
          <w:szCs w:val="24"/>
        </w:rPr>
        <w:t>旗下部分基金的基金合同、招募说明书</w:t>
      </w:r>
      <w:r w:rsidR="0056370D" w:rsidRPr="009B3F7B">
        <w:rPr>
          <w:rFonts w:ascii="Times New Roman" w:hAnsi="Times New Roman" w:cs="Times New Roman"/>
          <w:color w:val="000000" w:themeColor="text1"/>
          <w:sz w:val="24"/>
          <w:szCs w:val="24"/>
        </w:rPr>
        <w:t>中的有关规定：基金</w:t>
      </w:r>
      <w:r w:rsidR="007F3ACD" w:rsidRPr="009B3F7B">
        <w:rPr>
          <w:rFonts w:ascii="Times New Roman" w:hAnsi="Times New Roman" w:cs="Times New Roman"/>
          <w:color w:val="000000" w:themeColor="text1"/>
          <w:sz w:val="24"/>
          <w:szCs w:val="24"/>
        </w:rPr>
        <w:t>申购和赎回的开放日为上海证券交易所、深圳证券交易所的正常交易日</w:t>
      </w:r>
      <w:r w:rsidR="001719E8" w:rsidRPr="009B3F7B">
        <w:rPr>
          <w:rFonts w:ascii="Times New Roman" w:hAnsi="Times New Roman" w:cs="Times New Roman"/>
          <w:color w:val="000000" w:themeColor="text1"/>
          <w:sz w:val="24"/>
          <w:szCs w:val="24"/>
        </w:rPr>
        <w:t>，</w:t>
      </w:r>
      <w:r w:rsidR="00E44AE2" w:rsidRPr="009B3F7B">
        <w:rPr>
          <w:rFonts w:ascii="Times New Roman" w:hAnsi="Times New Roman" w:cs="Times New Roman"/>
          <w:color w:val="000000" w:themeColor="text1"/>
          <w:sz w:val="24"/>
          <w:szCs w:val="24"/>
        </w:rPr>
        <w:t>若</w:t>
      </w:r>
      <w:r w:rsidR="001719E8" w:rsidRPr="009B3F7B">
        <w:rPr>
          <w:rFonts w:ascii="Times New Roman" w:hAnsi="Times New Roman" w:cs="Times New Roman"/>
          <w:color w:val="000000" w:themeColor="text1"/>
          <w:sz w:val="24"/>
          <w:szCs w:val="24"/>
        </w:rPr>
        <w:t>基金参与港股通交易且该工作日为非港股通交易日时，则基</w:t>
      </w:r>
      <w:r w:rsidR="00E44AE2" w:rsidRPr="009B3F7B">
        <w:rPr>
          <w:rFonts w:ascii="Times New Roman" w:hAnsi="Times New Roman" w:cs="Times New Roman"/>
          <w:color w:val="000000" w:themeColor="text1"/>
          <w:sz w:val="24"/>
          <w:szCs w:val="24"/>
        </w:rPr>
        <w:t>金管理人可根据实际情况决定</w:t>
      </w:r>
      <w:r w:rsidR="001719E8" w:rsidRPr="009B3F7B">
        <w:rPr>
          <w:rFonts w:ascii="Times New Roman" w:hAnsi="Times New Roman" w:cs="Times New Roman"/>
          <w:color w:val="000000" w:themeColor="text1"/>
          <w:sz w:val="24"/>
          <w:szCs w:val="24"/>
        </w:rPr>
        <w:t>基金是否开放申购、赎回及转换业务</w:t>
      </w:r>
      <w:r w:rsidR="007F3ACD" w:rsidRPr="009B3F7B">
        <w:rPr>
          <w:rFonts w:ascii="Times New Roman" w:hAnsi="Times New Roman" w:cs="Times New Roman"/>
          <w:color w:val="000000" w:themeColor="text1"/>
          <w:sz w:val="24"/>
          <w:szCs w:val="24"/>
        </w:rPr>
        <w:t>。</w:t>
      </w:r>
    </w:p>
    <w:p w:rsidR="00221B5D" w:rsidRDefault="00221B5D" w:rsidP="00E727A7">
      <w:pPr>
        <w:spacing w:line="360" w:lineRule="auto"/>
        <w:ind w:firstLineChars="200" w:firstLine="480"/>
        <w:rPr>
          <w:rFonts w:ascii="Times New Roman" w:hAnsi="Times New Roman" w:cs="Times New Roman"/>
          <w:color w:val="000000" w:themeColor="text1"/>
          <w:sz w:val="24"/>
          <w:szCs w:val="24"/>
        </w:rPr>
      </w:pPr>
      <w:r w:rsidRPr="00221B5D">
        <w:rPr>
          <w:rFonts w:ascii="Times New Roman" w:hAnsi="Times New Roman" w:cs="Times New Roman" w:hint="eastAsia"/>
          <w:color w:val="000000" w:themeColor="text1"/>
          <w:sz w:val="24"/>
          <w:szCs w:val="24"/>
        </w:rPr>
        <w:t>根据上海证券交易所《关于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年岁末及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年沪港通下港股通交易日安排的通知》及深圳证券交易所《关于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年底及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年深港通下的港股通交易日安排的通知》中有关港股通交易日的安排</w:t>
      </w:r>
      <w:r w:rsidR="00D64D43" w:rsidRPr="009B3F7B">
        <w:rPr>
          <w:rFonts w:ascii="Times New Roman" w:hAnsi="Times New Roman" w:cs="Times New Roman"/>
          <w:color w:val="000000" w:themeColor="text1"/>
          <w:sz w:val="24"/>
          <w:szCs w:val="24"/>
        </w:rPr>
        <w:t>：</w:t>
      </w:r>
      <w:r w:rsidR="00AD6634" w:rsidRPr="00AD6634">
        <w:rPr>
          <w:rFonts w:ascii="Times New Roman" w:hAnsi="Times New Roman" w:cs="Times New Roman" w:hint="eastAsia"/>
          <w:color w:val="000000" w:themeColor="text1"/>
          <w:sz w:val="24"/>
          <w:szCs w:val="24"/>
        </w:rPr>
        <w:t>2025</w:t>
      </w:r>
      <w:r w:rsidR="00AD6634" w:rsidRPr="00AD6634">
        <w:rPr>
          <w:rFonts w:ascii="Times New Roman" w:hAnsi="Times New Roman" w:cs="Times New Roman" w:hint="eastAsia"/>
          <w:color w:val="000000" w:themeColor="text1"/>
          <w:sz w:val="24"/>
          <w:szCs w:val="24"/>
        </w:rPr>
        <w:t>年</w:t>
      </w:r>
      <w:r w:rsidR="00AD6634" w:rsidRPr="00AD6634">
        <w:rPr>
          <w:rFonts w:ascii="Times New Roman" w:hAnsi="Times New Roman" w:cs="Times New Roman" w:hint="eastAsia"/>
          <w:color w:val="000000" w:themeColor="text1"/>
          <w:sz w:val="24"/>
          <w:szCs w:val="24"/>
        </w:rPr>
        <w:t>10</w:t>
      </w:r>
      <w:r w:rsidR="00AD6634" w:rsidRPr="00AD6634">
        <w:rPr>
          <w:rFonts w:ascii="Times New Roman" w:hAnsi="Times New Roman" w:cs="Times New Roman" w:hint="eastAsia"/>
          <w:color w:val="000000" w:themeColor="text1"/>
          <w:sz w:val="24"/>
          <w:szCs w:val="24"/>
        </w:rPr>
        <w:t>月</w:t>
      </w:r>
      <w:r w:rsidR="00AD6634" w:rsidRPr="00AD6634">
        <w:rPr>
          <w:rFonts w:ascii="Times New Roman" w:hAnsi="Times New Roman" w:cs="Times New Roman" w:hint="eastAsia"/>
          <w:color w:val="000000" w:themeColor="text1"/>
          <w:sz w:val="24"/>
          <w:szCs w:val="24"/>
        </w:rPr>
        <w:t>29</w:t>
      </w:r>
      <w:r w:rsidR="00AD6634" w:rsidRPr="00AD6634">
        <w:rPr>
          <w:rFonts w:ascii="Times New Roman" w:hAnsi="Times New Roman" w:cs="Times New Roman" w:hint="eastAsia"/>
          <w:color w:val="000000" w:themeColor="text1"/>
          <w:sz w:val="24"/>
          <w:szCs w:val="24"/>
        </w:rPr>
        <w:t>日</w:t>
      </w:r>
      <w:r w:rsidR="00A275FA" w:rsidRPr="00A275FA">
        <w:rPr>
          <w:rFonts w:ascii="Times New Roman" w:hAnsi="Times New Roman" w:cs="Times New Roman" w:hint="eastAsia"/>
          <w:color w:val="000000" w:themeColor="text1"/>
          <w:sz w:val="24"/>
          <w:szCs w:val="24"/>
        </w:rPr>
        <w:t>（星期</w:t>
      </w:r>
      <w:r w:rsidR="00AD6634">
        <w:rPr>
          <w:rFonts w:ascii="Times New Roman" w:hAnsi="Times New Roman" w:cs="Times New Roman" w:hint="eastAsia"/>
          <w:color w:val="000000" w:themeColor="text1"/>
          <w:sz w:val="24"/>
          <w:szCs w:val="24"/>
        </w:rPr>
        <w:t>三</w:t>
      </w:r>
      <w:r w:rsidR="00A275FA" w:rsidRPr="00A275FA">
        <w:rPr>
          <w:rFonts w:ascii="Times New Roman" w:hAnsi="Times New Roman" w:cs="Times New Roman" w:hint="eastAsia"/>
          <w:color w:val="000000" w:themeColor="text1"/>
          <w:sz w:val="24"/>
          <w:szCs w:val="24"/>
        </w:rPr>
        <w:t>）</w:t>
      </w:r>
      <w:r w:rsidR="00576FE6" w:rsidRPr="00576FE6">
        <w:rPr>
          <w:rFonts w:ascii="Times New Roman" w:hAnsi="Times New Roman" w:cs="Times New Roman" w:hint="eastAsia"/>
          <w:color w:val="000000" w:themeColor="text1"/>
          <w:sz w:val="24"/>
          <w:szCs w:val="24"/>
        </w:rPr>
        <w:t>不提供港股通服务，</w:t>
      </w:r>
      <w:r w:rsidR="00E2402A" w:rsidRPr="00E2402A">
        <w:rPr>
          <w:rFonts w:ascii="Times New Roman" w:hAnsi="Times New Roman" w:cs="Times New Roman" w:hint="eastAsia"/>
          <w:color w:val="000000" w:themeColor="text1"/>
          <w:sz w:val="24"/>
          <w:szCs w:val="24"/>
        </w:rPr>
        <w:t>2025</w:t>
      </w:r>
      <w:r w:rsidR="00E2402A" w:rsidRPr="00E2402A">
        <w:rPr>
          <w:rFonts w:ascii="Times New Roman" w:hAnsi="Times New Roman" w:cs="Times New Roman" w:hint="eastAsia"/>
          <w:color w:val="000000" w:themeColor="text1"/>
          <w:sz w:val="24"/>
          <w:szCs w:val="24"/>
        </w:rPr>
        <w:t>年</w:t>
      </w:r>
      <w:r w:rsidR="00AD6634">
        <w:rPr>
          <w:rFonts w:ascii="Times New Roman" w:hAnsi="Times New Roman" w:cs="Times New Roman"/>
          <w:color w:val="000000" w:themeColor="text1"/>
          <w:sz w:val="24"/>
          <w:szCs w:val="24"/>
        </w:rPr>
        <w:t>10</w:t>
      </w:r>
      <w:r w:rsidR="00A275FA" w:rsidRPr="00A275FA">
        <w:rPr>
          <w:rFonts w:ascii="Times New Roman" w:hAnsi="Times New Roman" w:cs="Times New Roman" w:hint="eastAsia"/>
          <w:color w:val="000000" w:themeColor="text1"/>
          <w:sz w:val="24"/>
          <w:szCs w:val="24"/>
        </w:rPr>
        <w:t>月</w:t>
      </w:r>
      <w:r w:rsidR="00AD6634">
        <w:rPr>
          <w:rFonts w:ascii="Times New Roman" w:hAnsi="Times New Roman" w:cs="Times New Roman"/>
          <w:color w:val="000000" w:themeColor="text1"/>
          <w:sz w:val="24"/>
          <w:szCs w:val="24"/>
        </w:rPr>
        <w:t>30</w:t>
      </w:r>
      <w:r w:rsidR="00A275FA" w:rsidRPr="00A275FA">
        <w:rPr>
          <w:rFonts w:ascii="Times New Roman" w:hAnsi="Times New Roman" w:cs="Times New Roman" w:hint="eastAsia"/>
          <w:color w:val="000000" w:themeColor="text1"/>
          <w:sz w:val="24"/>
          <w:szCs w:val="24"/>
        </w:rPr>
        <w:t>日（星期</w:t>
      </w:r>
      <w:r w:rsidR="00AD6634">
        <w:rPr>
          <w:rFonts w:ascii="Times New Roman" w:hAnsi="Times New Roman" w:cs="Times New Roman" w:hint="eastAsia"/>
          <w:color w:val="000000" w:themeColor="text1"/>
          <w:sz w:val="24"/>
          <w:szCs w:val="24"/>
        </w:rPr>
        <w:t>四</w:t>
      </w:r>
      <w:r w:rsidR="00A275FA" w:rsidRPr="00A275FA">
        <w:rPr>
          <w:rFonts w:ascii="Times New Roman" w:hAnsi="Times New Roman" w:cs="Times New Roman" w:hint="eastAsia"/>
          <w:color w:val="000000" w:themeColor="text1"/>
          <w:sz w:val="24"/>
          <w:szCs w:val="24"/>
        </w:rPr>
        <w:t>）</w:t>
      </w:r>
      <w:r w:rsidR="00576FE6" w:rsidRPr="00576FE6">
        <w:rPr>
          <w:rFonts w:ascii="Times New Roman" w:hAnsi="Times New Roman" w:cs="Times New Roman" w:hint="eastAsia"/>
          <w:color w:val="000000" w:themeColor="text1"/>
          <w:sz w:val="24"/>
          <w:szCs w:val="24"/>
        </w:rPr>
        <w:t>起照常开通港股通服务</w:t>
      </w:r>
      <w:r>
        <w:rPr>
          <w:rFonts w:ascii="Times New Roman" w:hAnsi="Times New Roman" w:cs="Times New Roman" w:hint="eastAsia"/>
          <w:color w:val="000000" w:themeColor="text1"/>
          <w:sz w:val="24"/>
          <w:szCs w:val="24"/>
        </w:rPr>
        <w:t>。</w:t>
      </w:r>
    </w:p>
    <w:p w:rsidR="004829CB" w:rsidRPr="009B3F7B" w:rsidRDefault="00426343" w:rsidP="00E727A7">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为</w:t>
      </w:r>
      <w:r w:rsidR="000E7F7E" w:rsidRPr="009B3F7B">
        <w:rPr>
          <w:rFonts w:ascii="Times New Roman" w:hAnsi="Times New Roman" w:cs="Times New Roman"/>
          <w:color w:val="000000" w:themeColor="text1"/>
          <w:sz w:val="24"/>
          <w:szCs w:val="24"/>
        </w:rPr>
        <w:t>了</w:t>
      </w:r>
      <w:r w:rsidR="00C30E23" w:rsidRPr="009B3F7B">
        <w:rPr>
          <w:rFonts w:ascii="Times New Roman" w:hAnsi="Times New Roman" w:cs="Times New Roman"/>
          <w:color w:val="000000" w:themeColor="text1"/>
          <w:sz w:val="24"/>
          <w:szCs w:val="24"/>
        </w:rPr>
        <w:t>保障基金</w:t>
      </w:r>
      <w:r w:rsidRPr="009B3F7B">
        <w:rPr>
          <w:rFonts w:ascii="Times New Roman" w:hAnsi="Times New Roman" w:cs="Times New Roman"/>
          <w:color w:val="000000" w:themeColor="text1"/>
          <w:sz w:val="24"/>
          <w:szCs w:val="24"/>
        </w:rPr>
        <w:t>的平稳运作，保护持有人利益，本公</w:t>
      </w:r>
      <w:r w:rsidR="00C30E23" w:rsidRPr="009B3F7B">
        <w:rPr>
          <w:rFonts w:ascii="Times New Roman" w:hAnsi="Times New Roman" w:cs="Times New Roman"/>
          <w:color w:val="000000" w:themeColor="text1"/>
          <w:sz w:val="24"/>
          <w:szCs w:val="24"/>
        </w:rPr>
        <w:t>司</w:t>
      </w:r>
      <w:r w:rsidR="00424BFB" w:rsidRPr="009B3F7B">
        <w:rPr>
          <w:rFonts w:ascii="Times New Roman" w:hAnsi="Times New Roman" w:cs="Times New Roman"/>
          <w:color w:val="000000" w:themeColor="text1"/>
          <w:sz w:val="24"/>
          <w:szCs w:val="24"/>
        </w:rPr>
        <w:t>决定下列</w:t>
      </w:r>
      <w:r w:rsidR="00C30E23" w:rsidRPr="009B3F7B">
        <w:rPr>
          <w:rFonts w:ascii="Times New Roman" w:hAnsi="Times New Roman" w:cs="Times New Roman"/>
          <w:color w:val="000000" w:themeColor="text1"/>
          <w:sz w:val="24"/>
          <w:szCs w:val="24"/>
        </w:rPr>
        <w:t>基金</w:t>
      </w:r>
      <w:r w:rsidR="001907B0" w:rsidRPr="009B3F7B">
        <w:rPr>
          <w:rFonts w:ascii="Times New Roman" w:hAnsi="Times New Roman" w:cs="Times New Roman"/>
          <w:color w:val="000000" w:themeColor="text1"/>
          <w:sz w:val="24"/>
          <w:szCs w:val="24"/>
        </w:rPr>
        <w:t>将在</w:t>
      </w:r>
      <w:r w:rsidR="00AD6634" w:rsidRPr="00AD6634">
        <w:rPr>
          <w:rFonts w:ascii="Times New Roman" w:hAnsi="Times New Roman" w:cs="Times New Roman" w:hint="eastAsia"/>
          <w:color w:val="000000" w:themeColor="text1"/>
          <w:sz w:val="24"/>
          <w:szCs w:val="24"/>
        </w:rPr>
        <w:t>2025</w:t>
      </w:r>
      <w:r w:rsidR="00AD6634" w:rsidRPr="00AD6634">
        <w:rPr>
          <w:rFonts w:ascii="Times New Roman" w:hAnsi="Times New Roman" w:cs="Times New Roman" w:hint="eastAsia"/>
          <w:color w:val="000000" w:themeColor="text1"/>
          <w:sz w:val="24"/>
          <w:szCs w:val="24"/>
        </w:rPr>
        <w:t>年</w:t>
      </w:r>
      <w:r w:rsidR="00AD6634" w:rsidRPr="00AD6634">
        <w:rPr>
          <w:rFonts w:ascii="Times New Roman" w:hAnsi="Times New Roman" w:cs="Times New Roman" w:hint="eastAsia"/>
          <w:color w:val="000000" w:themeColor="text1"/>
          <w:sz w:val="24"/>
          <w:szCs w:val="24"/>
        </w:rPr>
        <w:t>10</w:t>
      </w:r>
      <w:r w:rsidR="00AD6634" w:rsidRPr="00AD6634">
        <w:rPr>
          <w:rFonts w:ascii="Times New Roman" w:hAnsi="Times New Roman" w:cs="Times New Roman" w:hint="eastAsia"/>
          <w:color w:val="000000" w:themeColor="text1"/>
          <w:sz w:val="24"/>
          <w:szCs w:val="24"/>
        </w:rPr>
        <w:t>月</w:t>
      </w:r>
      <w:r w:rsidR="00AD6634" w:rsidRPr="00AD6634">
        <w:rPr>
          <w:rFonts w:ascii="Times New Roman" w:hAnsi="Times New Roman" w:cs="Times New Roman" w:hint="eastAsia"/>
          <w:color w:val="000000" w:themeColor="text1"/>
          <w:sz w:val="24"/>
          <w:szCs w:val="24"/>
        </w:rPr>
        <w:t>29</w:t>
      </w:r>
      <w:r w:rsidR="00AD6634" w:rsidRPr="00AD6634">
        <w:rPr>
          <w:rFonts w:ascii="Times New Roman" w:hAnsi="Times New Roman" w:cs="Times New Roman" w:hint="eastAsia"/>
          <w:color w:val="000000" w:themeColor="text1"/>
          <w:sz w:val="24"/>
          <w:szCs w:val="24"/>
        </w:rPr>
        <w:t>日暂停办理申购、赎回、转换和定投等业务，并自</w:t>
      </w:r>
      <w:r w:rsidR="00AD6634" w:rsidRPr="00AD6634">
        <w:rPr>
          <w:rFonts w:ascii="Times New Roman" w:hAnsi="Times New Roman" w:cs="Times New Roman" w:hint="eastAsia"/>
          <w:color w:val="000000" w:themeColor="text1"/>
          <w:sz w:val="24"/>
          <w:szCs w:val="24"/>
        </w:rPr>
        <w:t>2025</w:t>
      </w:r>
      <w:r w:rsidR="00AD6634" w:rsidRPr="00AD6634">
        <w:rPr>
          <w:rFonts w:ascii="Times New Roman" w:hAnsi="Times New Roman" w:cs="Times New Roman" w:hint="eastAsia"/>
          <w:color w:val="000000" w:themeColor="text1"/>
          <w:sz w:val="24"/>
          <w:szCs w:val="24"/>
        </w:rPr>
        <w:t>年</w:t>
      </w:r>
      <w:r w:rsidR="00AD6634">
        <w:rPr>
          <w:rFonts w:ascii="Times New Roman" w:hAnsi="Times New Roman" w:cs="Times New Roman" w:hint="eastAsia"/>
          <w:color w:val="000000" w:themeColor="text1"/>
          <w:sz w:val="24"/>
          <w:szCs w:val="24"/>
        </w:rPr>
        <w:t>10</w:t>
      </w:r>
      <w:r w:rsidR="00AD6634" w:rsidRPr="00AD6634">
        <w:rPr>
          <w:rFonts w:ascii="Times New Roman" w:hAnsi="Times New Roman" w:cs="Times New Roman" w:hint="eastAsia"/>
          <w:color w:val="000000" w:themeColor="text1"/>
          <w:sz w:val="24"/>
          <w:szCs w:val="24"/>
        </w:rPr>
        <w:t>月</w:t>
      </w:r>
      <w:r w:rsidR="00AD6634">
        <w:rPr>
          <w:rFonts w:ascii="Times New Roman" w:hAnsi="Times New Roman" w:cs="Times New Roman" w:hint="eastAsia"/>
          <w:color w:val="000000" w:themeColor="text1"/>
          <w:sz w:val="24"/>
          <w:szCs w:val="24"/>
        </w:rPr>
        <w:t>30</w:t>
      </w:r>
      <w:r w:rsidR="00AD6634" w:rsidRPr="00AD6634">
        <w:rPr>
          <w:rFonts w:ascii="Times New Roman" w:hAnsi="Times New Roman" w:cs="Times New Roman" w:hint="eastAsia"/>
          <w:color w:val="000000" w:themeColor="text1"/>
          <w:sz w:val="24"/>
          <w:szCs w:val="24"/>
        </w:rPr>
        <w:t>日起恢复办理相关基金的上述业务</w:t>
      </w:r>
      <w:r w:rsidR="001907B0" w:rsidRPr="009B3F7B">
        <w:rPr>
          <w:rFonts w:ascii="Times New Roman" w:hAnsi="Times New Roman" w:cs="Times New Roman"/>
          <w:color w:val="000000" w:themeColor="text1"/>
          <w:sz w:val="24"/>
          <w:szCs w:val="24"/>
        </w:rPr>
        <w:t>，届时不再另行公告。</w:t>
      </w:r>
      <w:r w:rsidR="00347063" w:rsidRPr="009B3F7B">
        <w:rPr>
          <w:rFonts w:ascii="Times New Roman" w:hAnsi="Times New Roman" w:cs="Times New Roman"/>
          <w:color w:val="000000" w:themeColor="text1"/>
          <w:sz w:val="24"/>
          <w:szCs w:val="24"/>
        </w:rPr>
        <w:t>敬请投资人提前做好交易安排，避免因假期原因，带来不便。</w:t>
      </w:r>
    </w:p>
    <w:p w:rsidR="00AE0ED2" w:rsidRDefault="004829CB" w:rsidP="0082408D">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适用基金</w:t>
      </w:r>
      <w:r w:rsidR="007F572C" w:rsidRPr="009B3F7B">
        <w:rPr>
          <w:rFonts w:ascii="Times New Roman" w:hAnsi="Times New Roman" w:cs="Times New Roman"/>
          <w:color w:val="000000" w:themeColor="text1"/>
          <w:sz w:val="24"/>
          <w:szCs w:val="24"/>
        </w:rPr>
        <w:t>列表</w:t>
      </w:r>
      <w:r w:rsidRPr="009B3F7B">
        <w:rPr>
          <w:rFonts w:ascii="Times New Roman" w:hAnsi="Times New Roman" w:cs="Times New Roman"/>
          <w:color w:val="000000" w:themeColor="text1"/>
          <w:sz w:val="24"/>
          <w:szCs w:val="24"/>
        </w:rPr>
        <w:t>如下：</w:t>
      </w:r>
    </w:p>
    <w:tbl>
      <w:tblPr>
        <w:tblW w:w="5000" w:type="pct"/>
        <w:tblLook w:val="04A0"/>
      </w:tblPr>
      <w:tblGrid>
        <w:gridCol w:w="733"/>
        <w:gridCol w:w="3879"/>
        <w:gridCol w:w="2804"/>
        <w:gridCol w:w="1106"/>
      </w:tblGrid>
      <w:tr w:rsidR="0082408D" w:rsidRPr="00AE0ED2" w:rsidTr="0082408D">
        <w:trPr>
          <w:trHeight w:val="4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序号</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基金全称</w:t>
            </w:r>
          </w:p>
        </w:tc>
        <w:tc>
          <w:tcPr>
            <w:tcW w:w="1645" w:type="pct"/>
            <w:tcBorders>
              <w:top w:val="single" w:sz="4" w:space="0" w:color="auto"/>
              <w:left w:val="nil"/>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基金简称</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基金代码</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1</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008303</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008304</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2</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006675</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006676</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3</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013859</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013860</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4</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017230</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017231</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5</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009223</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009224</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6</w:t>
            </w:r>
          </w:p>
        </w:tc>
        <w:tc>
          <w:tcPr>
            <w:tcW w:w="22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宝盈研究精选混合型证券投资基金</w:t>
            </w: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008227</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008228</w:t>
            </w:r>
          </w:p>
        </w:tc>
        <w:bookmarkStart w:id="0" w:name="_GoBack"/>
        <w:bookmarkEnd w:id="0"/>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7</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宝盈成长精选混合型证券投资基金</w:t>
            </w: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013895</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013896</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8</w:t>
            </w:r>
          </w:p>
        </w:tc>
        <w:tc>
          <w:tcPr>
            <w:tcW w:w="22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宝盈基础产业混合型证券投资基金</w:t>
            </w: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宝盈基础产业混合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010383</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宝盈基础产业混合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010384</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9</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宝盈创新驱动股票型证券投资基金</w:t>
            </w: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宝盈创新驱动股票</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009491</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宝盈创新驱动股票</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009492</w:t>
            </w:r>
          </w:p>
        </w:tc>
      </w:tr>
      <w:tr w:rsidR="0082408D" w:rsidRPr="00AE0ED2" w:rsidTr="0082408D">
        <w:trPr>
          <w:trHeight w:val="27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lastRenderedPageBreak/>
              <w:t>10</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宝盈创新医疗混合型发起式证券投资基金</w:t>
            </w: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宝盈创新医疗混合发起式</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023393</w:t>
            </w:r>
          </w:p>
        </w:tc>
      </w:tr>
      <w:tr w:rsidR="0082408D" w:rsidRPr="00AE0ED2" w:rsidTr="0082408D">
        <w:trPr>
          <w:trHeight w:val="270"/>
        </w:trPr>
        <w:tc>
          <w:tcPr>
            <w:tcW w:w="430"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AE0ED2" w:rsidRPr="00AE0ED2" w:rsidRDefault="00AE0ED2" w:rsidP="0082408D">
            <w:pPr>
              <w:widowControl/>
              <w:jc w:val="center"/>
              <w:rPr>
                <w:rFonts w:ascii="宋体" w:eastAsia="宋体" w:hAnsi="宋体" w:cs="宋体"/>
                <w:color w:val="000000"/>
                <w:kern w:val="0"/>
                <w:szCs w:val="21"/>
              </w:rPr>
            </w:pPr>
          </w:p>
        </w:tc>
        <w:tc>
          <w:tcPr>
            <w:tcW w:w="1645"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宝盈创新医疗混合发起式</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AE0ED2" w:rsidRPr="00AE0ED2" w:rsidRDefault="00AE0ED2" w:rsidP="0082408D">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023394</w:t>
            </w:r>
          </w:p>
        </w:tc>
      </w:tr>
    </w:tbl>
    <w:p w:rsidR="006B6A32" w:rsidRPr="009B3F7B" w:rsidRDefault="006B6A32" w:rsidP="00BE3484">
      <w:pPr>
        <w:spacing w:beforeLines="50"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其他需要提示的事项如下：</w:t>
      </w:r>
    </w:p>
    <w:p w:rsidR="00107EA7" w:rsidRPr="009B3F7B" w:rsidRDefault="00AA4545" w:rsidP="006B6A3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1</w:t>
      </w:r>
      <w:r w:rsidR="00A4198B" w:rsidRPr="009B3F7B">
        <w:rPr>
          <w:rFonts w:ascii="Times New Roman" w:hAnsi="Times New Roman" w:cs="Times New Roman"/>
          <w:sz w:val="24"/>
          <w:szCs w:val="24"/>
        </w:rPr>
        <w:t>、</w:t>
      </w:r>
      <w:r w:rsidR="00107EA7" w:rsidRPr="009B3F7B">
        <w:rPr>
          <w:rFonts w:ascii="Times New Roman" w:hAnsi="Times New Roman" w:cs="Times New Roman"/>
          <w:sz w:val="24"/>
          <w:szCs w:val="24"/>
        </w:rPr>
        <w:t>如有疑问，请拨打宝盈基金管理有限公司客户服务热线：</w:t>
      </w:r>
      <w:r w:rsidR="00107EA7" w:rsidRPr="009B3F7B">
        <w:rPr>
          <w:rFonts w:ascii="Times New Roman" w:hAnsi="Times New Roman" w:cs="Times New Roman"/>
          <w:sz w:val="24"/>
          <w:szCs w:val="24"/>
        </w:rPr>
        <w:t>400-8888-300</w:t>
      </w:r>
      <w:r w:rsidR="00107EA7" w:rsidRPr="009B3F7B">
        <w:rPr>
          <w:rFonts w:ascii="Times New Roman" w:hAnsi="Times New Roman" w:cs="Times New Roman"/>
          <w:sz w:val="24"/>
          <w:szCs w:val="24"/>
        </w:rPr>
        <w:t>（免长途话费），或登录宝盈基金管理有限公司网站</w:t>
      </w:r>
      <w:r w:rsidR="00107EA7" w:rsidRPr="009B3F7B">
        <w:rPr>
          <w:rFonts w:ascii="Times New Roman" w:hAnsi="Times New Roman" w:cs="Times New Roman"/>
          <w:sz w:val="24"/>
          <w:szCs w:val="24"/>
        </w:rPr>
        <w:t>www.byfunds.com</w:t>
      </w:r>
      <w:r w:rsidR="00107EA7" w:rsidRPr="009B3F7B">
        <w:rPr>
          <w:rFonts w:ascii="Times New Roman" w:hAnsi="Times New Roman" w:cs="Times New Roman"/>
          <w:sz w:val="24"/>
          <w:szCs w:val="24"/>
        </w:rPr>
        <w:t>获取相关信息。</w:t>
      </w:r>
    </w:p>
    <w:p w:rsidR="00487EB2" w:rsidRPr="009B3F7B" w:rsidRDefault="00AA4545" w:rsidP="00487EB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2</w:t>
      </w:r>
      <w:r w:rsidR="00426343" w:rsidRPr="009B3F7B">
        <w:rPr>
          <w:rFonts w:ascii="Times New Roman" w:hAnsi="Times New Roman" w:cs="Times New Roman"/>
          <w:sz w:val="24"/>
          <w:szCs w:val="24"/>
        </w:rPr>
        <w:t>、</w:t>
      </w:r>
      <w:r w:rsidR="00487EB2" w:rsidRPr="009B3F7B">
        <w:rPr>
          <w:rFonts w:ascii="Times New Roman" w:hAnsi="Times New Roman" w:cs="Times New Roman"/>
          <w:sz w:val="24"/>
          <w:szCs w:val="24"/>
        </w:rPr>
        <w:t>本公告主要为</w:t>
      </w:r>
      <w:r w:rsidR="00C85777" w:rsidRPr="009B3F7B">
        <w:rPr>
          <w:rFonts w:ascii="Times New Roman" w:hAnsi="Times New Roman" w:cs="Times New Roman"/>
          <w:sz w:val="24"/>
          <w:szCs w:val="24"/>
        </w:rPr>
        <w:t>相关</w:t>
      </w:r>
      <w:r w:rsidR="00487EB2" w:rsidRPr="009B3F7B">
        <w:rPr>
          <w:rFonts w:ascii="Times New Roman" w:hAnsi="Times New Roman" w:cs="Times New Roman"/>
          <w:sz w:val="24"/>
          <w:szCs w:val="24"/>
        </w:rPr>
        <w:t>基金因港股通非交易日、境外主要投资市场节假日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107EA7" w:rsidRPr="009B3F7B" w:rsidRDefault="00487EB2" w:rsidP="00107EA7">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3</w:t>
      </w:r>
      <w:r w:rsidRPr="009B3F7B">
        <w:rPr>
          <w:rFonts w:ascii="Times New Roman" w:hAnsi="Times New Roman" w:cs="Times New Roman"/>
          <w:sz w:val="24"/>
          <w:szCs w:val="24"/>
        </w:rPr>
        <w:t>、</w:t>
      </w:r>
      <w:r w:rsidR="00107EA7" w:rsidRPr="009B3F7B">
        <w:rPr>
          <w:rFonts w:ascii="Times New Roman" w:hAnsi="Times New Roman" w:cs="Times New Roman"/>
          <w:sz w:val="24"/>
          <w:szCs w:val="24"/>
        </w:rPr>
        <w:t>风险提示：</w:t>
      </w:r>
      <w:r w:rsidR="00A15333" w:rsidRPr="009B3F7B">
        <w:rPr>
          <w:rFonts w:ascii="Times New Roman" w:hAnsi="Times New Roman" w:cs="Times New Roman"/>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相关基金的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26343" w:rsidRPr="009B3F7B" w:rsidRDefault="00426343" w:rsidP="00107EA7">
      <w:pPr>
        <w:spacing w:line="360" w:lineRule="auto"/>
        <w:ind w:firstLineChars="200" w:firstLine="480"/>
        <w:jc w:val="left"/>
        <w:rPr>
          <w:rFonts w:ascii="Times New Roman" w:hAnsi="Times New Roman" w:cs="Times New Roman"/>
          <w:sz w:val="24"/>
          <w:szCs w:val="24"/>
        </w:rPr>
      </w:pPr>
    </w:p>
    <w:p w:rsidR="00107EA7" w:rsidRPr="009B3F7B" w:rsidRDefault="00107EA7" w:rsidP="00107EA7">
      <w:pPr>
        <w:spacing w:line="360" w:lineRule="auto"/>
        <w:jc w:val="right"/>
        <w:rPr>
          <w:rFonts w:ascii="Times New Roman" w:hAnsi="Times New Roman" w:cs="Times New Roman"/>
          <w:sz w:val="24"/>
          <w:szCs w:val="24"/>
        </w:rPr>
      </w:pPr>
      <w:r w:rsidRPr="009B3F7B">
        <w:rPr>
          <w:rFonts w:ascii="Times New Roman" w:hAnsi="Times New Roman" w:cs="Times New Roman"/>
          <w:sz w:val="24"/>
          <w:szCs w:val="24"/>
        </w:rPr>
        <w:t>宝盈基金管理有限公司</w:t>
      </w:r>
    </w:p>
    <w:p w:rsidR="00107EA7" w:rsidRPr="009B3F7B" w:rsidRDefault="00E2402A" w:rsidP="00107EA7">
      <w:pPr>
        <w:spacing w:line="360" w:lineRule="auto"/>
        <w:jc w:val="righ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年</w:t>
      </w:r>
      <w:r w:rsidR="00DD349B">
        <w:rPr>
          <w:rFonts w:ascii="Times New Roman" w:hAnsi="Times New Roman" w:cs="Times New Roman"/>
          <w:sz w:val="24"/>
          <w:szCs w:val="24"/>
        </w:rPr>
        <w:t>10</w:t>
      </w:r>
      <w:r>
        <w:rPr>
          <w:rFonts w:ascii="Times New Roman" w:hAnsi="Times New Roman" w:cs="Times New Roman"/>
          <w:sz w:val="24"/>
          <w:szCs w:val="24"/>
        </w:rPr>
        <w:t>月</w:t>
      </w:r>
      <w:r w:rsidR="00DD349B">
        <w:rPr>
          <w:rFonts w:ascii="Times New Roman" w:hAnsi="Times New Roman" w:cs="Times New Roman"/>
          <w:sz w:val="24"/>
          <w:szCs w:val="24"/>
        </w:rPr>
        <w:t>28</w:t>
      </w:r>
      <w:r>
        <w:rPr>
          <w:rFonts w:ascii="Times New Roman" w:hAnsi="Times New Roman" w:cs="Times New Roman"/>
          <w:sz w:val="24"/>
          <w:szCs w:val="24"/>
        </w:rPr>
        <w:t>日</w:t>
      </w:r>
      <w:r w:rsidR="00107EA7" w:rsidRPr="009B3F7B">
        <w:rPr>
          <w:rFonts w:ascii="Times New Roman" w:hAnsi="Times New Roman" w:cs="Times New Roman"/>
          <w:sz w:val="24"/>
          <w:szCs w:val="24"/>
        </w:rPr>
        <w:t xml:space="preserve"> </w:t>
      </w:r>
    </w:p>
    <w:p w:rsidR="00953940" w:rsidRPr="009B3F7B" w:rsidRDefault="00953940" w:rsidP="006733EA">
      <w:pPr>
        <w:spacing w:line="360" w:lineRule="auto"/>
        <w:ind w:firstLineChars="200" w:firstLine="480"/>
        <w:rPr>
          <w:rFonts w:ascii="Times New Roman" w:hAnsi="Times New Roman" w:cs="Times New Roman"/>
          <w:color w:val="000000" w:themeColor="text1"/>
          <w:sz w:val="24"/>
          <w:szCs w:val="24"/>
        </w:rPr>
      </w:pPr>
    </w:p>
    <w:sectPr w:rsidR="00953940" w:rsidRPr="009B3F7B" w:rsidSect="00134F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C3" w:rsidRDefault="009E7CC3" w:rsidP="009E5937">
      <w:r>
        <w:separator/>
      </w:r>
    </w:p>
  </w:endnote>
  <w:endnote w:type="continuationSeparator" w:id="0">
    <w:p w:rsidR="009E7CC3" w:rsidRDefault="009E7CC3" w:rsidP="009E5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C3" w:rsidRDefault="009E7CC3" w:rsidP="009E5937">
      <w:r>
        <w:separator/>
      </w:r>
    </w:p>
  </w:footnote>
  <w:footnote w:type="continuationSeparator" w:id="0">
    <w:p w:rsidR="009E7CC3" w:rsidRDefault="009E7CC3" w:rsidP="009E5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92A"/>
    <w:rsid w:val="000770AD"/>
    <w:rsid w:val="00081E51"/>
    <w:rsid w:val="0009225E"/>
    <w:rsid w:val="000A6192"/>
    <w:rsid w:val="000B3930"/>
    <w:rsid w:val="000E7F7E"/>
    <w:rsid w:val="000F5457"/>
    <w:rsid w:val="00107EA7"/>
    <w:rsid w:val="00125814"/>
    <w:rsid w:val="00134FB0"/>
    <w:rsid w:val="001719E8"/>
    <w:rsid w:val="001907B0"/>
    <w:rsid w:val="001A610B"/>
    <w:rsid w:val="001A7E6C"/>
    <w:rsid w:val="001F5DE0"/>
    <w:rsid w:val="00202E19"/>
    <w:rsid w:val="00221B5D"/>
    <w:rsid w:val="00233BFD"/>
    <w:rsid w:val="00260797"/>
    <w:rsid w:val="00296A6A"/>
    <w:rsid w:val="00297BF5"/>
    <w:rsid w:val="002B4DA7"/>
    <w:rsid w:val="00307AF9"/>
    <w:rsid w:val="00337007"/>
    <w:rsid w:val="00347063"/>
    <w:rsid w:val="0037682D"/>
    <w:rsid w:val="00387B40"/>
    <w:rsid w:val="003A0326"/>
    <w:rsid w:val="003B2E34"/>
    <w:rsid w:val="003C60ED"/>
    <w:rsid w:val="00410213"/>
    <w:rsid w:val="00424BFB"/>
    <w:rsid w:val="00426343"/>
    <w:rsid w:val="0043389C"/>
    <w:rsid w:val="00434969"/>
    <w:rsid w:val="0044020A"/>
    <w:rsid w:val="00440DD2"/>
    <w:rsid w:val="0045389E"/>
    <w:rsid w:val="0047617F"/>
    <w:rsid w:val="0048242E"/>
    <w:rsid w:val="004829CB"/>
    <w:rsid w:val="00487EB2"/>
    <w:rsid w:val="004978C7"/>
    <w:rsid w:val="00514667"/>
    <w:rsid w:val="00514F7C"/>
    <w:rsid w:val="00515DB8"/>
    <w:rsid w:val="00516F53"/>
    <w:rsid w:val="005211DD"/>
    <w:rsid w:val="00527BAF"/>
    <w:rsid w:val="00540013"/>
    <w:rsid w:val="005408BE"/>
    <w:rsid w:val="005627C2"/>
    <w:rsid w:val="0056370D"/>
    <w:rsid w:val="00576FE6"/>
    <w:rsid w:val="005B6948"/>
    <w:rsid w:val="005F2398"/>
    <w:rsid w:val="00627AAF"/>
    <w:rsid w:val="006733EA"/>
    <w:rsid w:val="00683935"/>
    <w:rsid w:val="006B19AF"/>
    <w:rsid w:val="006B2041"/>
    <w:rsid w:val="006B6A32"/>
    <w:rsid w:val="00716337"/>
    <w:rsid w:val="00720D78"/>
    <w:rsid w:val="007216BF"/>
    <w:rsid w:val="00781DC1"/>
    <w:rsid w:val="00792384"/>
    <w:rsid w:val="007928F8"/>
    <w:rsid w:val="007B1996"/>
    <w:rsid w:val="007B5DDB"/>
    <w:rsid w:val="007F3ACD"/>
    <w:rsid w:val="007F572C"/>
    <w:rsid w:val="0082408D"/>
    <w:rsid w:val="00846604"/>
    <w:rsid w:val="008A1659"/>
    <w:rsid w:val="008B4072"/>
    <w:rsid w:val="008B7C06"/>
    <w:rsid w:val="008F66F8"/>
    <w:rsid w:val="00953940"/>
    <w:rsid w:val="0095630F"/>
    <w:rsid w:val="00974C5B"/>
    <w:rsid w:val="009779AA"/>
    <w:rsid w:val="00990B05"/>
    <w:rsid w:val="009B3F7B"/>
    <w:rsid w:val="009B753A"/>
    <w:rsid w:val="009D1635"/>
    <w:rsid w:val="009E5937"/>
    <w:rsid w:val="009E68F4"/>
    <w:rsid w:val="009E7CC3"/>
    <w:rsid w:val="009F5A1C"/>
    <w:rsid w:val="00A15333"/>
    <w:rsid w:val="00A275FA"/>
    <w:rsid w:val="00A4198B"/>
    <w:rsid w:val="00A52F76"/>
    <w:rsid w:val="00A6058A"/>
    <w:rsid w:val="00A66A42"/>
    <w:rsid w:val="00A872FC"/>
    <w:rsid w:val="00AA4545"/>
    <w:rsid w:val="00AD33CC"/>
    <w:rsid w:val="00AD6634"/>
    <w:rsid w:val="00AE006F"/>
    <w:rsid w:val="00AE0ED2"/>
    <w:rsid w:val="00B74A92"/>
    <w:rsid w:val="00BB4C7D"/>
    <w:rsid w:val="00BE3484"/>
    <w:rsid w:val="00C01544"/>
    <w:rsid w:val="00C30E23"/>
    <w:rsid w:val="00C85777"/>
    <w:rsid w:val="00CA1D5A"/>
    <w:rsid w:val="00CA4A97"/>
    <w:rsid w:val="00CC5BBC"/>
    <w:rsid w:val="00CD4CB1"/>
    <w:rsid w:val="00CD6F1A"/>
    <w:rsid w:val="00CE320B"/>
    <w:rsid w:val="00D060E1"/>
    <w:rsid w:val="00D64D43"/>
    <w:rsid w:val="00D86815"/>
    <w:rsid w:val="00D92647"/>
    <w:rsid w:val="00DD349B"/>
    <w:rsid w:val="00DF0B8A"/>
    <w:rsid w:val="00E1130F"/>
    <w:rsid w:val="00E2402A"/>
    <w:rsid w:val="00E44ADC"/>
    <w:rsid w:val="00E44AE2"/>
    <w:rsid w:val="00E65259"/>
    <w:rsid w:val="00E727A7"/>
    <w:rsid w:val="00E8392A"/>
    <w:rsid w:val="00EB512C"/>
    <w:rsid w:val="00F55C54"/>
    <w:rsid w:val="00F61E28"/>
    <w:rsid w:val="00FC1160"/>
    <w:rsid w:val="00FD1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370D"/>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30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E5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5937"/>
    <w:rPr>
      <w:sz w:val="18"/>
      <w:szCs w:val="18"/>
    </w:rPr>
  </w:style>
  <w:style w:type="paragraph" w:styleId="a5">
    <w:name w:val="footer"/>
    <w:basedOn w:val="a"/>
    <w:link w:val="Char0"/>
    <w:uiPriority w:val="99"/>
    <w:unhideWhenUsed/>
    <w:rsid w:val="009E5937"/>
    <w:pPr>
      <w:tabs>
        <w:tab w:val="center" w:pos="4153"/>
        <w:tab w:val="right" w:pos="8306"/>
      </w:tabs>
      <w:snapToGrid w:val="0"/>
      <w:jc w:val="left"/>
    </w:pPr>
    <w:rPr>
      <w:sz w:val="18"/>
      <w:szCs w:val="18"/>
    </w:rPr>
  </w:style>
  <w:style w:type="character" w:customStyle="1" w:styleId="Char0">
    <w:name w:val="页脚 Char"/>
    <w:basedOn w:val="a0"/>
    <w:link w:val="a5"/>
    <w:uiPriority w:val="99"/>
    <w:rsid w:val="009E5937"/>
    <w:rPr>
      <w:sz w:val="18"/>
      <w:szCs w:val="18"/>
    </w:rPr>
  </w:style>
  <w:style w:type="paragraph" w:styleId="a6">
    <w:name w:val="Balloon Text"/>
    <w:basedOn w:val="a"/>
    <w:link w:val="Char1"/>
    <w:uiPriority w:val="99"/>
    <w:semiHidden/>
    <w:unhideWhenUsed/>
    <w:rsid w:val="003C60ED"/>
    <w:rPr>
      <w:sz w:val="18"/>
      <w:szCs w:val="18"/>
    </w:rPr>
  </w:style>
  <w:style w:type="character" w:customStyle="1" w:styleId="Char1">
    <w:name w:val="批注框文本 Char"/>
    <w:basedOn w:val="a0"/>
    <w:link w:val="a6"/>
    <w:uiPriority w:val="99"/>
    <w:semiHidden/>
    <w:rsid w:val="003C60ED"/>
    <w:rPr>
      <w:sz w:val="18"/>
      <w:szCs w:val="18"/>
    </w:rPr>
  </w:style>
  <w:style w:type="paragraph" w:styleId="a7">
    <w:name w:val="Revision"/>
    <w:hidden/>
    <w:uiPriority w:val="99"/>
    <w:semiHidden/>
    <w:rsid w:val="001A7E6C"/>
  </w:style>
</w:styles>
</file>

<file path=word/webSettings.xml><?xml version="1.0" encoding="utf-8"?>
<w:webSettings xmlns:r="http://schemas.openxmlformats.org/officeDocument/2006/relationships" xmlns:w="http://schemas.openxmlformats.org/wordprocessingml/2006/main">
  <w:divs>
    <w:div w:id="53625135">
      <w:bodyDiv w:val="1"/>
      <w:marLeft w:val="0"/>
      <w:marRight w:val="0"/>
      <w:marTop w:val="0"/>
      <w:marBottom w:val="0"/>
      <w:divBdr>
        <w:top w:val="none" w:sz="0" w:space="0" w:color="auto"/>
        <w:left w:val="none" w:sz="0" w:space="0" w:color="auto"/>
        <w:bottom w:val="none" w:sz="0" w:space="0" w:color="auto"/>
        <w:right w:val="none" w:sz="0" w:space="0" w:color="auto"/>
      </w:divBdr>
    </w:div>
    <w:div w:id="79760384">
      <w:bodyDiv w:val="1"/>
      <w:marLeft w:val="0"/>
      <w:marRight w:val="0"/>
      <w:marTop w:val="0"/>
      <w:marBottom w:val="0"/>
      <w:divBdr>
        <w:top w:val="none" w:sz="0" w:space="0" w:color="auto"/>
        <w:left w:val="none" w:sz="0" w:space="0" w:color="auto"/>
        <w:bottom w:val="none" w:sz="0" w:space="0" w:color="auto"/>
        <w:right w:val="none" w:sz="0" w:space="0" w:color="auto"/>
      </w:divBdr>
    </w:div>
    <w:div w:id="295599318">
      <w:bodyDiv w:val="1"/>
      <w:marLeft w:val="0"/>
      <w:marRight w:val="0"/>
      <w:marTop w:val="0"/>
      <w:marBottom w:val="0"/>
      <w:divBdr>
        <w:top w:val="none" w:sz="0" w:space="0" w:color="auto"/>
        <w:left w:val="none" w:sz="0" w:space="0" w:color="auto"/>
        <w:bottom w:val="none" w:sz="0" w:space="0" w:color="auto"/>
        <w:right w:val="none" w:sz="0" w:space="0" w:color="auto"/>
      </w:divBdr>
    </w:div>
    <w:div w:id="439372476">
      <w:bodyDiv w:val="1"/>
      <w:marLeft w:val="0"/>
      <w:marRight w:val="0"/>
      <w:marTop w:val="0"/>
      <w:marBottom w:val="0"/>
      <w:divBdr>
        <w:top w:val="none" w:sz="0" w:space="0" w:color="auto"/>
        <w:left w:val="none" w:sz="0" w:space="0" w:color="auto"/>
        <w:bottom w:val="none" w:sz="0" w:space="0" w:color="auto"/>
        <w:right w:val="none" w:sz="0" w:space="0" w:color="auto"/>
      </w:divBdr>
    </w:div>
    <w:div w:id="893154557">
      <w:bodyDiv w:val="1"/>
      <w:marLeft w:val="0"/>
      <w:marRight w:val="0"/>
      <w:marTop w:val="0"/>
      <w:marBottom w:val="0"/>
      <w:divBdr>
        <w:top w:val="none" w:sz="0" w:space="0" w:color="auto"/>
        <w:left w:val="none" w:sz="0" w:space="0" w:color="auto"/>
        <w:bottom w:val="none" w:sz="0" w:space="0" w:color="auto"/>
        <w:right w:val="none" w:sz="0" w:space="0" w:color="auto"/>
      </w:divBdr>
    </w:div>
    <w:div w:id="915435829">
      <w:bodyDiv w:val="1"/>
      <w:marLeft w:val="0"/>
      <w:marRight w:val="0"/>
      <w:marTop w:val="0"/>
      <w:marBottom w:val="0"/>
      <w:divBdr>
        <w:top w:val="none" w:sz="0" w:space="0" w:color="auto"/>
        <w:left w:val="none" w:sz="0" w:space="0" w:color="auto"/>
        <w:bottom w:val="none" w:sz="0" w:space="0" w:color="auto"/>
        <w:right w:val="none" w:sz="0" w:space="0" w:color="auto"/>
      </w:divBdr>
    </w:div>
    <w:div w:id="1362198016">
      <w:bodyDiv w:val="1"/>
      <w:marLeft w:val="0"/>
      <w:marRight w:val="0"/>
      <w:marTop w:val="0"/>
      <w:marBottom w:val="0"/>
      <w:divBdr>
        <w:top w:val="none" w:sz="0" w:space="0" w:color="auto"/>
        <w:left w:val="none" w:sz="0" w:space="0" w:color="auto"/>
        <w:bottom w:val="none" w:sz="0" w:space="0" w:color="auto"/>
        <w:right w:val="none" w:sz="0" w:space="0" w:color="auto"/>
      </w:divBdr>
    </w:div>
    <w:div w:id="1371028460">
      <w:bodyDiv w:val="1"/>
      <w:marLeft w:val="0"/>
      <w:marRight w:val="0"/>
      <w:marTop w:val="0"/>
      <w:marBottom w:val="0"/>
      <w:divBdr>
        <w:top w:val="none" w:sz="0" w:space="0" w:color="auto"/>
        <w:left w:val="none" w:sz="0" w:space="0" w:color="auto"/>
        <w:bottom w:val="none" w:sz="0" w:space="0" w:color="auto"/>
        <w:right w:val="none" w:sz="0" w:space="0" w:color="auto"/>
      </w:divBdr>
    </w:div>
    <w:div w:id="1379360445">
      <w:bodyDiv w:val="1"/>
      <w:marLeft w:val="0"/>
      <w:marRight w:val="0"/>
      <w:marTop w:val="0"/>
      <w:marBottom w:val="0"/>
      <w:divBdr>
        <w:top w:val="none" w:sz="0" w:space="0" w:color="auto"/>
        <w:left w:val="none" w:sz="0" w:space="0" w:color="auto"/>
        <w:bottom w:val="none" w:sz="0" w:space="0" w:color="auto"/>
        <w:right w:val="none" w:sz="0" w:space="0" w:color="auto"/>
      </w:divBdr>
    </w:div>
    <w:div w:id="1730762130">
      <w:bodyDiv w:val="1"/>
      <w:marLeft w:val="0"/>
      <w:marRight w:val="0"/>
      <w:marTop w:val="0"/>
      <w:marBottom w:val="0"/>
      <w:divBdr>
        <w:top w:val="none" w:sz="0" w:space="0" w:color="auto"/>
        <w:left w:val="none" w:sz="0" w:space="0" w:color="auto"/>
        <w:bottom w:val="none" w:sz="0" w:space="0" w:color="auto"/>
        <w:right w:val="none" w:sz="0" w:space="0" w:color="auto"/>
      </w:divBdr>
    </w:div>
    <w:div w:id="1737774504">
      <w:bodyDiv w:val="1"/>
      <w:marLeft w:val="0"/>
      <w:marRight w:val="0"/>
      <w:marTop w:val="0"/>
      <w:marBottom w:val="0"/>
      <w:divBdr>
        <w:top w:val="none" w:sz="0" w:space="0" w:color="auto"/>
        <w:left w:val="none" w:sz="0" w:space="0" w:color="auto"/>
        <w:bottom w:val="none" w:sz="0" w:space="0" w:color="auto"/>
        <w:right w:val="none" w:sz="0" w:space="0" w:color="auto"/>
      </w:divBdr>
    </w:div>
    <w:div w:id="1846170029">
      <w:bodyDiv w:val="1"/>
      <w:marLeft w:val="0"/>
      <w:marRight w:val="0"/>
      <w:marTop w:val="0"/>
      <w:marBottom w:val="0"/>
      <w:divBdr>
        <w:top w:val="none" w:sz="0" w:space="0" w:color="auto"/>
        <w:left w:val="none" w:sz="0" w:space="0" w:color="auto"/>
        <w:bottom w:val="none" w:sz="0" w:space="0" w:color="auto"/>
        <w:right w:val="none" w:sz="0" w:space="0" w:color="auto"/>
      </w:divBdr>
    </w:div>
    <w:div w:id="1854225805">
      <w:bodyDiv w:val="1"/>
      <w:marLeft w:val="0"/>
      <w:marRight w:val="0"/>
      <w:marTop w:val="0"/>
      <w:marBottom w:val="0"/>
      <w:divBdr>
        <w:top w:val="none" w:sz="0" w:space="0" w:color="auto"/>
        <w:left w:val="none" w:sz="0" w:space="0" w:color="auto"/>
        <w:bottom w:val="none" w:sz="0" w:space="0" w:color="auto"/>
        <w:right w:val="none" w:sz="0" w:space="0" w:color="auto"/>
      </w:divBdr>
    </w:div>
    <w:div w:id="1889338130">
      <w:bodyDiv w:val="1"/>
      <w:marLeft w:val="0"/>
      <w:marRight w:val="0"/>
      <w:marTop w:val="0"/>
      <w:marBottom w:val="0"/>
      <w:divBdr>
        <w:top w:val="none" w:sz="0" w:space="0" w:color="auto"/>
        <w:left w:val="none" w:sz="0" w:space="0" w:color="auto"/>
        <w:bottom w:val="none" w:sz="0" w:space="0" w:color="auto"/>
        <w:right w:val="none" w:sz="0" w:space="0" w:color="auto"/>
      </w:divBdr>
    </w:div>
    <w:div w:id="2053965620">
      <w:bodyDiv w:val="1"/>
      <w:marLeft w:val="0"/>
      <w:marRight w:val="0"/>
      <w:marTop w:val="0"/>
      <w:marBottom w:val="0"/>
      <w:divBdr>
        <w:top w:val="none" w:sz="0" w:space="0" w:color="auto"/>
        <w:left w:val="none" w:sz="0" w:space="0" w:color="auto"/>
        <w:bottom w:val="none" w:sz="0" w:space="0" w:color="auto"/>
        <w:right w:val="none" w:sz="0" w:space="0" w:color="auto"/>
      </w:divBdr>
    </w:div>
    <w:div w:id="20958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55EA-8DBC-45CA-AE8B-0F321C22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4</DocSecurity>
  <Lines>10</Lines>
  <Paragraphs>3</Paragraphs>
  <ScaleCrop>false</ScaleCrop>
  <Company>Microsoft</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余曼曼</dc:creator>
  <cp:keywords/>
  <dc:description/>
  <cp:lastModifiedBy>ZHONGM</cp:lastModifiedBy>
  <cp:revision>2</cp:revision>
  <dcterms:created xsi:type="dcterms:W3CDTF">2025-10-27T16:05:00Z</dcterms:created>
  <dcterms:modified xsi:type="dcterms:W3CDTF">2025-10-27T16:05:00Z</dcterms:modified>
</cp:coreProperties>
</file>