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F6" w:rsidRDefault="00405CC7">
      <w:pPr>
        <w:spacing w:line="360" w:lineRule="auto"/>
        <w:jc w:val="center"/>
        <w:rPr>
          <w:rFonts w:ascii="宋体" w:hAnsi="宋体"/>
          <w:b/>
          <w:bCs/>
          <w:sz w:val="44"/>
          <w:szCs w:val="44"/>
        </w:rPr>
      </w:pPr>
      <w:bookmarkStart w:id="0" w:name="_GoBack"/>
      <w:bookmarkEnd w:id="0"/>
      <w:r>
        <w:rPr>
          <w:rFonts w:ascii="宋体" w:hAnsi="宋体" w:hint="eastAsia"/>
          <w:b/>
          <w:bCs/>
          <w:sz w:val="44"/>
          <w:szCs w:val="44"/>
        </w:rPr>
        <w:t>兴业恒泰债券型证券投资基金开放日常申购、赎回、转换及定投业务的公告</w:t>
      </w:r>
    </w:p>
    <w:p w:rsidR="009125F6" w:rsidRDefault="00405CC7">
      <w:pPr>
        <w:spacing w:before="240" w:line="360" w:lineRule="auto"/>
        <w:jc w:val="center"/>
        <w:rPr>
          <w:rFonts w:ascii="宋体" w:hAnsi="宋体"/>
          <w:sz w:val="24"/>
          <w:szCs w:val="24"/>
        </w:rPr>
      </w:pPr>
      <w:r>
        <w:rPr>
          <w:rFonts w:ascii="宋体" w:hAnsi="宋体"/>
          <w:sz w:val="24"/>
          <w:szCs w:val="24"/>
        </w:rPr>
        <w:t>公告送出日期：</w:t>
      </w:r>
      <w:r>
        <w:rPr>
          <w:rFonts w:ascii="宋体" w:hAnsi="宋体"/>
          <w:sz w:val="24"/>
          <w:szCs w:val="24"/>
        </w:rPr>
        <w:t>2025</w:t>
      </w:r>
      <w:r>
        <w:rPr>
          <w:rFonts w:ascii="宋体" w:hAnsi="宋体"/>
          <w:sz w:val="24"/>
          <w:szCs w:val="24"/>
        </w:rPr>
        <w:t>年</w:t>
      </w:r>
      <w:r>
        <w:rPr>
          <w:rFonts w:ascii="宋体" w:hAnsi="宋体"/>
          <w:sz w:val="24"/>
          <w:szCs w:val="24"/>
        </w:rPr>
        <w:t>10</w:t>
      </w:r>
      <w:r>
        <w:rPr>
          <w:rFonts w:ascii="宋体" w:hAnsi="宋体"/>
          <w:sz w:val="24"/>
          <w:szCs w:val="24"/>
        </w:rPr>
        <w:t>月</w:t>
      </w:r>
      <w:r>
        <w:rPr>
          <w:rFonts w:ascii="宋体" w:hAnsi="宋体"/>
          <w:sz w:val="24"/>
          <w:szCs w:val="24"/>
        </w:rPr>
        <w:t>28</w:t>
      </w:r>
      <w:r>
        <w:rPr>
          <w:rFonts w:ascii="宋体" w:hAnsi="宋体"/>
          <w:sz w:val="24"/>
          <w:szCs w:val="24"/>
        </w:rPr>
        <w:t>日</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1" w:name="t_2_1_table"/>
      <w:bookmarkEnd w:id="1"/>
      <w:r>
        <w:rPr>
          <w:rFonts w:ascii="宋体" w:eastAsia="宋体" w:hAnsi="宋体" w:cs="宋体" w:hint="eastAsia"/>
          <w:bCs/>
          <w:sz w:val="21"/>
          <w:szCs w:val="21"/>
        </w:rPr>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0"/>
        <w:gridCol w:w="2404"/>
        <w:gridCol w:w="2456"/>
      </w:tblGrid>
      <w:tr w:rsidR="009125F6">
        <w:trPr>
          <w:trHeight w:val="191"/>
        </w:trPr>
        <w:tc>
          <w:tcPr>
            <w:tcW w:w="3960" w:type="dxa"/>
          </w:tcPr>
          <w:p w:rsidR="009125F6" w:rsidRDefault="00405CC7">
            <w:pPr>
              <w:widowControl w:val="0"/>
              <w:rPr>
                <w:rFonts w:ascii="宋体" w:hAnsi="宋体" w:cs="宋体"/>
                <w:szCs w:val="21"/>
              </w:rPr>
            </w:pPr>
            <w:r>
              <w:rPr>
                <w:rFonts w:ascii="宋体" w:hAnsi="宋体" w:cs="宋体" w:hint="eastAsia"/>
                <w:szCs w:val="21"/>
              </w:rPr>
              <w:t>基金名称</w:t>
            </w:r>
          </w:p>
        </w:tc>
        <w:tc>
          <w:tcPr>
            <w:tcW w:w="4860" w:type="dxa"/>
            <w:gridSpan w:val="2"/>
          </w:tcPr>
          <w:p w:rsidR="009125F6" w:rsidRDefault="00405CC7">
            <w:pPr>
              <w:widowControl w:val="0"/>
              <w:rPr>
                <w:rFonts w:ascii="宋体" w:hAnsi="宋体" w:cs="宋体"/>
                <w:szCs w:val="21"/>
              </w:rPr>
            </w:pPr>
            <w:r>
              <w:rPr>
                <w:rFonts w:hint="eastAsia"/>
              </w:rPr>
              <w:t>兴业恒泰债券型证券投资基金</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基金简称</w:t>
            </w:r>
          </w:p>
        </w:tc>
        <w:tc>
          <w:tcPr>
            <w:tcW w:w="4860" w:type="dxa"/>
            <w:gridSpan w:val="2"/>
            <w:tcBorders>
              <w:left w:val="single" w:sz="4" w:space="0" w:color="auto"/>
            </w:tcBorders>
          </w:tcPr>
          <w:p w:rsidR="009125F6" w:rsidRDefault="00405CC7">
            <w:pPr>
              <w:widowControl w:val="0"/>
              <w:rPr>
                <w:rFonts w:ascii="宋体" w:hAnsi="宋体" w:cs="宋体"/>
                <w:szCs w:val="21"/>
              </w:rPr>
            </w:pPr>
            <w:r>
              <w:rPr>
                <w:rFonts w:hint="eastAsia"/>
                <w:bCs/>
                <w:color w:val="000000"/>
                <w:szCs w:val="21"/>
              </w:rPr>
              <w:t>兴业恒泰债券</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基金主代码</w:t>
            </w:r>
          </w:p>
        </w:tc>
        <w:tc>
          <w:tcPr>
            <w:tcW w:w="4860" w:type="dxa"/>
            <w:gridSpan w:val="2"/>
            <w:tcBorders>
              <w:left w:val="single" w:sz="4" w:space="0" w:color="auto"/>
            </w:tcBorders>
          </w:tcPr>
          <w:p w:rsidR="009125F6" w:rsidRDefault="00405CC7">
            <w:pPr>
              <w:widowControl w:val="0"/>
              <w:rPr>
                <w:rFonts w:ascii="宋体" w:hAnsi="宋体" w:cs="宋体"/>
                <w:szCs w:val="21"/>
              </w:rPr>
            </w:pPr>
            <w:r>
              <w:t>023811</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基金运作方式</w:t>
            </w:r>
          </w:p>
        </w:tc>
        <w:tc>
          <w:tcPr>
            <w:tcW w:w="4860" w:type="dxa"/>
            <w:gridSpan w:val="2"/>
            <w:tcBorders>
              <w:left w:val="single" w:sz="4" w:space="0" w:color="auto"/>
            </w:tcBorders>
          </w:tcPr>
          <w:p w:rsidR="009125F6" w:rsidRDefault="00405CC7">
            <w:pPr>
              <w:widowControl w:val="0"/>
              <w:rPr>
                <w:rFonts w:ascii="宋体" w:hAnsi="宋体" w:cs="宋体"/>
                <w:szCs w:val="21"/>
              </w:rPr>
            </w:pPr>
            <w:r>
              <w:rPr>
                <w:rFonts w:hint="eastAsia"/>
                <w:color w:val="000000"/>
                <w:szCs w:val="21"/>
              </w:rPr>
              <w:t>契约型开放式</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基金合同生效日</w:t>
            </w:r>
          </w:p>
        </w:tc>
        <w:tc>
          <w:tcPr>
            <w:tcW w:w="4860" w:type="dxa"/>
            <w:gridSpan w:val="2"/>
            <w:tcBorders>
              <w:left w:val="single" w:sz="4" w:space="0" w:color="auto"/>
            </w:tcBorders>
          </w:tcPr>
          <w:p w:rsidR="009125F6" w:rsidRDefault="00405CC7">
            <w:pPr>
              <w:widowControl w:val="0"/>
              <w:rPr>
                <w:szCs w:val="21"/>
              </w:rPr>
            </w:pPr>
            <w:r>
              <w:rPr>
                <w:rFonts w:ascii="宋体" w:hAnsi="宋体" w:cs="宋体" w:hint="eastAsia"/>
                <w:szCs w:val="21"/>
              </w:rPr>
              <w:t>2025</w:t>
            </w:r>
            <w:r>
              <w:rPr>
                <w:rFonts w:ascii="宋体" w:hAnsi="宋体" w:cs="宋体" w:hint="eastAsia"/>
                <w:szCs w:val="21"/>
              </w:rPr>
              <w:t>年</w:t>
            </w:r>
            <w:r>
              <w:rPr>
                <w:rFonts w:ascii="宋体" w:hAnsi="宋体" w:cs="宋体"/>
                <w:szCs w:val="21"/>
              </w:rPr>
              <w:t>8</w:t>
            </w:r>
            <w:r>
              <w:rPr>
                <w:rFonts w:ascii="宋体" w:hAnsi="宋体" w:cs="宋体" w:hint="eastAsia"/>
                <w:szCs w:val="21"/>
              </w:rPr>
              <w:t>月</w:t>
            </w:r>
            <w:r>
              <w:rPr>
                <w:rFonts w:ascii="宋体" w:hAnsi="宋体" w:cs="宋体"/>
                <w:szCs w:val="21"/>
              </w:rPr>
              <w:t>26</w:t>
            </w:r>
            <w:r>
              <w:rPr>
                <w:rFonts w:ascii="宋体" w:hAnsi="宋体" w:cs="宋体" w:hint="eastAsia"/>
                <w:szCs w:val="21"/>
              </w:rPr>
              <w:t>日</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基金管理人名称</w:t>
            </w:r>
          </w:p>
        </w:tc>
        <w:tc>
          <w:tcPr>
            <w:tcW w:w="4860" w:type="dxa"/>
            <w:gridSpan w:val="2"/>
            <w:tcBorders>
              <w:left w:val="single" w:sz="4" w:space="0" w:color="auto"/>
            </w:tcBorders>
          </w:tcPr>
          <w:p w:rsidR="009125F6" w:rsidRDefault="00405CC7">
            <w:pPr>
              <w:widowControl w:val="0"/>
              <w:rPr>
                <w:rFonts w:ascii="宋体" w:hAnsi="宋体" w:cs="宋体"/>
                <w:szCs w:val="21"/>
              </w:rPr>
            </w:pPr>
            <w:bookmarkStart w:id="2" w:name="t_2_1_0186_a1_fm1"/>
            <w:bookmarkEnd w:id="2"/>
            <w:r>
              <w:rPr>
                <w:rFonts w:ascii="宋体" w:hAnsi="宋体" w:cs="宋体" w:hint="eastAsia"/>
                <w:szCs w:val="21"/>
              </w:rPr>
              <w:t>兴业基金管理有限公司</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基金托管人名称</w:t>
            </w:r>
          </w:p>
        </w:tc>
        <w:tc>
          <w:tcPr>
            <w:tcW w:w="4860" w:type="dxa"/>
            <w:gridSpan w:val="2"/>
            <w:tcBorders>
              <w:left w:val="single" w:sz="4" w:space="0" w:color="auto"/>
            </w:tcBorders>
          </w:tcPr>
          <w:p w:rsidR="009125F6" w:rsidRDefault="00405CC7">
            <w:pPr>
              <w:widowControl w:val="0"/>
              <w:rPr>
                <w:rFonts w:ascii="宋体" w:hAnsi="宋体" w:cs="宋体"/>
                <w:szCs w:val="21"/>
              </w:rPr>
            </w:pPr>
            <w:r>
              <w:rPr>
                <w:rFonts w:hint="eastAsia"/>
                <w:color w:val="000000"/>
                <w:szCs w:val="21"/>
              </w:rPr>
              <w:t>招商银行股份有限公司</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基金注册登记机构名称</w:t>
            </w:r>
          </w:p>
        </w:tc>
        <w:tc>
          <w:tcPr>
            <w:tcW w:w="4860" w:type="dxa"/>
            <w:gridSpan w:val="2"/>
            <w:tcBorders>
              <w:left w:val="single" w:sz="4" w:space="0" w:color="auto"/>
            </w:tcBorders>
          </w:tcPr>
          <w:p w:rsidR="009125F6" w:rsidRDefault="00405CC7">
            <w:pPr>
              <w:widowControl w:val="0"/>
              <w:rPr>
                <w:rFonts w:ascii="宋体" w:hAnsi="宋体" w:cs="宋体"/>
                <w:szCs w:val="21"/>
              </w:rPr>
            </w:pPr>
            <w:bookmarkStart w:id="3" w:name="t_2_1_0310_a1_fm1"/>
            <w:bookmarkEnd w:id="3"/>
            <w:r>
              <w:rPr>
                <w:rFonts w:ascii="宋体" w:hAnsi="宋体" w:cs="宋体" w:hint="eastAsia"/>
                <w:szCs w:val="21"/>
              </w:rPr>
              <w:t>兴业基金管理有限公司</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公告依据</w:t>
            </w:r>
          </w:p>
        </w:tc>
        <w:tc>
          <w:tcPr>
            <w:tcW w:w="4860" w:type="dxa"/>
            <w:gridSpan w:val="2"/>
            <w:tcBorders>
              <w:left w:val="single" w:sz="4" w:space="0" w:color="auto"/>
            </w:tcBorders>
          </w:tcPr>
          <w:p w:rsidR="009125F6" w:rsidRDefault="00405CC7">
            <w:pPr>
              <w:widowControl w:val="0"/>
              <w:rPr>
                <w:rFonts w:ascii="宋体" w:hAnsi="宋体" w:cs="宋体"/>
                <w:szCs w:val="21"/>
              </w:rPr>
            </w:pPr>
            <w:r>
              <w:rPr>
                <w:rFonts w:ascii="宋体" w:hAnsi="宋体" w:cs="宋体" w:hint="eastAsia"/>
                <w:szCs w:val="21"/>
              </w:rPr>
              <w:t>《中华人民共和国证券投资基金法》、《公开募集证券投资基金运作管理办法》以及《</w:t>
            </w:r>
            <w:r>
              <w:rPr>
                <w:rFonts w:hint="eastAsia"/>
              </w:rPr>
              <w:t>兴业恒泰债券型证券投资基金</w:t>
            </w:r>
            <w:r>
              <w:rPr>
                <w:rFonts w:ascii="宋体" w:hAnsi="宋体" w:cs="宋体" w:hint="eastAsia"/>
                <w:szCs w:val="21"/>
              </w:rPr>
              <w:t>基金合同》、《</w:t>
            </w:r>
            <w:r>
              <w:rPr>
                <w:rFonts w:hint="eastAsia"/>
              </w:rPr>
              <w:t>兴业恒泰债券型证券投资基金</w:t>
            </w:r>
            <w:r>
              <w:rPr>
                <w:rFonts w:ascii="宋体" w:hAnsi="宋体" w:cs="宋体" w:hint="eastAsia"/>
                <w:szCs w:val="21"/>
              </w:rPr>
              <w:t>招募说明书》</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申购起始日</w:t>
            </w:r>
          </w:p>
        </w:tc>
        <w:tc>
          <w:tcPr>
            <w:tcW w:w="4860" w:type="dxa"/>
            <w:gridSpan w:val="2"/>
            <w:tcBorders>
              <w:left w:val="single" w:sz="4" w:space="0" w:color="auto"/>
            </w:tcBorders>
          </w:tcPr>
          <w:p w:rsidR="009125F6" w:rsidRDefault="00405CC7">
            <w:pPr>
              <w:widowControl w:val="0"/>
              <w:rPr>
                <w:rFonts w:ascii="宋体" w:hAnsi="宋体" w:cs="宋体"/>
                <w:szCs w:val="21"/>
              </w:rPr>
            </w:pPr>
            <w:bookmarkStart w:id="4" w:name="t_2_1_2660_a1_fm1"/>
            <w:bookmarkEnd w:id="4"/>
            <w:r>
              <w:rPr>
                <w:rFonts w:ascii="宋体" w:hAnsi="宋体" w:cs="宋体"/>
                <w:szCs w:val="21"/>
              </w:rPr>
              <w:t>2025</w:t>
            </w:r>
            <w:r>
              <w:rPr>
                <w:rFonts w:ascii="宋体" w:hAnsi="宋体" w:cs="宋体"/>
                <w:szCs w:val="21"/>
              </w:rPr>
              <w:t>年</w:t>
            </w:r>
            <w:r>
              <w:rPr>
                <w:rFonts w:ascii="宋体" w:hAnsi="宋体" w:cs="宋体"/>
                <w:szCs w:val="21"/>
              </w:rPr>
              <w:t>10</w:t>
            </w:r>
            <w:r>
              <w:rPr>
                <w:rFonts w:ascii="宋体" w:hAnsi="宋体" w:cs="宋体"/>
                <w:szCs w:val="21"/>
              </w:rPr>
              <w:t>月</w:t>
            </w:r>
            <w:r>
              <w:rPr>
                <w:rFonts w:ascii="宋体" w:hAnsi="宋体" w:cs="宋体"/>
                <w:szCs w:val="21"/>
              </w:rPr>
              <w:t>31</w:t>
            </w:r>
            <w:r>
              <w:rPr>
                <w:rFonts w:ascii="宋体" w:hAnsi="宋体" w:cs="宋体"/>
                <w:szCs w:val="21"/>
              </w:rPr>
              <w:t>日</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赎回起始日</w:t>
            </w:r>
          </w:p>
        </w:tc>
        <w:tc>
          <w:tcPr>
            <w:tcW w:w="4860" w:type="dxa"/>
            <w:gridSpan w:val="2"/>
            <w:tcBorders>
              <w:left w:val="single" w:sz="4" w:space="0" w:color="auto"/>
            </w:tcBorders>
          </w:tcPr>
          <w:p w:rsidR="009125F6" w:rsidRDefault="00405CC7">
            <w:r>
              <w:rPr>
                <w:rFonts w:ascii="宋体" w:hAnsi="宋体" w:cs="宋体"/>
                <w:szCs w:val="21"/>
              </w:rPr>
              <w:t>2025</w:t>
            </w:r>
            <w:r>
              <w:rPr>
                <w:rFonts w:ascii="宋体" w:hAnsi="宋体" w:cs="宋体"/>
                <w:szCs w:val="21"/>
              </w:rPr>
              <w:t>年</w:t>
            </w:r>
            <w:r>
              <w:rPr>
                <w:rFonts w:ascii="宋体" w:hAnsi="宋体" w:cs="宋体"/>
                <w:szCs w:val="21"/>
              </w:rPr>
              <w:t>10</w:t>
            </w:r>
            <w:r>
              <w:rPr>
                <w:rFonts w:ascii="宋体" w:hAnsi="宋体" w:cs="宋体"/>
                <w:szCs w:val="21"/>
              </w:rPr>
              <w:t>月</w:t>
            </w:r>
            <w:r>
              <w:rPr>
                <w:rFonts w:ascii="宋体" w:hAnsi="宋体" w:cs="宋体"/>
                <w:szCs w:val="21"/>
              </w:rPr>
              <w:t>31</w:t>
            </w:r>
            <w:r>
              <w:rPr>
                <w:rFonts w:ascii="宋体" w:hAnsi="宋体" w:cs="宋体"/>
                <w:szCs w:val="21"/>
              </w:rPr>
              <w:t>日</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转换转入起始日</w:t>
            </w:r>
          </w:p>
        </w:tc>
        <w:tc>
          <w:tcPr>
            <w:tcW w:w="4860" w:type="dxa"/>
            <w:gridSpan w:val="2"/>
            <w:tcBorders>
              <w:left w:val="single" w:sz="4" w:space="0" w:color="auto"/>
            </w:tcBorders>
          </w:tcPr>
          <w:p w:rsidR="009125F6" w:rsidRDefault="00405CC7">
            <w:r>
              <w:rPr>
                <w:rFonts w:ascii="宋体" w:hAnsi="宋体" w:cs="宋体"/>
                <w:szCs w:val="21"/>
              </w:rPr>
              <w:t>2025</w:t>
            </w:r>
            <w:r>
              <w:rPr>
                <w:rFonts w:ascii="宋体" w:hAnsi="宋体" w:cs="宋体"/>
                <w:szCs w:val="21"/>
              </w:rPr>
              <w:t>年</w:t>
            </w:r>
            <w:r>
              <w:rPr>
                <w:rFonts w:ascii="宋体" w:hAnsi="宋体" w:cs="宋体"/>
                <w:szCs w:val="21"/>
              </w:rPr>
              <w:t>10</w:t>
            </w:r>
            <w:r>
              <w:rPr>
                <w:rFonts w:ascii="宋体" w:hAnsi="宋体" w:cs="宋体"/>
                <w:szCs w:val="21"/>
              </w:rPr>
              <w:t>月</w:t>
            </w:r>
            <w:r>
              <w:rPr>
                <w:rFonts w:ascii="宋体" w:hAnsi="宋体" w:cs="宋体"/>
                <w:szCs w:val="21"/>
              </w:rPr>
              <w:t>31</w:t>
            </w:r>
            <w:r>
              <w:rPr>
                <w:rFonts w:ascii="宋体" w:hAnsi="宋体" w:cs="宋体"/>
                <w:szCs w:val="21"/>
              </w:rPr>
              <w:t>日</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转换转出起始日</w:t>
            </w:r>
          </w:p>
        </w:tc>
        <w:tc>
          <w:tcPr>
            <w:tcW w:w="4860" w:type="dxa"/>
            <w:gridSpan w:val="2"/>
            <w:tcBorders>
              <w:left w:val="single" w:sz="4" w:space="0" w:color="auto"/>
            </w:tcBorders>
          </w:tcPr>
          <w:p w:rsidR="009125F6" w:rsidRDefault="00405CC7">
            <w:r>
              <w:rPr>
                <w:rFonts w:ascii="宋体" w:hAnsi="宋体" w:cs="宋体"/>
                <w:szCs w:val="21"/>
              </w:rPr>
              <w:t>2025</w:t>
            </w:r>
            <w:r>
              <w:rPr>
                <w:rFonts w:ascii="宋体" w:hAnsi="宋体" w:cs="宋体"/>
                <w:szCs w:val="21"/>
              </w:rPr>
              <w:t>年</w:t>
            </w:r>
            <w:r>
              <w:rPr>
                <w:rFonts w:ascii="宋体" w:hAnsi="宋体" w:cs="宋体"/>
                <w:szCs w:val="21"/>
              </w:rPr>
              <w:t>10</w:t>
            </w:r>
            <w:r>
              <w:rPr>
                <w:rFonts w:ascii="宋体" w:hAnsi="宋体" w:cs="宋体"/>
                <w:szCs w:val="21"/>
              </w:rPr>
              <w:t>月</w:t>
            </w:r>
            <w:r>
              <w:rPr>
                <w:rFonts w:ascii="宋体" w:hAnsi="宋体" w:cs="宋体"/>
                <w:szCs w:val="21"/>
              </w:rPr>
              <w:t>31</w:t>
            </w:r>
            <w:r>
              <w:rPr>
                <w:rFonts w:ascii="宋体" w:hAnsi="宋体" w:cs="宋体"/>
                <w:szCs w:val="21"/>
              </w:rPr>
              <w:t>日</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定期定额投资起始日</w:t>
            </w:r>
          </w:p>
        </w:tc>
        <w:tc>
          <w:tcPr>
            <w:tcW w:w="4860" w:type="dxa"/>
            <w:gridSpan w:val="2"/>
            <w:tcBorders>
              <w:left w:val="single" w:sz="4" w:space="0" w:color="auto"/>
            </w:tcBorders>
          </w:tcPr>
          <w:p w:rsidR="009125F6" w:rsidRDefault="00405CC7">
            <w:r>
              <w:rPr>
                <w:rFonts w:ascii="宋体" w:hAnsi="宋体" w:cs="宋体"/>
                <w:szCs w:val="21"/>
              </w:rPr>
              <w:t>2025</w:t>
            </w:r>
            <w:r>
              <w:rPr>
                <w:rFonts w:ascii="宋体" w:hAnsi="宋体" w:cs="宋体"/>
                <w:szCs w:val="21"/>
              </w:rPr>
              <w:t>年</w:t>
            </w:r>
            <w:r>
              <w:rPr>
                <w:rFonts w:ascii="宋体" w:hAnsi="宋体" w:cs="宋体"/>
                <w:szCs w:val="21"/>
              </w:rPr>
              <w:t>10</w:t>
            </w:r>
            <w:r>
              <w:rPr>
                <w:rFonts w:ascii="宋体" w:hAnsi="宋体" w:cs="宋体"/>
                <w:szCs w:val="21"/>
              </w:rPr>
              <w:t>月</w:t>
            </w:r>
            <w:r>
              <w:rPr>
                <w:rFonts w:ascii="宋体" w:hAnsi="宋体" w:cs="宋体"/>
                <w:szCs w:val="21"/>
              </w:rPr>
              <w:t>31</w:t>
            </w:r>
            <w:r>
              <w:rPr>
                <w:rFonts w:ascii="宋体" w:hAnsi="宋体" w:cs="宋体"/>
                <w:szCs w:val="21"/>
              </w:rPr>
              <w:t>日</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下属分级基金的基金简称</w:t>
            </w:r>
          </w:p>
        </w:tc>
        <w:tc>
          <w:tcPr>
            <w:tcW w:w="2404" w:type="dxa"/>
            <w:tcBorders>
              <w:left w:val="single" w:sz="4" w:space="0" w:color="auto"/>
            </w:tcBorders>
          </w:tcPr>
          <w:p w:rsidR="009125F6" w:rsidRDefault="00405CC7">
            <w:pPr>
              <w:rPr>
                <w:rFonts w:ascii="宋体" w:hAnsi="宋体" w:cs="宋体"/>
                <w:szCs w:val="21"/>
              </w:rPr>
            </w:pPr>
            <w:r>
              <w:rPr>
                <w:rFonts w:hint="eastAsia"/>
                <w:bCs/>
                <w:color w:val="000000"/>
                <w:szCs w:val="21"/>
              </w:rPr>
              <w:t>兴业恒泰债券</w:t>
            </w:r>
            <w:r>
              <w:rPr>
                <w:rFonts w:hint="eastAsia"/>
              </w:rPr>
              <w:t>A</w:t>
            </w:r>
          </w:p>
        </w:tc>
        <w:tc>
          <w:tcPr>
            <w:tcW w:w="2456" w:type="dxa"/>
            <w:tcBorders>
              <w:left w:val="single" w:sz="4" w:space="0" w:color="auto"/>
            </w:tcBorders>
          </w:tcPr>
          <w:p w:rsidR="009125F6" w:rsidRDefault="00405CC7">
            <w:pPr>
              <w:rPr>
                <w:rFonts w:ascii="宋体" w:hAnsi="宋体" w:cs="宋体"/>
                <w:szCs w:val="21"/>
              </w:rPr>
            </w:pPr>
            <w:r>
              <w:rPr>
                <w:rFonts w:hint="eastAsia"/>
                <w:bCs/>
                <w:color w:val="000000"/>
                <w:szCs w:val="21"/>
              </w:rPr>
              <w:t>兴业恒泰债券</w:t>
            </w:r>
            <w:r>
              <w:rPr>
                <w:rFonts w:hint="eastAsia"/>
              </w:rPr>
              <w:t>C</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下属分级基金的基金代码</w:t>
            </w:r>
          </w:p>
        </w:tc>
        <w:tc>
          <w:tcPr>
            <w:tcW w:w="2404" w:type="dxa"/>
            <w:tcBorders>
              <w:left w:val="single" w:sz="4" w:space="0" w:color="auto"/>
            </w:tcBorders>
          </w:tcPr>
          <w:p w:rsidR="009125F6" w:rsidRDefault="00405CC7">
            <w:pPr>
              <w:rPr>
                <w:rFonts w:ascii="宋体" w:hAnsi="宋体" w:cs="宋体"/>
                <w:szCs w:val="21"/>
              </w:rPr>
            </w:pPr>
            <w:r>
              <w:rPr>
                <w:rFonts w:ascii="宋体" w:hAnsi="宋体" w:cs="宋体"/>
                <w:szCs w:val="21"/>
              </w:rPr>
              <w:t>023811</w:t>
            </w:r>
          </w:p>
        </w:tc>
        <w:tc>
          <w:tcPr>
            <w:tcW w:w="2456" w:type="dxa"/>
            <w:tcBorders>
              <w:left w:val="single" w:sz="4" w:space="0" w:color="auto"/>
            </w:tcBorders>
          </w:tcPr>
          <w:p w:rsidR="009125F6" w:rsidRDefault="00405CC7">
            <w:pPr>
              <w:rPr>
                <w:rFonts w:ascii="宋体" w:hAnsi="宋体" w:cs="宋体"/>
                <w:szCs w:val="21"/>
              </w:rPr>
            </w:pPr>
            <w:r>
              <w:rPr>
                <w:rFonts w:ascii="宋体" w:hAnsi="宋体" w:cs="宋体"/>
                <w:szCs w:val="21"/>
              </w:rPr>
              <w:t>023812</w:t>
            </w:r>
          </w:p>
        </w:tc>
      </w:tr>
      <w:tr w:rsidR="009125F6">
        <w:tc>
          <w:tcPr>
            <w:tcW w:w="3960" w:type="dxa"/>
          </w:tcPr>
          <w:p w:rsidR="009125F6" w:rsidRDefault="00405CC7">
            <w:pPr>
              <w:widowControl w:val="0"/>
              <w:rPr>
                <w:rFonts w:ascii="宋体" w:hAnsi="宋体" w:cs="宋体"/>
                <w:szCs w:val="21"/>
              </w:rPr>
            </w:pPr>
            <w:r>
              <w:rPr>
                <w:rFonts w:ascii="宋体" w:hAnsi="宋体" w:cs="宋体" w:hint="eastAsia"/>
                <w:szCs w:val="21"/>
              </w:rPr>
              <w:t>该分级基金是否开放申购、赎回、转换及定期定额投资</w:t>
            </w:r>
          </w:p>
        </w:tc>
        <w:tc>
          <w:tcPr>
            <w:tcW w:w="2404" w:type="dxa"/>
            <w:tcBorders>
              <w:left w:val="single" w:sz="4" w:space="0" w:color="auto"/>
            </w:tcBorders>
          </w:tcPr>
          <w:p w:rsidR="009125F6" w:rsidRDefault="00405CC7">
            <w:pPr>
              <w:rPr>
                <w:rFonts w:ascii="宋体" w:hAnsi="宋体" w:cs="宋体"/>
                <w:szCs w:val="21"/>
              </w:rPr>
            </w:pPr>
            <w:r>
              <w:rPr>
                <w:rFonts w:ascii="宋体" w:hAnsi="宋体" w:cs="宋体" w:hint="eastAsia"/>
                <w:szCs w:val="21"/>
              </w:rPr>
              <w:t>是</w:t>
            </w:r>
          </w:p>
        </w:tc>
        <w:tc>
          <w:tcPr>
            <w:tcW w:w="2456" w:type="dxa"/>
            <w:tcBorders>
              <w:left w:val="single" w:sz="4" w:space="0" w:color="auto"/>
            </w:tcBorders>
          </w:tcPr>
          <w:p w:rsidR="009125F6" w:rsidRDefault="00405CC7">
            <w:pPr>
              <w:rPr>
                <w:rFonts w:ascii="宋体" w:hAnsi="宋体" w:cs="宋体"/>
                <w:szCs w:val="21"/>
              </w:rPr>
            </w:pPr>
            <w:r>
              <w:rPr>
                <w:rFonts w:ascii="宋体" w:hAnsi="宋体" w:cs="宋体"/>
                <w:szCs w:val="21"/>
              </w:rPr>
              <w:t>是</w:t>
            </w:r>
          </w:p>
        </w:tc>
      </w:tr>
    </w:tbl>
    <w:p w:rsidR="009125F6" w:rsidRDefault="00405CC7" w:rsidP="00405CC7">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2</w:t>
      </w:r>
      <w:bookmarkStart w:id="5" w:name="t_2_2_table"/>
      <w:bookmarkEnd w:id="5"/>
      <w:r>
        <w:rPr>
          <w:rFonts w:ascii="宋体" w:eastAsia="宋体" w:hAnsi="宋体" w:cs="宋体" w:hint="eastAsia"/>
          <w:bCs/>
          <w:sz w:val="21"/>
          <w:szCs w:val="21"/>
        </w:rPr>
        <w:t>日常申购、赎回、转换和定期定额投资业务的办理时间</w:t>
      </w:r>
    </w:p>
    <w:p w:rsidR="009125F6" w:rsidRDefault="00405CC7">
      <w:pPr>
        <w:widowControl w:val="0"/>
        <w:spacing w:line="360" w:lineRule="auto"/>
        <w:ind w:firstLineChars="200" w:firstLine="420"/>
        <w:jc w:val="left"/>
        <w:rPr>
          <w:rFonts w:ascii="宋体" w:hAnsi="宋体" w:cs="宋体"/>
          <w:szCs w:val="21"/>
        </w:rPr>
      </w:pPr>
      <w:r>
        <w:rPr>
          <w:rFonts w:ascii="宋体" w:hAnsi="宋体" w:cs="宋体" w:hint="eastAsia"/>
          <w:szCs w:val="21"/>
        </w:rPr>
        <w:t>投资人在开放日办理基金份额的申购和赎回，具体办理时间为上海证券交易所、深圳证券交易所的正常交易日的交易时间（若本基金参与港股通交易且该工作日为非港股通交易日或遇港股通因其他原因暂停交易的情形，则基金管理人有权暂停办理基金份额的申购和赎回业务，具体以届时的公告为准），但基金管理人根据法律法规、中国证监会的要求或基金合同的规定公告暂停申购、赎回时除外。</w:t>
      </w:r>
    </w:p>
    <w:p w:rsidR="009125F6" w:rsidRDefault="00405CC7">
      <w:pPr>
        <w:widowControl w:val="0"/>
        <w:spacing w:line="360" w:lineRule="auto"/>
        <w:ind w:firstLineChars="200" w:firstLine="420"/>
        <w:jc w:val="left"/>
        <w:rPr>
          <w:rFonts w:ascii="宋体" w:hAnsi="宋体" w:cs="宋体"/>
          <w:szCs w:val="21"/>
        </w:rPr>
      </w:pPr>
      <w:r>
        <w:rPr>
          <w:rFonts w:ascii="宋体" w:hAnsi="宋体" w:cs="宋体" w:hint="eastAsia"/>
          <w:szCs w:val="21"/>
        </w:rPr>
        <w:t>基金合同生效后，若出现新的证券</w:t>
      </w:r>
      <w:r>
        <w:rPr>
          <w:rFonts w:ascii="宋体" w:hAnsi="宋体" w:cs="宋体" w:hint="eastAsia"/>
          <w:szCs w:val="21"/>
        </w:rPr>
        <w:t>/</w:t>
      </w:r>
      <w:r>
        <w:rPr>
          <w:rFonts w:ascii="宋体" w:hAnsi="宋体" w:cs="宋体" w:hint="eastAsia"/>
          <w:szCs w:val="21"/>
        </w:rPr>
        <w:t>期货交易市场、证券</w:t>
      </w:r>
      <w:r>
        <w:rPr>
          <w:rFonts w:ascii="宋体" w:hAnsi="宋体" w:cs="宋体" w:hint="eastAsia"/>
          <w:szCs w:val="21"/>
        </w:rPr>
        <w:t>/</w:t>
      </w:r>
      <w:r>
        <w:rPr>
          <w:rFonts w:ascii="宋体" w:hAnsi="宋体" w:cs="宋体" w:hint="eastAsia"/>
          <w:szCs w:val="21"/>
        </w:rPr>
        <w:t>期货交易所交易时间变更或其他特殊情况，基金管理人将视情况对前述开放日及开放时间进行相应的调整，但应在实施日前</w:t>
      </w:r>
      <w:r>
        <w:rPr>
          <w:rFonts w:ascii="宋体" w:hAnsi="宋体" w:cs="宋体" w:hint="eastAsia"/>
          <w:szCs w:val="21"/>
        </w:rPr>
        <w:t>依照《公开募集证券投资基金信息披露管理办法》的有关规定在规定媒介上公告。</w:t>
      </w:r>
    </w:p>
    <w:p w:rsidR="009125F6" w:rsidRDefault="00405CC7">
      <w:pPr>
        <w:spacing w:line="360" w:lineRule="auto"/>
        <w:ind w:firstLineChars="200" w:firstLine="420"/>
        <w:rPr>
          <w:rFonts w:ascii="宋体" w:hAnsi="宋体" w:cs="宋体"/>
          <w:szCs w:val="21"/>
        </w:rPr>
      </w:pPr>
      <w:r>
        <w:rPr>
          <w:rFonts w:ascii="宋体" w:hAnsi="宋体" w:cs="宋体" w:hint="eastAsia"/>
          <w:szCs w:val="21"/>
        </w:rPr>
        <w:lastRenderedPageBreak/>
        <w:t>基金管理人不得在基金合同约定之外的日期或者时间办理基金份额的申购、赎回或者转换。投资人在基金合同约定之外的日期和时间提出申购、赎回或转换申请，登记机构有权拒绝，如登记机构确认接受的，视为下一开放日的申购、赎回或转换申请，其基金份额申购、赎回或转换价格为下一开放日该类基金份额申购、赎回或转换的价格。</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w:t>
      </w:r>
      <w:r>
        <w:rPr>
          <w:rFonts w:ascii="宋体" w:eastAsia="宋体" w:hAnsi="宋体" w:cs="宋体" w:hint="eastAsia"/>
          <w:bCs/>
          <w:sz w:val="21"/>
          <w:szCs w:val="21"/>
        </w:rPr>
        <w:t>日常申购业务</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6" w:author="ZHONGM" w:date="2025-10-28T00:05:00Z">
          <w:pPr>
            <w:pStyle w:val="2"/>
            <w:widowControl w:val="0"/>
            <w:spacing w:beforeLines="50" w:afterLines="50" w:line="240" w:lineRule="auto"/>
            <w:jc w:val="left"/>
          </w:pPr>
        </w:pPrChange>
      </w:pPr>
      <w:r>
        <w:rPr>
          <w:rFonts w:ascii="宋体" w:eastAsia="宋体" w:hAnsi="宋体" w:cs="宋体" w:hint="eastAsia"/>
          <w:bCs/>
          <w:sz w:val="21"/>
          <w:szCs w:val="21"/>
        </w:rPr>
        <w:t>3.1</w:t>
      </w:r>
      <w:r>
        <w:rPr>
          <w:rFonts w:ascii="宋体" w:eastAsia="宋体" w:hAnsi="宋体" w:cs="宋体" w:hint="eastAsia"/>
          <w:bCs/>
          <w:sz w:val="21"/>
          <w:szCs w:val="21"/>
        </w:rPr>
        <w:t>申购金额限制</w:t>
      </w:r>
    </w:p>
    <w:p w:rsidR="009125F6" w:rsidRDefault="00405CC7">
      <w:pPr>
        <w:widowControl w:val="0"/>
        <w:spacing w:line="360" w:lineRule="auto"/>
        <w:ind w:firstLineChars="200" w:firstLine="420"/>
        <w:jc w:val="left"/>
      </w:pPr>
      <w:r>
        <w:rPr>
          <w:rFonts w:hint="eastAsia"/>
        </w:rPr>
        <w:t>投资者通过销售机构的销售网点首次申购本基金</w:t>
      </w:r>
      <w:r>
        <w:rPr>
          <w:rFonts w:hint="eastAsia"/>
        </w:rPr>
        <w:t>A</w:t>
      </w:r>
      <w:r>
        <w:rPr>
          <w:rFonts w:hint="eastAsia"/>
        </w:rPr>
        <w:t>类基金份额的，单笔最低限额为人民币</w:t>
      </w:r>
      <w:r>
        <w:rPr>
          <w:rFonts w:hint="eastAsia"/>
        </w:rPr>
        <w:t>1</w:t>
      </w:r>
      <w:r>
        <w:rPr>
          <w:rFonts w:hint="eastAsia"/>
        </w:rPr>
        <w:t>元，首次申购本基金</w:t>
      </w:r>
      <w:r>
        <w:rPr>
          <w:rFonts w:hint="eastAsia"/>
        </w:rPr>
        <w:t>C</w:t>
      </w:r>
      <w:r>
        <w:rPr>
          <w:rFonts w:hint="eastAsia"/>
        </w:rPr>
        <w:t>类基金份额的，单笔最低限额为人民币</w:t>
      </w:r>
      <w:r>
        <w:rPr>
          <w:rFonts w:hint="eastAsia"/>
        </w:rPr>
        <w:t>1</w:t>
      </w:r>
      <w:r>
        <w:rPr>
          <w:rFonts w:hint="eastAsia"/>
        </w:rPr>
        <w:t>元；通过基金管理人直销中心首次申购本基金</w:t>
      </w:r>
      <w:r>
        <w:rPr>
          <w:rFonts w:hint="eastAsia"/>
        </w:rPr>
        <w:t>A</w:t>
      </w:r>
      <w:r>
        <w:rPr>
          <w:rFonts w:hint="eastAsia"/>
        </w:rPr>
        <w:t>类基金份额的，单笔最低限额为人民币</w:t>
      </w:r>
      <w:r>
        <w:rPr>
          <w:rFonts w:hint="eastAsia"/>
        </w:rPr>
        <w:t>1</w:t>
      </w:r>
      <w:r>
        <w:rPr>
          <w:rFonts w:hint="eastAsia"/>
        </w:rPr>
        <w:t>元，首次申购本基金</w:t>
      </w:r>
      <w:r>
        <w:rPr>
          <w:rFonts w:hint="eastAsia"/>
        </w:rPr>
        <w:t>C</w:t>
      </w:r>
      <w:r>
        <w:rPr>
          <w:rFonts w:hint="eastAsia"/>
        </w:rPr>
        <w:t>类基金份额的，单笔最低限额为人民币</w:t>
      </w:r>
      <w:r>
        <w:rPr>
          <w:rFonts w:hint="eastAsia"/>
        </w:rPr>
        <w:t>1</w:t>
      </w:r>
      <w:r>
        <w:rPr>
          <w:rFonts w:hint="eastAsia"/>
        </w:rPr>
        <w:t>元。投资者通过销售机构的销售网点追加申购本基金</w:t>
      </w:r>
      <w:r>
        <w:rPr>
          <w:rFonts w:hint="eastAsia"/>
        </w:rPr>
        <w:t>A</w:t>
      </w:r>
      <w:r>
        <w:rPr>
          <w:rFonts w:hint="eastAsia"/>
        </w:rPr>
        <w:t>类、</w:t>
      </w:r>
      <w:r>
        <w:rPr>
          <w:rFonts w:hint="eastAsia"/>
        </w:rPr>
        <w:t>C</w:t>
      </w:r>
      <w:r>
        <w:rPr>
          <w:rFonts w:hint="eastAsia"/>
        </w:rPr>
        <w:t>类基金份额单笔最低限额为人民币</w:t>
      </w:r>
      <w:r>
        <w:rPr>
          <w:rFonts w:hint="eastAsia"/>
        </w:rPr>
        <w:t>1</w:t>
      </w:r>
      <w:r>
        <w:rPr>
          <w:rFonts w:hint="eastAsia"/>
        </w:rPr>
        <w:t>元，通过基金管理人直销中心追加申购本基金</w:t>
      </w:r>
      <w:r>
        <w:rPr>
          <w:rFonts w:hint="eastAsia"/>
        </w:rPr>
        <w:t>A</w:t>
      </w:r>
      <w:r>
        <w:rPr>
          <w:rFonts w:hint="eastAsia"/>
        </w:rPr>
        <w:t>类、</w:t>
      </w:r>
      <w:r>
        <w:rPr>
          <w:rFonts w:hint="eastAsia"/>
        </w:rPr>
        <w:t>C</w:t>
      </w:r>
      <w:r>
        <w:rPr>
          <w:rFonts w:hint="eastAsia"/>
        </w:rPr>
        <w:t>类基金份额单笔最低限额为人民币</w:t>
      </w:r>
      <w:r>
        <w:rPr>
          <w:rFonts w:hint="eastAsia"/>
        </w:rPr>
        <w:t>1</w:t>
      </w:r>
      <w:r>
        <w:rPr>
          <w:rFonts w:hint="eastAsia"/>
        </w:rPr>
        <w:t>元投资者将当期分配的基金收益转基金份额时，不受最低申购金额的限制。</w:t>
      </w:r>
    </w:p>
    <w:p w:rsidR="009125F6" w:rsidRDefault="00405CC7">
      <w:pPr>
        <w:widowControl w:val="0"/>
        <w:spacing w:line="360" w:lineRule="auto"/>
        <w:ind w:firstLineChars="200" w:firstLine="420"/>
        <w:jc w:val="left"/>
      </w:pPr>
      <w:r>
        <w:rPr>
          <w:rFonts w:hint="eastAsia"/>
        </w:rPr>
        <w:t>投资者将</w:t>
      </w:r>
      <w:r>
        <w:rPr>
          <w:rFonts w:hint="eastAsia"/>
        </w:rPr>
        <w:t>当期分配的基金收益转基金份额时，不受最低申购金额的限制。</w:t>
      </w:r>
    </w:p>
    <w:p w:rsidR="009125F6" w:rsidRDefault="00405CC7">
      <w:pPr>
        <w:widowControl w:val="0"/>
        <w:spacing w:line="360" w:lineRule="auto"/>
        <w:ind w:firstLineChars="200" w:firstLine="420"/>
        <w:jc w:val="left"/>
      </w:pPr>
      <w:r>
        <w:rPr>
          <w:rFonts w:hint="eastAsia"/>
        </w:rPr>
        <w:t>投资者可多次申购，对单个投资者累计持有份额不设上限，但单一投资者持有基金份额数不得达到或超过基金份额总数的</w:t>
      </w:r>
      <w:r>
        <w:rPr>
          <w:rFonts w:hint="eastAsia"/>
        </w:rPr>
        <w:t>50%(</w:t>
      </w:r>
      <w:r>
        <w:rPr>
          <w:rFonts w:hint="eastAsia"/>
        </w:rPr>
        <w:t>在基金运作过程中因基金份额赎回等情形导致被动达到或超过</w:t>
      </w:r>
      <w:r>
        <w:rPr>
          <w:rFonts w:hint="eastAsia"/>
        </w:rPr>
        <w:t>50%</w:t>
      </w:r>
      <w:r>
        <w:rPr>
          <w:rFonts w:hint="eastAsia"/>
        </w:rPr>
        <w:t>的除外</w:t>
      </w:r>
      <w:r>
        <w:rPr>
          <w:rFonts w:hint="eastAsia"/>
        </w:rPr>
        <w:t>)</w:t>
      </w:r>
      <w:r>
        <w:rPr>
          <w:rFonts w:hint="eastAsia"/>
        </w:rPr>
        <w:t>。法律法规、中国证监会另有规定的除外。</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3.2</w:t>
      </w:r>
      <w:r>
        <w:rPr>
          <w:rFonts w:ascii="宋体" w:eastAsia="宋体" w:hAnsi="宋体" w:cs="宋体" w:hint="eastAsia"/>
          <w:bCs/>
          <w:sz w:val="21"/>
          <w:szCs w:val="21"/>
        </w:rPr>
        <w:t>申购费率</w:t>
      </w:r>
    </w:p>
    <w:p w:rsidR="009125F6" w:rsidRDefault="00405CC7">
      <w:pPr>
        <w:widowControl w:val="0"/>
        <w:spacing w:line="360" w:lineRule="auto"/>
        <w:ind w:firstLineChars="200" w:firstLine="420"/>
        <w:jc w:val="left"/>
        <w:rPr>
          <w:rFonts w:ascii="宋体" w:hAnsi="宋体" w:cs="宋体"/>
          <w:szCs w:val="21"/>
        </w:rPr>
      </w:pPr>
      <w:r>
        <w:rPr>
          <w:rFonts w:ascii="宋体" w:hAnsi="宋体" w:cs="宋体" w:hint="eastAsia"/>
          <w:szCs w:val="21"/>
        </w:rPr>
        <w:t>本基金</w:t>
      </w:r>
      <w:r>
        <w:rPr>
          <w:rFonts w:ascii="宋体" w:hAnsi="宋体" w:cs="宋体" w:hint="eastAsia"/>
          <w:szCs w:val="21"/>
        </w:rPr>
        <w:t>A</w:t>
      </w:r>
      <w:r>
        <w:rPr>
          <w:rFonts w:ascii="宋体" w:hAnsi="宋体" w:cs="宋体" w:hint="eastAsia"/>
          <w:szCs w:val="21"/>
        </w:rPr>
        <w:t>类基金份额收取申购费用，</w:t>
      </w:r>
      <w:r>
        <w:rPr>
          <w:rFonts w:ascii="宋体" w:hAnsi="宋体" w:cs="宋体" w:hint="eastAsia"/>
          <w:szCs w:val="21"/>
        </w:rPr>
        <w:t>C</w:t>
      </w:r>
      <w:r>
        <w:rPr>
          <w:rFonts w:ascii="宋体" w:hAnsi="宋体" w:cs="宋体" w:hint="eastAsia"/>
          <w:szCs w:val="21"/>
        </w:rPr>
        <w:t>类基金份额不收取申购费。本基金的</w:t>
      </w:r>
      <w:r>
        <w:rPr>
          <w:rFonts w:ascii="宋体" w:hAnsi="宋体" w:cs="宋体" w:hint="eastAsia"/>
          <w:szCs w:val="21"/>
        </w:rPr>
        <w:t>A</w:t>
      </w:r>
      <w:r>
        <w:rPr>
          <w:rFonts w:ascii="宋体" w:hAnsi="宋体" w:cs="宋体" w:hint="eastAsia"/>
          <w:szCs w:val="21"/>
        </w:rPr>
        <w:t>类基金份额的申购费率由基金管理人决定，</w:t>
      </w:r>
      <w:r>
        <w:rPr>
          <w:rFonts w:ascii="宋体" w:hAnsi="宋体" w:cs="宋体" w:hint="eastAsia"/>
          <w:szCs w:val="21"/>
        </w:rPr>
        <w:t>A</w:t>
      </w:r>
      <w:r>
        <w:rPr>
          <w:rFonts w:ascii="宋体" w:hAnsi="宋体" w:cs="宋体" w:hint="eastAsia"/>
          <w:szCs w:val="21"/>
        </w:rPr>
        <w:t>类基金份额的申购费用由申购</w:t>
      </w:r>
      <w:r>
        <w:rPr>
          <w:rFonts w:ascii="宋体" w:hAnsi="宋体" w:cs="宋体" w:hint="eastAsia"/>
          <w:szCs w:val="21"/>
        </w:rPr>
        <w:t>A</w:t>
      </w:r>
      <w:r>
        <w:rPr>
          <w:rFonts w:ascii="宋体" w:hAnsi="宋体" w:cs="宋体" w:hint="eastAsia"/>
          <w:szCs w:val="21"/>
        </w:rPr>
        <w:t>类基金份额的投资人承担，不列入基金财产，主要用于本基金的市场推广、销售、登记等各</w:t>
      </w:r>
      <w:r>
        <w:rPr>
          <w:rFonts w:ascii="宋体" w:hAnsi="宋体" w:cs="宋体" w:hint="eastAsia"/>
          <w:szCs w:val="21"/>
        </w:rPr>
        <w:t>项费用。投资人申购本基金</w:t>
      </w:r>
      <w:r>
        <w:rPr>
          <w:rFonts w:ascii="宋体" w:hAnsi="宋体" w:cs="宋体" w:hint="eastAsia"/>
          <w:szCs w:val="21"/>
        </w:rPr>
        <w:t>A</w:t>
      </w:r>
      <w:r>
        <w:rPr>
          <w:rFonts w:ascii="宋体" w:hAnsi="宋体" w:cs="宋体" w:hint="eastAsia"/>
          <w:szCs w:val="21"/>
        </w:rPr>
        <w:t>类基金份额时，需交纳申购费用，费率按申购金额递减。投资人在一天之内如果有多笔申购，适用费率按单笔分别计算。具体费率如下：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3"/>
        <w:gridCol w:w="3396"/>
      </w:tblGrid>
      <w:tr w:rsidR="009125F6">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rPr>
                <w:rFonts w:ascii="宋体" w:hAnsi="宋体" w:cs="宋体"/>
                <w:szCs w:val="21"/>
              </w:rPr>
            </w:pPr>
            <w:r>
              <w:rPr>
                <w:rFonts w:ascii="宋体" w:hAnsi="宋体" w:cs="宋体" w:hint="eastAsia"/>
                <w:szCs w:val="21"/>
              </w:rPr>
              <w:t>申购金额（</w:t>
            </w:r>
            <w:r>
              <w:rPr>
                <w:rFonts w:ascii="宋体" w:hAnsi="宋体" w:cs="宋体" w:hint="eastAsia"/>
                <w:szCs w:val="21"/>
              </w:rPr>
              <w:t>M</w:t>
            </w:r>
            <w:r>
              <w:rPr>
                <w:rFonts w:ascii="宋体" w:hAnsi="宋体" w:cs="宋体" w:hint="eastAsia"/>
                <w:szCs w:val="21"/>
              </w:rPr>
              <w:t>，含申购费）</w:t>
            </w:r>
          </w:p>
        </w:tc>
        <w:tc>
          <w:tcPr>
            <w:tcW w:w="3396" w:type="dxa"/>
            <w:tcBorders>
              <w:top w:val="single" w:sz="4" w:space="0" w:color="auto"/>
              <w:left w:val="nil"/>
              <w:bottom w:val="single" w:sz="4" w:space="0" w:color="auto"/>
              <w:right w:val="single" w:sz="4" w:space="0" w:color="auto"/>
            </w:tcBorders>
          </w:tcPr>
          <w:p w:rsidR="009125F6" w:rsidRDefault="00405CC7">
            <w:pPr>
              <w:spacing w:line="360" w:lineRule="auto"/>
              <w:jc w:val="center"/>
              <w:rPr>
                <w:rFonts w:ascii="宋体" w:hAnsi="宋体" w:cs="宋体"/>
                <w:szCs w:val="21"/>
              </w:rPr>
            </w:pPr>
            <w:r>
              <w:rPr>
                <w:rFonts w:ascii="宋体" w:hAnsi="宋体" w:cs="宋体" w:hint="eastAsia"/>
                <w:szCs w:val="21"/>
              </w:rPr>
              <w:t>申购费率</w:t>
            </w:r>
          </w:p>
        </w:tc>
      </w:tr>
      <w:tr w:rsidR="009125F6">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rPr>
                <w:rFonts w:cs="Calibri"/>
                <w:sz w:val="24"/>
                <w:szCs w:val="24"/>
              </w:rPr>
            </w:pPr>
            <w:r>
              <w:rPr>
                <w:rFonts w:hint="eastAsia"/>
              </w:rPr>
              <w:t>M</w:t>
            </w:r>
            <w:r>
              <w:rPr>
                <w:rFonts w:hint="eastAsia"/>
              </w:rPr>
              <w:t>＜</w:t>
            </w:r>
            <w:r>
              <w:rPr>
                <w:rFonts w:hint="eastAsia"/>
              </w:rPr>
              <w:t>100</w:t>
            </w:r>
            <w:r>
              <w:rPr>
                <w:rFonts w:hint="eastAsia"/>
              </w:rPr>
              <w:t>万元</w:t>
            </w:r>
          </w:p>
        </w:tc>
        <w:tc>
          <w:tcPr>
            <w:tcW w:w="3396" w:type="dxa"/>
            <w:tcBorders>
              <w:top w:val="single" w:sz="4" w:space="0" w:color="auto"/>
              <w:left w:val="nil"/>
              <w:bottom w:val="single" w:sz="4" w:space="0" w:color="auto"/>
              <w:right w:val="single" w:sz="4" w:space="0" w:color="auto"/>
            </w:tcBorders>
          </w:tcPr>
          <w:p w:rsidR="009125F6" w:rsidRDefault="00405CC7">
            <w:pPr>
              <w:spacing w:line="360" w:lineRule="auto"/>
              <w:jc w:val="center"/>
              <w:rPr>
                <w:rFonts w:cs="Calibri"/>
                <w:sz w:val="24"/>
                <w:szCs w:val="24"/>
              </w:rPr>
            </w:pPr>
            <w:r>
              <w:rPr>
                <w:rFonts w:hint="eastAsia"/>
              </w:rPr>
              <w:t>0.60%</w:t>
            </w:r>
          </w:p>
        </w:tc>
      </w:tr>
      <w:tr w:rsidR="009125F6">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rPr>
                <w:rFonts w:cs="Calibri"/>
                <w:sz w:val="24"/>
                <w:szCs w:val="24"/>
              </w:rPr>
            </w:pPr>
            <w:r>
              <w:rPr>
                <w:rFonts w:hint="eastAsia"/>
              </w:rPr>
              <w:t>100</w:t>
            </w:r>
            <w:r>
              <w:rPr>
                <w:rFonts w:hint="eastAsia"/>
              </w:rPr>
              <w:t>万元≤</w:t>
            </w:r>
            <w:r>
              <w:rPr>
                <w:rFonts w:hint="eastAsia"/>
              </w:rPr>
              <w:t>M</w:t>
            </w:r>
            <w:r>
              <w:rPr>
                <w:rFonts w:hint="eastAsia"/>
              </w:rPr>
              <w:t>＜</w:t>
            </w:r>
            <w:r>
              <w:rPr>
                <w:rFonts w:hint="eastAsia"/>
              </w:rPr>
              <w:t>300</w:t>
            </w:r>
            <w:r>
              <w:rPr>
                <w:rFonts w:hint="eastAsia"/>
              </w:rPr>
              <w:t>万元</w:t>
            </w:r>
          </w:p>
        </w:tc>
        <w:tc>
          <w:tcPr>
            <w:tcW w:w="3396" w:type="dxa"/>
            <w:tcBorders>
              <w:top w:val="single" w:sz="4" w:space="0" w:color="auto"/>
              <w:left w:val="nil"/>
              <w:bottom w:val="single" w:sz="4" w:space="0" w:color="auto"/>
              <w:right w:val="single" w:sz="4" w:space="0" w:color="auto"/>
            </w:tcBorders>
          </w:tcPr>
          <w:p w:rsidR="009125F6" w:rsidRDefault="00405CC7">
            <w:pPr>
              <w:spacing w:line="360" w:lineRule="auto"/>
              <w:jc w:val="center"/>
              <w:rPr>
                <w:rFonts w:cs="Calibri"/>
                <w:sz w:val="24"/>
                <w:szCs w:val="24"/>
              </w:rPr>
            </w:pPr>
            <w:r>
              <w:rPr>
                <w:rFonts w:hint="eastAsia"/>
              </w:rPr>
              <w:t>0.40%</w:t>
            </w:r>
          </w:p>
        </w:tc>
      </w:tr>
      <w:tr w:rsidR="009125F6">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rPr>
                <w:rFonts w:cs="Calibri"/>
                <w:sz w:val="24"/>
                <w:szCs w:val="24"/>
              </w:rPr>
            </w:pPr>
            <w:r>
              <w:rPr>
                <w:rFonts w:hint="eastAsia"/>
              </w:rPr>
              <w:t>300</w:t>
            </w:r>
            <w:r>
              <w:rPr>
                <w:rFonts w:hint="eastAsia"/>
              </w:rPr>
              <w:t>万元≤</w:t>
            </w:r>
            <w:r>
              <w:rPr>
                <w:rFonts w:hint="eastAsia"/>
              </w:rPr>
              <w:t>M</w:t>
            </w:r>
            <w:r>
              <w:rPr>
                <w:rFonts w:hint="eastAsia"/>
              </w:rPr>
              <w:t>＜</w:t>
            </w:r>
            <w:r>
              <w:rPr>
                <w:rFonts w:hint="eastAsia"/>
              </w:rPr>
              <w:t>500</w:t>
            </w:r>
            <w:r>
              <w:rPr>
                <w:rFonts w:hint="eastAsia"/>
              </w:rPr>
              <w:t>万元</w:t>
            </w:r>
          </w:p>
        </w:tc>
        <w:tc>
          <w:tcPr>
            <w:tcW w:w="3396" w:type="dxa"/>
            <w:tcBorders>
              <w:top w:val="single" w:sz="4" w:space="0" w:color="auto"/>
              <w:left w:val="nil"/>
              <w:bottom w:val="single" w:sz="4" w:space="0" w:color="auto"/>
              <w:right w:val="single" w:sz="4" w:space="0" w:color="auto"/>
            </w:tcBorders>
          </w:tcPr>
          <w:p w:rsidR="009125F6" w:rsidRDefault="00405CC7">
            <w:pPr>
              <w:spacing w:line="360" w:lineRule="auto"/>
              <w:jc w:val="center"/>
              <w:rPr>
                <w:rFonts w:cs="Calibri"/>
                <w:sz w:val="24"/>
                <w:szCs w:val="24"/>
              </w:rPr>
            </w:pPr>
            <w:r>
              <w:rPr>
                <w:rFonts w:hint="eastAsia"/>
              </w:rPr>
              <w:t>0.20%</w:t>
            </w:r>
          </w:p>
        </w:tc>
      </w:tr>
      <w:tr w:rsidR="009125F6">
        <w:trPr>
          <w:trHeight w:val="211"/>
          <w:jc w:val="center"/>
        </w:trPr>
        <w:tc>
          <w:tcPr>
            <w:tcW w:w="3833" w:type="dxa"/>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rPr>
                <w:rFonts w:ascii="宋体"/>
                <w:bCs/>
                <w:color w:val="000000"/>
                <w:sz w:val="24"/>
              </w:rPr>
            </w:pPr>
            <w:r>
              <w:rPr>
                <w:rFonts w:hint="eastAsia"/>
              </w:rPr>
              <w:t>M</w:t>
            </w:r>
            <w:r>
              <w:rPr>
                <w:rFonts w:hint="eastAsia"/>
              </w:rPr>
              <w:t>≥</w:t>
            </w:r>
            <w:r>
              <w:rPr>
                <w:rFonts w:hint="eastAsia"/>
              </w:rPr>
              <w:t>500</w:t>
            </w:r>
            <w:r>
              <w:rPr>
                <w:rFonts w:hint="eastAsia"/>
              </w:rPr>
              <w:t>万元</w:t>
            </w:r>
          </w:p>
        </w:tc>
        <w:tc>
          <w:tcPr>
            <w:tcW w:w="3396" w:type="dxa"/>
            <w:tcBorders>
              <w:top w:val="single" w:sz="4" w:space="0" w:color="auto"/>
              <w:left w:val="nil"/>
              <w:bottom w:val="single" w:sz="4" w:space="0" w:color="auto"/>
              <w:right w:val="single" w:sz="4" w:space="0" w:color="auto"/>
            </w:tcBorders>
          </w:tcPr>
          <w:p w:rsidR="009125F6" w:rsidRDefault="00405CC7">
            <w:pPr>
              <w:spacing w:line="360" w:lineRule="auto"/>
              <w:jc w:val="center"/>
              <w:rPr>
                <w:rFonts w:ascii="宋体"/>
                <w:bCs/>
                <w:color w:val="000000"/>
                <w:sz w:val="24"/>
              </w:rPr>
            </w:pPr>
            <w:r>
              <w:rPr>
                <w:rFonts w:hint="eastAsia"/>
              </w:rPr>
              <w:t>按笔收取，</w:t>
            </w:r>
            <w:r>
              <w:rPr>
                <w:rFonts w:hint="eastAsia"/>
              </w:rPr>
              <w:t>1000</w:t>
            </w:r>
            <w:r>
              <w:rPr>
                <w:rFonts w:hint="eastAsia"/>
              </w:rPr>
              <w:t>元</w:t>
            </w:r>
            <w:r>
              <w:rPr>
                <w:rFonts w:hint="eastAsia"/>
              </w:rPr>
              <w:t>/</w:t>
            </w:r>
            <w:r>
              <w:rPr>
                <w:rFonts w:hint="eastAsia"/>
              </w:rPr>
              <w:t>笔</w:t>
            </w:r>
          </w:p>
        </w:tc>
      </w:tr>
    </w:tbl>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7" w:author="ZHONGM" w:date="2025-10-28T00:05:00Z">
          <w:pPr>
            <w:pStyle w:val="2"/>
            <w:widowControl w:val="0"/>
            <w:spacing w:beforeLines="50" w:afterLines="50" w:line="240" w:lineRule="auto"/>
            <w:jc w:val="left"/>
          </w:pPr>
        </w:pPrChange>
      </w:pPr>
      <w:r>
        <w:rPr>
          <w:rFonts w:ascii="宋体" w:eastAsia="宋体" w:hAnsi="宋体" w:cs="宋体" w:hint="eastAsia"/>
          <w:bCs/>
          <w:sz w:val="21"/>
          <w:szCs w:val="21"/>
        </w:rPr>
        <w:t>4.1</w:t>
      </w:r>
      <w:r>
        <w:rPr>
          <w:rFonts w:ascii="宋体" w:eastAsia="宋体" w:hAnsi="宋体" w:cs="宋体" w:hint="eastAsia"/>
          <w:bCs/>
          <w:sz w:val="21"/>
          <w:szCs w:val="21"/>
        </w:rPr>
        <w:t>赎回份额限制</w:t>
      </w:r>
    </w:p>
    <w:p w:rsidR="009125F6" w:rsidRDefault="00405CC7">
      <w:pPr>
        <w:widowControl w:val="0"/>
        <w:spacing w:line="360" w:lineRule="auto"/>
        <w:ind w:firstLineChars="200" w:firstLine="420"/>
        <w:jc w:val="left"/>
        <w:rPr>
          <w:rFonts w:ascii="宋体" w:hAnsi="宋体" w:cs="宋体"/>
          <w:szCs w:val="21"/>
        </w:rPr>
      </w:pPr>
      <w:r>
        <w:rPr>
          <w:rFonts w:ascii="宋体" w:hAnsi="宋体" w:cs="宋体" w:hint="eastAsia"/>
          <w:szCs w:val="21"/>
        </w:rPr>
        <w:t>基金份额持有人在销售机构赎回时，基金份额持有人可将其全部或部分基金份额赎回，机构投资者每次赎回份额申请不得低于</w:t>
      </w:r>
      <w:r>
        <w:rPr>
          <w:rFonts w:ascii="宋体" w:hAnsi="宋体" w:cs="宋体" w:hint="eastAsia"/>
          <w:szCs w:val="21"/>
        </w:rPr>
        <w:t>1</w:t>
      </w:r>
      <w:r>
        <w:rPr>
          <w:rFonts w:ascii="宋体" w:hAnsi="宋体" w:cs="宋体" w:hint="eastAsia"/>
          <w:szCs w:val="21"/>
        </w:rPr>
        <w:t>份基金份额，个人投资者每次赎回份额申请不得低于</w:t>
      </w:r>
      <w:r>
        <w:rPr>
          <w:rFonts w:ascii="宋体" w:hAnsi="宋体" w:cs="宋体" w:hint="eastAsia"/>
          <w:szCs w:val="21"/>
        </w:rPr>
        <w:t>1</w:t>
      </w:r>
      <w:r>
        <w:rPr>
          <w:rFonts w:ascii="宋体" w:hAnsi="宋体" w:cs="宋体" w:hint="eastAsia"/>
          <w:szCs w:val="21"/>
        </w:rPr>
        <w:t>份基金份额。</w:t>
      </w:r>
      <w:r>
        <w:rPr>
          <w:rFonts w:ascii="宋体" w:hAnsi="宋体" w:cs="宋体" w:hint="eastAsia"/>
          <w:szCs w:val="21"/>
        </w:rPr>
        <w:t xml:space="preserve"> </w:t>
      </w:r>
    </w:p>
    <w:p w:rsidR="009125F6" w:rsidRDefault="00405CC7">
      <w:pPr>
        <w:widowControl w:val="0"/>
        <w:spacing w:line="360" w:lineRule="auto"/>
        <w:ind w:firstLineChars="200" w:firstLine="420"/>
        <w:jc w:val="left"/>
        <w:rPr>
          <w:rFonts w:ascii="宋体" w:hAnsi="宋体" w:cs="宋体"/>
          <w:szCs w:val="21"/>
        </w:rPr>
      </w:pPr>
      <w:r>
        <w:rPr>
          <w:rFonts w:ascii="宋体" w:hAnsi="宋体" w:cs="宋体" w:hint="eastAsia"/>
          <w:szCs w:val="21"/>
        </w:rPr>
        <w:t>机构投资者在销售机构保留的基金份额最低余额为</w:t>
      </w:r>
      <w:r>
        <w:rPr>
          <w:rFonts w:ascii="宋体" w:hAnsi="宋体" w:cs="宋体" w:hint="eastAsia"/>
          <w:szCs w:val="21"/>
        </w:rPr>
        <w:t>1</w:t>
      </w:r>
      <w:r>
        <w:rPr>
          <w:rFonts w:ascii="宋体" w:hAnsi="宋体" w:cs="宋体" w:hint="eastAsia"/>
          <w:szCs w:val="21"/>
        </w:rPr>
        <w:t>份，个人投资者在销售机构保留的基金份额最低余额为</w:t>
      </w:r>
      <w:r>
        <w:rPr>
          <w:rFonts w:ascii="宋体" w:hAnsi="宋体" w:cs="宋体" w:hint="eastAsia"/>
          <w:szCs w:val="21"/>
        </w:rPr>
        <w:t>1</w:t>
      </w:r>
      <w:r>
        <w:rPr>
          <w:rFonts w:ascii="宋体" w:hAnsi="宋体" w:cs="宋体" w:hint="eastAsia"/>
          <w:szCs w:val="21"/>
        </w:rPr>
        <w:t>份，基金份额持有人赎回时或赎回后在销售机构保留的基金份额余额不足上述余额的，余额部分基金份额在赎回时需同时全部赎回。</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8" w:author="ZHONGM" w:date="2025-10-28T00:05:00Z">
          <w:pPr>
            <w:pStyle w:val="2"/>
            <w:widowControl w:val="0"/>
            <w:spacing w:beforeLines="50" w:afterLines="50" w:line="240" w:lineRule="auto"/>
            <w:jc w:val="left"/>
          </w:pPr>
        </w:pPrChange>
      </w:pPr>
      <w:r>
        <w:rPr>
          <w:rFonts w:ascii="宋体" w:eastAsia="宋体" w:hAnsi="宋体" w:cs="宋体" w:hint="eastAsia"/>
          <w:bCs/>
          <w:sz w:val="21"/>
          <w:szCs w:val="21"/>
        </w:rPr>
        <w:t>4.2</w:t>
      </w:r>
      <w:r>
        <w:rPr>
          <w:rFonts w:ascii="宋体" w:eastAsia="宋体" w:hAnsi="宋体" w:cs="宋体" w:hint="eastAsia"/>
          <w:bCs/>
          <w:sz w:val="21"/>
          <w:szCs w:val="21"/>
        </w:rPr>
        <w:t>赎回费率</w:t>
      </w:r>
    </w:p>
    <w:p w:rsidR="009125F6" w:rsidRDefault="00405CC7">
      <w:pPr>
        <w:spacing w:line="360" w:lineRule="auto"/>
        <w:ind w:firstLineChars="200" w:firstLine="420"/>
        <w:jc w:val="left"/>
        <w:rPr>
          <w:rFonts w:ascii="宋体" w:hAnsi="宋体" w:cs="宋体"/>
          <w:szCs w:val="21"/>
        </w:rPr>
      </w:pPr>
      <w:r>
        <w:rPr>
          <w:rFonts w:ascii="宋体" w:hAnsi="宋体" w:cs="宋体" w:hint="eastAsia"/>
          <w:szCs w:val="21"/>
        </w:rPr>
        <w:t>赎回费用由赎回本基金基金份额的基金份额持有人承担，在基金份额持有人赎回基金份额时收取，并全额归入基金财产，</w:t>
      </w:r>
      <w:r>
        <w:rPr>
          <w:rFonts w:ascii="宋体" w:hAnsi="宋体" w:cs="宋体" w:hint="eastAsia"/>
          <w:szCs w:val="21"/>
        </w:rPr>
        <w:t>具体赎回费率为：</w:t>
      </w:r>
    </w:p>
    <w:p w:rsidR="009125F6" w:rsidRDefault="00405CC7">
      <w:pPr>
        <w:spacing w:line="360" w:lineRule="auto"/>
        <w:ind w:firstLineChars="200" w:firstLine="420"/>
        <w:jc w:val="left"/>
        <w:rPr>
          <w:rFonts w:ascii="宋体" w:hAnsi="宋体" w:cs="宋体"/>
          <w:szCs w:val="21"/>
        </w:rPr>
      </w:pPr>
      <w:r>
        <w:rPr>
          <w:rFonts w:ascii="宋体" w:hAnsi="宋体" w:cs="宋体" w:hint="eastAsia"/>
          <w:szCs w:val="21"/>
        </w:rPr>
        <w:t>A</w:t>
      </w:r>
      <w:r>
        <w:rPr>
          <w:rFonts w:ascii="宋体" w:hAnsi="宋体" w:cs="宋体" w:hint="eastAsia"/>
          <w:szCs w:val="21"/>
        </w:rPr>
        <w:t>类基金份额</w:t>
      </w:r>
    </w:p>
    <w:tbl>
      <w:tblPr>
        <w:tblW w:w="3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788"/>
      </w:tblGrid>
      <w:tr w:rsidR="009125F6">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pPr>
            <w:r>
              <w:t>持有时间（</w:t>
            </w:r>
            <w:r>
              <w:t>Y</w:t>
            </w:r>
            <w:r>
              <w:t>）</w:t>
            </w:r>
          </w:p>
        </w:tc>
        <w:tc>
          <w:tcPr>
            <w:tcW w:w="2431" w:type="pct"/>
            <w:tcBorders>
              <w:top w:val="single" w:sz="4" w:space="0" w:color="auto"/>
              <w:left w:val="nil"/>
              <w:bottom w:val="single" w:sz="4" w:space="0" w:color="auto"/>
              <w:right w:val="single" w:sz="4" w:space="0" w:color="auto"/>
            </w:tcBorders>
          </w:tcPr>
          <w:p w:rsidR="009125F6" w:rsidRDefault="00405CC7">
            <w:pPr>
              <w:spacing w:line="360" w:lineRule="auto"/>
              <w:ind w:firstLineChars="200" w:firstLine="420"/>
              <w:jc w:val="center"/>
            </w:pPr>
            <w:r>
              <w:t>赎回费率</w:t>
            </w:r>
          </w:p>
        </w:tc>
      </w:tr>
      <w:tr w:rsidR="009125F6">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pPr>
            <w:r>
              <w:t>Y</w:t>
            </w:r>
            <w:r>
              <w:t>＜</w:t>
            </w:r>
            <w:r>
              <w:t>7</w:t>
            </w:r>
            <w:r>
              <w:t>日</w:t>
            </w:r>
          </w:p>
        </w:tc>
        <w:tc>
          <w:tcPr>
            <w:tcW w:w="2431" w:type="pct"/>
            <w:tcBorders>
              <w:top w:val="single" w:sz="4" w:space="0" w:color="auto"/>
              <w:left w:val="nil"/>
              <w:bottom w:val="single" w:sz="4" w:space="0" w:color="auto"/>
              <w:right w:val="single" w:sz="4" w:space="0" w:color="auto"/>
            </w:tcBorders>
          </w:tcPr>
          <w:p w:rsidR="009125F6" w:rsidRDefault="00405CC7">
            <w:pPr>
              <w:spacing w:line="360" w:lineRule="auto"/>
              <w:jc w:val="center"/>
            </w:pPr>
            <w:r>
              <w:t xml:space="preserve">    1.5%</w:t>
            </w:r>
          </w:p>
        </w:tc>
      </w:tr>
      <w:tr w:rsidR="009125F6">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pPr>
            <w:r>
              <w:t>7</w:t>
            </w:r>
            <w:r>
              <w:t>日</w:t>
            </w:r>
            <w:r>
              <w:t>≤Y</w:t>
            </w:r>
            <w:r>
              <w:t>＜</w:t>
            </w:r>
            <w:r>
              <w:t>30</w:t>
            </w:r>
            <w:r>
              <w:t>日</w:t>
            </w:r>
          </w:p>
        </w:tc>
        <w:tc>
          <w:tcPr>
            <w:tcW w:w="2431" w:type="pct"/>
            <w:tcBorders>
              <w:top w:val="single" w:sz="4" w:space="0" w:color="auto"/>
              <w:left w:val="nil"/>
              <w:bottom w:val="single" w:sz="4" w:space="0" w:color="auto"/>
              <w:right w:val="single" w:sz="4" w:space="0" w:color="auto"/>
            </w:tcBorders>
          </w:tcPr>
          <w:p w:rsidR="009125F6" w:rsidRDefault="00405CC7">
            <w:pPr>
              <w:spacing w:line="360" w:lineRule="auto"/>
              <w:ind w:firstLineChars="200" w:firstLine="420"/>
              <w:jc w:val="center"/>
            </w:pPr>
            <w:r>
              <w:t>0.1%</w:t>
            </w:r>
          </w:p>
        </w:tc>
      </w:tr>
      <w:tr w:rsidR="009125F6">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pPr>
            <w:r>
              <w:t>Y≥30</w:t>
            </w:r>
            <w:r>
              <w:t>日</w:t>
            </w:r>
          </w:p>
        </w:tc>
        <w:tc>
          <w:tcPr>
            <w:tcW w:w="2431" w:type="pct"/>
            <w:tcBorders>
              <w:top w:val="single" w:sz="4" w:space="0" w:color="auto"/>
              <w:left w:val="nil"/>
              <w:bottom w:val="single" w:sz="4" w:space="0" w:color="auto"/>
              <w:right w:val="single" w:sz="4" w:space="0" w:color="auto"/>
            </w:tcBorders>
          </w:tcPr>
          <w:p w:rsidR="009125F6" w:rsidRDefault="00405CC7">
            <w:pPr>
              <w:spacing w:line="360" w:lineRule="auto"/>
              <w:jc w:val="center"/>
            </w:pPr>
            <w:r>
              <w:t xml:space="preserve">   0</w:t>
            </w:r>
          </w:p>
        </w:tc>
      </w:tr>
    </w:tbl>
    <w:p w:rsidR="009125F6" w:rsidRDefault="00405CC7">
      <w:pPr>
        <w:spacing w:line="360" w:lineRule="auto"/>
        <w:ind w:firstLineChars="200" w:firstLine="420"/>
        <w:jc w:val="left"/>
        <w:rPr>
          <w:rFonts w:ascii="宋体" w:hAnsi="宋体" w:cs="宋体"/>
          <w:szCs w:val="21"/>
        </w:rPr>
      </w:pPr>
      <w:r>
        <w:rPr>
          <w:rFonts w:ascii="宋体" w:hAnsi="宋体" w:cs="宋体" w:hint="eastAsia"/>
          <w:szCs w:val="21"/>
        </w:rPr>
        <w:t>C</w:t>
      </w:r>
      <w:r>
        <w:rPr>
          <w:rFonts w:ascii="宋体" w:hAnsi="宋体" w:cs="宋体" w:hint="eastAsia"/>
          <w:szCs w:val="21"/>
        </w:rPr>
        <w:t>类基金份额</w:t>
      </w:r>
    </w:p>
    <w:tbl>
      <w:tblPr>
        <w:tblW w:w="3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788"/>
      </w:tblGrid>
      <w:tr w:rsidR="009125F6">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pPr>
            <w:r>
              <w:t>持有时间（</w:t>
            </w:r>
            <w:r>
              <w:t>Y</w:t>
            </w:r>
            <w:r>
              <w:t>）</w:t>
            </w:r>
          </w:p>
        </w:tc>
        <w:tc>
          <w:tcPr>
            <w:tcW w:w="2431" w:type="pct"/>
            <w:tcBorders>
              <w:top w:val="single" w:sz="4" w:space="0" w:color="auto"/>
              <w:left w:val="nil"/>
              <w:bottom w:val="single" w:sz="4" w:space="0" w:color="auto"/>
              <w:right w:val="single" w:sz="4" w:space="0" w:color="auto"/>
            </w:tcBorders>
          </w:tcPr>
          <w:p w:rsidR="009125F6" w:rsidRDefault="00405CC7">
            <w:pPr>
              <w:spacing w:line="360" w:lineRule="auto"/>
              <w:ind w:firstLineChars="200" w:firstLine="420"/>
              <w:jc w:val="center"/>
            </w:pPr>
            <w:r>
              <w:t>赎回费率</w:t>
            </w:r>
          </w:p>
        </w:tc>
      </w:tr>
      <w:tr w:rsidR="009125F6">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pPr>
            <w:r>
              <w:t>Y</w:t>
            </w:r>
            <w:r>
              <w:t>＜</w:t>
            </w:r>
            <w:r>
              <w:t>7</w:t>
            </w:r>
            <w:r>
              <w:t>日</w:t>
            </w:r>
          </w:p>
        </w:tc>
        <w:tc>
          <w:tcPr>
            <w:tcW w:w="2431" w:type="pct"/>
            <w:tcBorders>
              <w:top w:val="single" w:sz="4" w:space="0" w:color="auto"/>
              <w:left w:val="nil"/>
              <w:bottom w:val="single" w:sz="4" w:space="0" w:color="auto"/>
              <w:right w:val="single" w:sz="4" w:space="0" w:color="auto"/>
            </w:tcBorders>
          </w:tcPr>
          <w:p w:rsidR="009125F6" w:rsidRDefault="00405CC7">
            <w:pPr>
              <w:spacing w:line="360" w:lineRule="auto"/>
              <w:jc w:val="center"/>
            </w:pPr>
            <w:r>
              <w:t xml:space="preserve">    1.5%</w:t>
            </w:r>
          </w:p>
        </w:tc>
      </w:tr>
      <w:tr w:rsidR="009125F6">
        <w:trPr>
          <w:trHeight w:val="211"/>
          <w:jc w:val="center"/>
        </w:trPr>
        <w:tc>
          <w:tcPr>
            <w:tcW w:w="2569" w:type="pct"/>
            <w:tcBorders>
              <w:top w:val="single" w:sz="4" w:space="0" w:color="auto"/>
              <w:left w:val="single" w:sz="4" w:space="0" w:color="auto"/>
              <w:bottom w:val="single" w:sz="4" w:space="0" w:color="auto"/>
              <w:right w:val="single" w:sz="4" w:space="0" w:color="auto"/>
            </w:tcBorders>
          </w:tcPr>
          <w:p w:rsidR="009125F6" w:rsidRDefault="00405CC7">
            <w:pPr>
              <w:spacing w:line="360" w:lineRule="auto"/>
              <w:jc w:val="center"/>
            </w:pPr>
            <w:r>
              <w:t>Y≥7</w:t>
            </w:r>
            <w:r>
              <w:t>日</w:t>
            </w:r>
          </w:p>
        </w:tc>
        <w:tc>
          <w:tcPr>
            <w:tcW w:w="2431" w:type="pct"/>
            <w:tcBorders>
              <w:top w:val="single" w:sz="4" w:space="0" w:color="auto"/>
              <w:left w:val="nil"/>
              <w:bottom w:val="single" w:sz="4" w:space="0" w:color="auto"/>
              <w:right w:val="single" w:sz="4" w:space="0" w:color="auto"/>
            </w:tcBorders>
          </w:tcPr>
          <w:p w:rsidR="009125F6" w:rsidRDefault="00405CC7">
            <w:pPr>
              <w:spacing w:line="360" w:lineRule="auto"/>
              <w:jc w:val="center"/>
            </w:pPr>
            <w:r>
              <w:t xml:space="preserve">   0</w:t>
            </w:r>
          </w:p>
        </w:tc>
      </w:tr>
    </w:tbl>
    <w:p w:rsidR="009125F6" w:rsidRDefault="00405CC7" w:rsidP="00405CC7">
      <w:pPr>
        <w:pStyle w:val="2"/>
        <w:widowControl w:val="0"/>
        <w:spacing w:beforeLines="50" w:afterLines="50" w:line="240" w:lineRule="auto"/>
        <w:jc w:val="left"/>
        <w:rPr>
          <w:rFonts w:ascii="宋体" w:eastAsia="宋体" w:hAnsi="宋体" w:cs="宋体"/>
          <w:b w:val="0"/>
          <w:bCs/>
          <w:sz w:val="21"/>
          <w:szCs w:val="21"/>
        </w:rPr>
        <w:pPrChange w:id="9" w:author="ZHONGM" w:date="2025-10-28T00:05:00Z">
          <w:pPr>
            <w:pStyle w:val="2"/>
            <w:widowControl w:val="0"/>
            <w:spacing w:beforeLines="50" w:afterLines="50" w:line="240" w:lineRule="auto"/>
            <w:jc w:val="left"/>
          </w:pPr>
        </w:pPrChange>
      </w:pPr>
      <w:r>
        <w:rPr>
          <w:rFonts w:ascii="宋体" w:eastAsia="宋体" w:hAnsi="宋体" w:cs="宋体"/>
          <w:bCs/>
          <w:sz w:val="21"/>
          <w:szCs w:val="21"/>
        </w:rPr>
        <w:t>4.3</w:t>
      </w:r>
      <w:r>
        <w:rPr>
          <w:rFonts w:ascii="宋体" w:eastAsia="宋体" w:hAnsi="宋体" w:cs="宋体" w:hint="eastAsia"/>
          <w:bCs/>
          <w:sz w:val="21"/>
          <w:szCs w:val="21"/>
        </w:rPr>
        <w:t>其他与赎回相关的事项</w:t>
      </w:r>
    </w:p>
    <w:p w:rsidR="009125F6" w:rsidRDefault="00405CC7">
      <w:pPr>
        <w:spacing w:line="360" w:lineRule="auto"/>
        <w:ind w:firstLineChars="176" w:firstLine="370"/>
        <w:jc w:val="left"/>
        <w:rPr>
          <w:rFonts w:ascii="宋体" w:hAnsi="宋体" w:cs="宋体"/>
          <w:bCs/>
          <w:szCs w:val="21"/>
        </w:rPr>
      </w:pPr>
      <w:r>
        <w:rPr>
          <w:rFonts w:ascii="宋体" w:hAnsi="宋体" w:cs="宋体" w:hint="eastAsia"/>
          <w:bCs/>
          <w:szCs w:val="21"/>
        </w:rPr>
        <w:t>无</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10" w:author="ZHONGM" w:date="2025-10-28T00:05:00Z">
          <w:pPr>
            <w:pStyle w:val="2"/>
            <w:widowControl w:val="0"/>
            <w:spacing w:beforeLines="50" w:afterLines="50" w:line="240" w:lineRule="auto"/>
            <w:jc w:val="left"/>
          </w:pPr>
        </w:pPrChange>
      </w:pPr>
      <w:r>
        <w:rPr>
          <w:rFonts w:ascii="宋体" w:eastAsia="宋体" w:hAnsi="宋体" w:cs="宋体" w:hint="eastAsia"/>
          <w:bCs/>
          <w:sz w:val="21"/>
          <w:szCs w:val="21"/>
        </w:rPr>
        <w:t>5</w:t>
      </w:r>
      <w:r>
        <w:rPr>
          <w:rFonts w:ascii="宋体" w:eastAsia="宋体" w:hAnsi="宋体" w:cs="宋体" w:hint="eastAsia"/>
          <w:bCs/>
          <w:sz w:val="21"/>
          <w:szCs w:val="21"/>
        </w:rPr>
        <w:t>基金转换业务</w:t>
      </w:r>
    </w:p>
    <w:p w:rsidR="009125F6" w:rsidRDefault="00405CC7">
      <w:pPr>
        <w:spacing w:before="156" w:after="156"/>
      </w:pPr>
      <w:r>
        <w:rPr>
          <w:b/>
        </w:rPr>
        <w:t>5.1</w:t>
      </w:r>
      <w:r>
        <w:rPr>
          <w:rFonts w:hint="eastAsia"/>
          <w:b/>
        </w:rPr>
        <w:t>转换费率</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补差费中的申购费</w:t>
      </w:r>
      <w:r>
        <w:rPr>
          <w:rFonts w:ascii="宋体" w:hAnsi="宋体" w:cs="宋体" w:hint="eastAsia"/>
          <w:szCs w:val="21"/>
        </w:rPr>
        <w:t>按固定费用进行计算。</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基金转换计算公式如下：</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转出基金赎回费＝转出份额×转出净值×转出基金赎回费率</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w:t>
      </w:r>
      <w:r>
        <w:rPr>
          <w:rFonts w:ascii="宋体" w:hAnsi="宋体" w:cs="宋体" w:hint="eastAsia"/>
          <w:szCs w:val="21"/>
        </w:rPr>
        <w:t>转出份额×转出基金当日基金份额净值－转出基金赎回费</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w:t>
      </w:r>
      <w:r>
        <w:rPr>
          <w:rFonts w:ascii="宋体" w:hAnsi="宋体" w:cs="宋体" w:hint="eastAsia"/>
          <w:szCs w:val="21"/>
        </w:rPr>
        <w:t>转出金额×转入基金的申购费率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＋转入基金申购费率）－转出金额×转出基金申购费率</w:t>
      </w:r>
      <w:r>
        <w:rPr>
          <w:rFonts w:ascii="宋体" w:hAnsi="宋体" w:cs="宋体" w:hint="eastAsia"/>
          <w:szCs w:val="21"/>
        </w:rPr>
        <w:t>/</w:t>
      </w:r>
      <w:r>
        <w:rPr>
          <w:rFonts w:ascii="宋体" w:hAnsi="宋体" w:cs="宋体" w:hint="eastAsia"/>
          <w:szCs w:val="21"/>
        </w:rPr>
        <w:t>（</w:t>
      </w:r>
      <w:r>
        <w:rPr>
          <w:rFonts w:ascii="宋体" w:hAnsi="宋体" w:cs="宋体" w:hint="eastAsia"/>
          <w:szCs w:val="21"/>
        </w:rPr>
        <w:t>1</w:t>
      </w:r>
      <w:r>
        <w:rPr>
          <w:rFonts w:ascii="宋体" w:hAnsi="宋体" w:cs="宋体" w:hint="eastAsia"/>
          <w:szCs w:val="21"/>
        </w:rPr>
        <w:t>＋转出基金申购费率）</w:t>
      </w:r>
      <w:r>
        <w:rPr>
          <w:rFonts w:ascii="宋体" w:hAnsi="宋体" w:cs="宋体" w:hint="eastAsia"/>
          <w:szCs w:val="21"/>
        </w:rPr>
        <w:t>,0]</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转换费用＝转出基</w:t>
      </w:r>
      <w:r>
        <w:rPr>
          <w:rFonts w:ascii="宋体" w:hAnsi="宋体" w:cs="宋体" w:hint="eastAsia"/>
          <w:szCs w:val="21"/>
        </w:rPr>
        <w:t>金赎回费＋申购补差费</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转入份额＝（转出金额－申购补差费）</w:t>
      </w:r>
      <w:r>
        <w:rPr>
          <w:rFonts w:ascii="宋体" w:hAnsi="宋体" w:cs="宋体" w:hint="eastAsia"/>
          <w:szCs w:val="21"/>
        </w:rPr>
        <w:t>/</w:t>
      </w:r>
      <w:r>
        <w:rPr>
          <w:rFonts w:ascii="宋体" w:hAnsi="宋体" w:cs="宋体" w:hint="eastAsia"/>
          <w:szCs w:val="21"/>
        </w:rPr>
        <w:t>转入基金当日基金份额净值</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注：申购补差费中的转入基金申购费率按基金合同和招募说明书中的费率标准执行，不适用申购费率优惠</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例如：某基金份额持有人持有</w:t>
      </w:r>
      <w:r>
        <w:rPr>
          <w:rFonts w:ascii="宋体" w:hAnsi="宋体" w:cs="宋体" w:hint="eastAsia"/>
          <w:szCs w:val="21"/>
        </w:rPr>
        <w:t>10,000</w:t>
      </w:r>
      <w:r>
        <w:rPr>
          <w:rFonts w:ascii="宋体" w:hAnsi="宋体" w:cs="宋体" w:hint="eastAsia"/>
          <w:szCs w:val="21"/>
        </w:rPr>
        <w:t>份兴业</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2</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假设</w:t>
      </w:r>
      <w:r>
        <w:rPr>
          <w:rFonts w:ascii="宋体" w:hAnsi="宋体" w:cs="宋体" w:hint="eastAsia"/>
          <w:szCs w:val="21"/>
        </w:rPr>
        <w:t>N</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M</w:t>
      </w:r>
      <w:r>
        <w:rPr>
          <w:rFonts w:ascii="宋体" w:hAnsi="宋体" w:cs="宋体" w:hint="eastAsia"/>
          <w:szCs w:val="21"/>
        </w:rPr>
        <w:t>基金申购金额小于</w:t>
      </w:r>
      <w:r>
        <w:rPr>
          <w:rFonts w:ascii="宋体" w:hAnsi="宋体" w:cs="宋体" w:hint="eastAsia"/>
          <w:szCs w:val="21"/>
        </w:rPr>
        <w:t>100</w:t>
      </w:r>
      <w:r>
        <w:rPr>
          <w:rFonts w:ascii="宋体" w:hAnsi="宋体" w:cs="宋体" w:hint="eastAsia"/>
          <w:szCs w:val="21"/>
        </w:rPr>
        <w:t>万元，申购费率为</w:t>
      </w:r>
      <w:r>
        <w:rPr>
          <w:rFonts w:ascii="宋体" w:hAnsi="宋体" w:cs="宋体" w:hint="eastAsia"/>
          <w:szCs w:val="21"/>
        </w:rPr>
        <w:t>0.8%</w:t>
      </w:r>
      <w:r>
        <w:rPr>
          <w:rFonts w:ascii="宋体" w:hAnsi="宋体" w:cs="宋体" w:hint="eastAsia"/>
          <w:szCs w:val="21"/>
        </w:rPr>
        <w:t>，持有期限满</w:t>
      </w:r>
      <w:r>
        <w:rPr>
          <w:rFonts w:ascii="宋体" w:hAnsi="宋体" w:cs="宋体" w:hint="eastAsia"/>
          <w:szCs w:val="21"/>
        </w:rPr>
        <w:t>1</w:t>
      </w:r>
      <w:r>
        <w:rPr>
          <w:rFonts w:ascii="宋体" w:hAnsi="宋体" w:cs="宋体" w:hint="eastAsia"/>
          <w:szCs w:val="21"/>
        </w:rPr>
        <w:t>年未满</w:t>
      </w:r>
      <w:r>
        <w:rPr>
          <w:rFonts w:ascii="宋体" w:hAnsi="宋体" w:cs="宋体" w:hint="eastAsia"/>
          <w:szCs w:val="21"/>
        </w:rPr>
        <w:t>2</w:t>
      </w:r>
      <w:r>
        <w:rPr>
          <w:rFonts w:ascii="宋体" w:hAnsi="宋体" w:cs="宋体" w:hint="eastAsia"/>
          <w:szCs w:val="21"/>
        </w:rPr>
        <w:t>年，赎回费为</w:t>
      </w:r>
      <w:r>
        <w:rPr>
          <w:rFonts w:ascii="宋体" w:hAnsi="宋体" w:cs="宋体" w:hint="eastAsia"/>
          <w:szCs w:val="21"/>
        </w:rPr>
        <w:t>0.05</w:t>
      </w:r>
      <w:r>
        <w:rPr>
          <w:rFonts w:ascii="宋体" w:hAnsi="宋体" w:cs="宋体" w:hint="eastAsia"/>
          <w:szCs w:val="21"/>
        </w:rPr>
        <w:t>％。</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元，对应赎回费率为</w:t>
      </w:r>
      <w:r>
        <w:rPr>
          <w:rFonts w:ascii="宋体" w:hAnsi="宋体" w:cs="宋体" w:hint="eastAsia"/>
          <w:szCs w:val="21"/>
        </w:rPr>
        <w:t>0.05%</w:t>
      </w:r>
      <w:r>
        <w:rPr>
          <w:rFonts w:ascii="宋体" w:hAnsi="宋体" w:cs="宋体" w:hint="eastAsia"/>
          <w:szCs w:val="21"/>
        </w:rPr>
        <w:t>，申购补差费率为</w:t>
      </w:r>
      <w:r>
        <w:rPr>
          <w:rFonts w:ascii="宋体" w:hAnsi="宋体" w:cs="宋体" w:hint="eastAsia"/>
          <w:szCs w:val="21"/>
        </w:rPr>
        <w:t>0</w:t>
      </w:r>
      <w:r>
        <w:rPr>
          <w:rFonts w:ascii="宋体" w:hAnsi="宋体" w:cs="宋体" w:hint="eastAsia"/>
          <w:szCs w:val="21"/>
        </w:rPr>
        <w:t>，则可得到的转换份额为：</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转出基金赎回费＝</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0.05</w:t>
      </w:r>
      <w:r>
        <w:rPr>
          <w:rFonts w:ascii="宋体" w:hAnsi="宋体" w:cs="宋体" w:hint="eastAsia"/>
          <w:szCs w:val="21"/>
        </w:rPr>
        <w:t>％＝</w:t>
      </w:r>
      <w:r>
        <w:rPr>
          <w:rFonts w:ascii="宋体" w:hAnsi="宋体" w:cs="宋体" w:hint="eastAsia"/>
          <w:szCs w:val="21"/>
        </w:rPr>
        <w:t>5.25</w:t>
      </w:r>
      <w:r>
        <w:rPr>
          <w:rFonts w:ascii="宋体" w:hAnsi="宋体" w:cs="宋体" w:hint="eastAsia"/>
          <w:szCs w:val="21"/>
        </w:rPr>
        <w:t>元</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转出金额</w:t>
      </w:r>
      <w:r>
        <w:rPr>
          <w:rFonts w:ascii="宋体" w:hAnsi="宋体" w:cs="宋体" w:hint="eastAsia"/>
          <w:szCs w:val="21"/>
        </w:rPr>
        <w:t>=10,000</w:t>
      </w:r>
      <w:r>
        <w:rPr>
          <w:rFonts w:ascii="宋体" w:hAnsi="宋体" w:cs="宋体" w:hint="eastAsia"/>
          <w:szCs w:val="21"/>
        </w:rPr>
        <w:t>×</w:t>
      </w:r>
      <w:r>
        <w:rPr>
          <w:rFonts w:ascii="宋体" w:hAnsi="宋体" w:cs="宋体" w:hint="eastAsia"/>
          <w:szCs w:val="21"/>
        </w:rPr>
        <w:t>1.050</w:t>
      </w:r>
      <w:r>
        <w:rPr>
          <w:rFonts w:ascii="宋体" w:hAnsi="宋体" w:cs="宋体" w:hint="eastAsia"/>
          <w:szCs w:val="21"/>
        </w:rPr>
        <w:t>－</w:t>
      </w:r>
      <w:r>
        <w:rPr>
          <w:rFonts w:ascii="宋体" w:hAnsi="宋体" w:cs="宋体" w:hint="eastAsia"/>
          <w:szCs w:val="21"/>
        </w:rPr>
        <w:t>5.25</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元</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申购补差费（外扣法）＝</w:t>
      </w:r>
      <w:r>
        <w:rPr>
          <w:rFonts w:ascii="宋体" w:hAnsi="宋体" w:cs="宋体" w:hint="eastAsia"/>
          <w:szCs w:val="21"/>
        </w:rPr>
        <w:t>Max[10,494.75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1</w:t>
      </w:r>
      <w:r>
        <w:rPr>
          <w:rFonts w:ascii="宋体" w:hAnsi="宋体" w:cs="宋体" w:hint="eastAsia"/>
          <w:szCs w:val="21"/>
        </w:rPr>
        <w:t>＋</w:t>
      </w:r>
      <w:r>
        <w:rPr>
          <w:rFonts w:ascii="宋体" w:hAnsi="宋体" w:cs="宋体" w:hint="eastAsia"/>
          <w:szCs w:val="21"/>
        </w:rPr>
        <w:t>0.8%</w:t>
      </w:r>
      <w:r>
        <w:rPr>
          <w:rFonts w:ascii="宋体" w:hAnsi="宋体" w:cs="宋体" w:hint="eastAsia"/>
          <w:szCs w:val="21"/>
        </w:rPr>
        <w:t>）</w:t>
      </w:r>
      <w:r>
        <w:rPr>
          <w:rFonts w:ascii="宋体" w:hAnsi="宋体" w:cs="宋体" w:hint="eastAsia"/>
          <w:szCs w:val="21"/>
        </w:rPr>
        <w:t>,0]=0</w:t>
      </w:r>
      <w:r>
        <w:rPr>
          <w:rFonts w:ascii="宋体" w:hAnsi="宋体" w:cs="宋体" w:hint="eastAsia"/>
          <w:szCs w:val="21"/>
        </w:rPr>
        <w:t>元</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转换费用＝</w:t>
      </w:r>
      <w:r>
        <w:rPr>
          <w:rFonts w:ascii="宋体" w:hAnsi="宋体" w:cs="宋体" w:hint="eastAsia"/>
          <w:szCs w:val="21"/>
        </w:rPr>
        <w:t>5.25</w:t>
      </w:r>
      <w:r>
        <w:rPr>
          <w:rFonts w:ascii="宋体" w:hAnsi="宋体" w:cs="宋体" w:hint="eastAsia"/>
          <w:szCs w:val="21"/>
        </w:rPr>
        <w:t>＋</w:t>
      </w:r>
      <w:r>
        <w:rPr>
          <w:rFonts w:ascii="宋体" w:hAnsi="宋体" w:cs="宋体" w:hint="eastAsia"/>
          <w:szCs w:val="21"/>
        </w:rPr>
        <w:t>0=5.25</w:t>
      </w:r>
      <w:r>
        <w:rPr>
          <w:rFonts w:ascii="宋体" w:hAnsi="宋体" w:cs="宋体" w:hint="eastAsia"/>
          <w:szCs w:val="21"/>
        </w:rPr>
        <w:t>元</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转入份额＝（</w:t>
      </w:r>
      <w:r>
        <w:rPr>
          <w:rFonts w:ascii="宋体" w:hAnsi="宋体" w:cs="宋体" w:hint="eastAsia"/>
          <w:szCs w:val="21"/>
        </w:rPr>
        <w:t>10,494.75</w:t>
      </w:r>
      <w:r>
        <w:rPr>
          <w:rFonts w:ascii="宋体" w:hAnsi="宋体" w:cs="宋体" w:hint="eastAsia"/>
          <w:szCs w:val="21"/>
        </w:rPr>
        <w:t>－</w:t>
      </w:r>
      <w:r>
        <w:rPr>
          <w:rFonts w:ascii="宋体" w:hAnsi="宋体" w:cs="宋体" w:hint="eastAsia"/>
          <w:szCs w:val="21"/>
        </w:rPr>
        <w:t>0</w:t>
      </w:r>
      <w:r>
        <w:rPr>
          <w:rFonts w:ascii="宋体" w:hAnsi="宋体" w:cs="宋体" w:hint="eastAsia"/>
          <w:szCs w:val="21"/>
        </w:rPr>
        <w:t>）</w:t>
      </w:r>
      <w:r>
        <w:rPr>
          <w:rFonts w:ascii="宋体" w:hAnsi="宋体" w:cs="宋体" w:hint="eastAsia"/>
          <w:szCs w:val="21"/>
        </w:rPr>
        <w:t>/1.195=87</w:t>
      </w:r>
      <w:r>
        <w:rPr>
          <w:rFonts w:ascii="宋体" w:hAnsi="宋体" w:cs="宋体" w:hint="eastAsia"/>
          <w:szCs w:val="21"/>
        </w:rPr>
        <w:t>82.22</w:t>
      </w:r>
      <w:r>
        <w:rPr>
          <w:rFonts w:ascii="宋体" w:hAnsi="宋体" w:cs="宋体" w:hint="eastAsia"/>
          <w:szCs w:val="21"/>
        </w:rPr>
        <w:t>份</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即：某基金份额持有人持有</w:t>
      </w:r>
      <w:r>
        <w:rPr>
          <w:rFonts w:ascii="宋体" w:hAnsi="宋体" w:cs="宋体" w:hint="eastAsia"/>
          <w:szCs w:val="21"/>
        </w:rPr>
        <w:t>10,000</w:t>
      </w:r>
      <w:r>
        <w:rPr>
          <w:rFonts w:ascii="宋体" w:hAnsi="宋体" w:cs="宋体" w:hint="eastAsia"/>
          <w:szCs w:val="21"/>
        </w:rPr>
        <w:t>份</w:t>
      </w:r>
      <w:r>
        <w:rPr>
          <w:rFonts w:ascii="宋体" w:hAnsi="宋体" w:cs="宋体" w:hint="eastAsia"/>
          <w:szCs w:val="21"/>
        </w:rPr>
        <w:t>N</w:t>
      </w:r>
      <w:r>
        <w:rPr>
          <w:rFonts w:ascii="宋体" w:hAnsi="宋体" w:cs="宋体" w:hint="eastAsia"/>
          <w:szCs w:val="21"/>
        </w:rPr>
        <w:t>基金份额</w:t>
      </w:r>
      <w:r>
        <w:rPr>
          <w:rFonts w:ascii="宋体" w:hAnsi="宋体" w:cs="宋体" w:hint="eastAsia"/>
          <w:szCs w:val="21"/>
        </w:rPr>
        <w:t>1</w:t>
      </w:r>
      <w:r>
        <w:rPr>
          <w:rFonts w:ascii="宋体" w:hAnsi="宋体" w:cs="宋体" w:hint="eastAsia"/>
          <w:szCs w:val="21"/>
        </w:rPr>
        <w:t>年后（未满</w:t>
      </w:r>
      <w:r>
        <w:rPr>
          <w:rFonts w:ascii="宋体" w:hAnsi="宋体" w:cs="宋体" w:hint="eastAsia"/>
          <w:szCs w:val="21"/>
        </w:rPr>
        <w:t>2</w:t>
      </w:r>
      <w:r>
        <w:rPr>
          <w:rFonts w:ascii="宋体" w:hAnsi="宋体" w:cs="宋体" w:hint="eastAsia"/>
          <w:szCs w:val="21"/>
        </w:rPr>
        <w:t>年）决定转换为</w:t>
      </w:r>
      <w:r>
        <w:rPr>
          <w:rFonts w:ascii="宋体" w:hAnsi="宋体" w:cs="宋体" w:hint="eastAsia"/>
          <w:szCs w:val="21"/>
        </w:rPr>
        <w:t>M</w:t>
      </w:r>
      <w:r>
        <w:rPr>
          <w:rFonts w:ascii="宋体" w:hAnsi="宋体" w:cs="宋体" w:hint="eastAsia"/>
          <w:szCs w:val="21"/>
        </w:rPr>
        <w:t>基金份额，假设转换当日转出基金份额净值是</w:t>
      </w:r>
      <w:r>
        <w:rPr>
          <w:rFonts w:ascii="宋体" w:hAnsi="宋体" w:cs="宋体" w:hint="eastAsia"/>
          <w:szCs w:val="21"/>
        </w:rPr>
        <w:t>1.050</w:t>
      </w:r>
      <w:r>
        <w:rPr>
          <w:rFonts w:ascii="宋体" w:hAnsi="宋体" w:cs="宋体" w:hint="eastAsia"/>
          <w:szCs w:val="21"/>
        </w:rPr>
        <w:t>元，转入基金的基金份额净值是</w:t>
      </w:r>
      <w:r>
        <w:rPr>
          <w:rFonts w:ascii="宋体" w:hAnsi="宋体" w:cs="宋体" w:hint="eastAsia"/>
          <w:szCs w:val="21"/>
        </w:rPr>
        <w:t>1.195</w:t>
      </w:r>
      <w:r>
        <w:rPr>
          <w:rFonts w:ascii="宋体" w:hAnsi="宋体" w:cs="宋体" w:hint="eastAsia"/>
          <w:szCs w:val="21"/>
        </w:rPr>
        <w:t>元，则可得到的转换份额为</w:t>
      </w:r>
      <w:r>
        <w:rPr>
          <w:rFonts w:ascii="宋体" w:hAnsi="宋体" w:cs="宋体" w:hint="eastAsia"/>
          <w:szCs w:val="21"/>
        </w:rPr>
        <w:t>8782.22</w:t>
      </w:r>
      <w:r>
        <w:rPr>
          <w:rFonts w:ascii="宋体" w:hAnsi="宋体" w:cs="宋体" w:hint="eastAsia"/>
          <w:szCs w:val="21"/>
        </w:rPr>
        <w:t>份。</w:t>
      </w:r>
    </w:p>
    <w:p w:rsidR="009125F6" w:rsidRDefault="00405CC7">
      <w:pPr>
        <w:spacing w:before="156" w:after="156"/>
      </w:pPr>
      <w:r>
        <w:rPr>
          <w:b/>
        </w:rPr>
        <w:t>5.2</w:t>
      </w:r>
      <w:r>
        <w:rPr>
          <w:rFonts w:hint="eastAsia"/>
          <w:b/>
        </w:rPr>
        <w:t>其他与转换相关的事项</w:t>
      </w:r>
    </w:p>
    <w:p w:rsidR="009125F6" w:rsidRDefault="00405CC7" w:rsidP="00405CC7">
      <w:pPr>
        <w:pStyle w:val="2"/>
        <w:widowControl w:val="0"/>
        <w:spacing w:beforeLines="50" w:afterLines="50" w:line="240" w:lineRule="auto"/>
        <w:ind w:firstLineChars="200" w:firstLine="422"/>
        <w:jc w:val="left"/>
        <w:rPr>
          <w:rFonts w:ascii="宋体" w:eastAsia="宋体" w:hAnsi="宋体" w:cs="宋体"/>
          <w:bCs/>
          <w:szCs w:val="21"/>
        </w:rPr>
        <w:pPrChange w:id="11" w:author="ZHONGM" w:date="2025-10-28T00:05:00Z">
          <w:pPr>
            <w:pStyle w:val="2"/>
            <w:widowControl w:val="0"/>
            <w:spacing w:beforeLines="50" w:afterLines="50" w:line="240" w:lineRule="auto"/>
            <w:ind w:firstLineChars="200" w:firstLine="422"/>
            <w:jc w:val="left"/>
          </w:pPr>
        </w:pPrChange>
      </w:pPr>
      <w:r>
        <w:rPr>
          <w:rFonts w:ascii="宋体" w:eastAsia="宋体" w:hAnsi="宋体" w:cs="宋体" w:hint="eastAsia"/>
          <w:bCs/>
          <w:sz w:val="21"/>
          <w:szCs w:val="21"/>
        </w:rPr>
        <w:t>（</w:t>
      </w:r>
      <w:r>
        <w:rPr>
          <w:rFonts w:ascii="宋体" w:eastAsia="宋体" w:hAnsi="宋体" w:cs="宋体" w:hint="eastAsia"/>
          <w:bCs/>
          <w:sz w:val="21"/>
          <w:szCs w:val="21"/>
        </w:rPr>
        <w:t>1</w:t>
      </w:r>
      <w:r>
        <w:rPr>
          <w:rFonts w:ascii="宋体" w:eastAsia="宋体" w:hAnsi="宋体" w:cs="宋体" w:hint="eastAsia"/>
          <w:bCs/>
          <w:sz w:val="21"/>
          <w:szCs w:val="21"/>
        </w:rPr>
        <w:t>）转换业务规则</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w:t>
      </w:r>
      <w:r>
        <w:rPr>
          <w:rFonts w:ascii="宋体" w:hAnsi="宋体" w:cs="宋体" w:hint="eastAsia"/>
          <w:szCs w:val="21"/>
        </w:rPr>
        <w:t>撤销，交易时间结束后不得撤销。</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w:t>
      </w:r>
      <w:r>
        <w:rPr>
          <w:rFonts w:ascii="宋体" w:hAnsi="宋体" w:cs="宋体" w:hint="eastAsia"/>
          <w:szCs w:val="21"/>
        </w:rPr>
        <w:t>T</w:t>
      </w:r>
      <w:r>
        <w:rPr>
          <w:rFonts w:ascii="宋体" w:hAnsi="宋体" w:cs="宋体" w:hint="eastAsia"/>
          <w:szCs w:val="21"/>
        </w:rPr>
        <w:t>日）。正常情况下，转换基金成功的，注册登记机构将在</w:t>
      </w:r>
      <w:r>
        <w:rPr>
          <w:rFonts w:ascii="宋体" w:hAnsi="宋体" w:cs="宋体" w:hint="eastAsia"/>
          <w:szCs w:val="21"/>
        </w:rPr>
        <w:t>T</w:t>
      </w:r>
      <w:r>
        <w:rPr>
          <w:rFonts w:ascii="宋体" w:hAnsi="宋体" w:cs="宋体" w:hint="eastAsia"/>
          <w:szCs w:val="21"/>
        </w:rPr>
        <w:t>＋</w:t>
      </w:r>
      <w:r>
        <w:rPr>
          <w:rFonts w:ascii="宋体" w:hAnsi="宋体" w:cs="宋体" w:hint="eastAsia"/>
          <w:szCs w:val="21"/>
        </w:rPr>
        <w:t>1</w:t>
      </w:r>
      <w:r>
        <w:rPr>
          <w:rFonts w:ascii="宋体" w:hAnsi="宋体" w:cs="宋体" w:hint="eastAsia"/>
          <w:szCs w:val="21"/>
        </w:rPr>
        <w:t>日对投资者</w:t>
      </w:r>
      <w:r>
        <w:rPr>
          <w:rFonts w:ascii="宋体" w:hAnsi="宋体" w:cs="宋体" w:hint="eastAsia"/>
          <w:szCs w:val="21"/>
        </w:rPr>
        <w:t>T</w:t>
      </w:r>
      <w:r>
        <w:rPr>
          <w:rFonts w:ascii="宋体" w:hAnsi="宋体" w:cs="宋体" w:hint="eastAsia"/>
          <w:szCs w:val="21"/>
        </w:rPr>
        <w:t>日的基金转换业务申请进行有效性确认，办理转出基金的权益扣除以及转入基金的权益登记，投资者可自</w:t>
      </w:r>
      <w:r>
        <w:rPr>
          <w:rFonts w:ascii="宋体" w:hAnsi="宋体" w:cs="宋体" w:hint="eastAsia"/>
          <w:szCs w:val="21"/>
        </w:rPr>
        <w:t>T+2</w:t>
      </w:r>
      <w:r>
        <w:rPr>
          <w:rFonts w:ascii="宋体" w:hAnsi="宋体" w:cs="宋体" w:hint="eastAsia"/>
          <w:szCs w:val="21"/>
        </w:rPr>
        <w:t>日起</w:t>
      </w:r>
      <w:r>
        <w:rPr>
          <w:rFonts w:ascii="宋体" w:hAnsi="宋体" w:cs="宋体" w:hint="eastAsia"/>
          <w:szCs w:val="21"/>
        </w:rPr>
        <w:t>向销售机构查询基金转换的成交情况，并有权转换或赎回转入部分的基金份额。</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w:t>
      </w:r>
      <w:r>
        <w:rPr>
          <w:rFonts w:ascii="宋体" w:hAnsi="宋体" w:cs="宋体" w:hint="eastAsia"/>
          <w:szCs w:val="21"/>
        </w:rPr>
        <w:t>据基金资产组合情况，决定全额转出或部分转出，并且对于基金转出和基金赎回，将采取相同的比例确认（另行公告除外）。巨额赎回定义以各基金的基金合同等法律文件中相关规定为准。</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9125F6" w:rsidRDefault="00405CC7">
      <w:pPr>
        <w:widowControl w:val="0"/>
        <w:spacing w:line="360" w:lineRule="auto"/>
        <w:ind w:firstLineChars="200" w:firstLine="420"/>
        <w:rPr>
          <w:rFonts w:ascii="宋体" w:hAnsi="宋体" w:cs="宋体"/>
          <w:szCs w:val="21"/>
        </w:rPr>
      </w:pPr>
      <w:r>
        <w:rPr>
          <w:rFonts w:hint="eastAsia"/>
          <w:szCs w:val="21"/>
        </w:rPr>
        <w:t>基金管理人可以根据市场情况在不违反有关法律法规和基金合同的规定之前提下调整上述转换的业务规则及有关限制。</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）可转换基金</w:t>
      </w:r>
    </w:p>
    <w:p w:rsidR="009125F6" w:rsidRDefault="00405CC7">
      <w:pPr>
        <w:widowControl w:val="0"/>
        <w:spacing w:line="360" w:lineRule="auto"/>
        <w:ind w:firstLineChars="200" w:firstLine="420"/>
        <w:rPr>
          <w:rFonts w:ascii="宋体" w:hAnsi="宋体" w:cs="宋体"/>
          <w:szCs w:val="21"/>
        </w:rPr>
      </w:pPr>
      <w:r>
        <w:rPr>
          <w:rFonts w:hint="eastAsia"/>
          <w:szCs w:val="21"/>
        </w:rPr>
        <w:t>本基金开通与截至本公告披露时本公司旗下除</w:t>
      </w:r>
      <w:r>
        <w:rPr>
          <w:rFonts w:hint="eastAsia"/>
          <w:szCs w:val="21"/>
        </w:rPr>
        <w:t>FOF</w:t>
      </w:r>
      <w:r>
        <w:rPr>
          <w:rFonts w:hint="eastAsia"/>
          <w:szCs w:val="21"/>
        </w:rPr>
        <w:t>型基金外的其他开放式基金（由同一注册登记机构办理注册登记的、</w:t>
      </w:r>
      <w:r>
        <w:rPr>
          <w:rFonts w:hint="eastAsia"/>
          <w:szCs w:val="21"/>
        </w:rPr>
        <w:t>且已公告开通基金转换业务）之间的转换业务，各基金转换业务的开放状态及交易限制详见相关公告。</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）业务办理机构</w:t>
      </w:r>
    </w:p>
    <w:p w:rsidR="009125F6" w:rsidRDefault="00405CC7">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投资者须到同时销售拟转出和转入基金的同一销售机构办理基金的转换业务。</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12" w:author="ZHONGM" w:date="2025-10-28T00:05: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定期定额投资业务</w:t>
      </w:r>
    </w:p>
    <w:p w:rsidR="009125F6" w:rsidRDefault="00405CC7" w:rsidP="00405CC7">
      <w:pPr>
        <w:pStyle w:val="2"/>
        <w:widowControl w:val="0"/>
        <w:spacing w:beforeLines="50" w:afterLines="50" w:line="240" w:lineRule="auto"/>
        <w:jc w:val="left"/>
        <w:rPr>
          <w:rFonts w:ascii="宋体" w:eastAsia="宋体" w:hAnsi="宋体" w:cs="宋体"/>
          <w:bCs/>
          <w:szCs w:val="21"/>
        </w:rPr>
        <w:pPrChange w:id="13" w:author="ZHONGM" w:date="2025-10-28T00:05:00Z">
          <w:pPr>
            <w:pStyle w:val="2"/>
            <w:widowControl w:val="0"/>
            <w:spacing w:beforeLines="50" w:afterLines="50" w:line="240" w:lineRule="auto"/>
            <w:jc w:val="left"/>
          </w:pPr>
        </w:pPrChange>
      </w:pPr>
      <w:r>
        <w:rPr>
          <w:rFonts w:ascii="宋体" w:eastAsia="宋体" w:hAnsi="宋体" w:cs="宋体"/>
          <w:bCs/>
          <w:sz w:val="21"/>
          <w:szCs w:val="21"/>
        </w:rPr>
        <w:t>6.1</w:t>
      </w:r>
      <w:r>
        <w:rPr>
          <w:rFonts w:ascii="宋体" w:eastAsia="宋体" w:hAnsi="宋体" w:cs="宋体" w:hint="eastAsia"/>
          <w:bCs/>
          <w:sz w:val="21"/>
          <w:szCs w:val="21"/>
        </w:rPr>
        <w:t>定投业务办理方式</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）投资者应和销售机构约定扣款日期；</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）销售机构将按照投资者申请时约定的每期扣款日、申购金额扣款，如遇非基金开放日则以销售机构的相关规定为准，并将投资者申购的实际扣款日期视为基金申购申请日（</w:t>
      </w:r>
      <w:r>
        <w:rPr>
          <w:rFonts w:ascii="宋体" w:hAnsi="宋体" w:cs="宋体" w:hint="eastAsia"/>
          <w:szCs w:val="21"/>
        </w:rPr>
        <w:t>T</w:t>
      </w:r>
      <w:r>
        <w:rPr>
          <w:rFonts w:ascii="宋体" w:hAnsi="宋体" w:cs="宋体" w:hint="eastAsia"/>
          <w:szCs w:val="21"/>
        </w:rPr>
        <w:t>日）；</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）投资者需指定销售机构认可的资金账户作为每期固定扣款账户；</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）投资者办理上述基金的定投业务，每期最低定投金额与产品申购起点保持一致。在不低于产品申购起点的情形下，如销售机构对最低定投金额有其他规定，则以销售机构的业务规定为准。</w:t>
      </w:r>
    </w:p>
    <w:p w:rsidR="009125F6" w:rsidRDefault="00405CC7" w:rsidP="00405CC7">
      <w:pPr>
        <w:pStyle w:val="2"/>
        <w:widowControl w:val="0"/>
        <w:spacing w:beforeLines="50" w:afterLines="50" w:line="240" w:lineRule="auto"/>
        <w:jc w:val="left"/>
        <w:rPr>
          <w:rFonts w:ascii="宋体" w:eastAsia="宋体" w:hAnsi="宋体" w:cs="宋体"/>
          <w:bCs/>
          <w:szCs w:val="21"/>
        </w:rPr>
        <w:pPrChange w:id="14" w:author="ZHONGM" w:date="2025-10-28T00:05: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.2</w:t>
      </w:r>
      <w:r>
        <w:rPr>
          <w:rFonts w:ascii="宋体" w:eastAsia="宋体" w:hAnsi="宋体" w:cs="宋体" w:hint="eastAsia"/>
          <w:bCs/>
          <w:sz w:val="21"/>
          <w:szCs w:val="21"/>
        </w:rPr>
        <w:t>扣款与交易确认</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w:t>
      </w:r>
      <w:r>
        <w:rPr>
          <w:rFonts w:ascii="宋体" w:hAnsi="宋体" w:cs="宋体" w:hint="eastAsia"/>
          <w:szCs w:val="21"/>
        </w:rPr>
        <w:t>T</w:t>
      </w:r>
      <w:r>
        <w:rPr>
          <w:rFonts w:ascii="宋体" w:hAnsi="宋体" w:cs="宋体" w:hint="eastAsia"/>
          <w:szCs w:val="21"/>
        </w:rPr>
        <w:t>日）的基金份额净值为基准计算申购份额，在正常情况下，申购份额将在</w:t>
      </w:r>
      <w:r>
        <w:rPr>
          <w:rFonts w:ascii="宋体" w:hAnsi="宋体" w:cs="宋体"/>
          <w:szCs w:val="21"/>
        </w:rPr>
        <w:t>T+1</w:t>
      </w:r>
      <w:r>
        <w:rPr>
          <w:rFonts w:ascii="宋体" w:hAnsi="宋体" w:cs="宋体" w:hint="eastAsia"/>
          <w:szCs w:val="21"/>
        </w:rPr>
        <w:t>日确认，投资者可自</w:t>
      </w:r>
      <w:r>
        <w:rPr>
          <w:rFonts w:ascii="宋体" w:hAnsi="宋体" w:cs="宋体"/>
          <w:szCs w:val="21"/>
        </w:rPr>
        <w:t>T+2</w:t>
      </w:r>
      <w:r>
        <w:rPr>
          <w:rFonts w:ascii="宋体" w:hAnsi="宋体" w:cs="宋体" w:hint="eastAsia"/>
          <w:szCs w:val="21"/>
        </w:rPr>
        <w:t>日起查询申购成交情况；</w:t>
      </w:r>
    </w:p>
    <w:p w:rsidR="009125F6" w:rsidRDefault="00405CC7" w:rsidP="00405CC7">
      <w:pPr>
        <w:pStyle w:val="2"/>
        <w:widowControl w:val="0"/>
        <w:spacing w:beforeLines="50" w:afterLines="50" w:line="240" w:lineRule="auto"/>
        <w:jc w:val="left"/>
        <w:rPr>
          <w:rFonts w:ascii="宋体" w:eastAsia="宋体" w:hAnsi="宋体" w:cs="宋体"/>
          <w:bCs/>
          <w:szCs w:val="21"/>
        </w:rPr>
        <w:pPrChange w:id="15" w:author="ZHONGM" w:date="2025-10-28T00:05:00Z">
          <w:pPr>
            <w:pStyle w:val="2"/>
            <w:widowControl w:val="0"/>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.3</w:t>
      </w:r>
      <w:r>
        <w:rPr>
          <w:rFonts w:ascii="宋体" w:eastAsia="宋体" w:hAnsi="宋体" w:cs="宋体" w:hint="eastAsia"/>
          <w:bCs/>
          <w:sz w:val="21"/>
          <w:szCs w:val="21"/>
        </w:rPr>
        <w:t>变更与解约</w:t>
      </w:r>
    </w:p>
    <w:p w:rsidR="009125F6" w:rsidRDefault="00405CC7">
      <w:pPr>
        <w:widowControl w:val="0"/>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16" w:author="ZHONGM" w:date="2025-10-28T00:05:00Z">
          <w:pPr>
            <w:pStyle w:val="2"/>
            <w:widowControl w:val="0"/>
            <w:spacing w:beforeLines="50" w:afterLines="50" w:line="240" w:lineRule="auto"/>
            <w:jc w:val="left"/>
          </w:pPr>
        </w:pPrChange>
      </w:pPr>
      <w:r>
        <w:rPr>
          <w:rFonts w:ascii="宋体" w:eastAsia="宋体" w:hAnsi="宋体" w:cs="宋体"/>
          <w:bCs/>
          <w:sz w:val="21"/>
          <w:szCs w:val="21"/>
        </w:rPr>
        <w:t>7</w:t>
      </w:r>
      <w:r>
        <w:rPr>
          <w:rFonts w:ascii="宋体" w:eastAsia="宋体" w:hAnsi="宋体" w:cs="宋体" w:hint="eastAsia"/>
          <w:bCs/>
          <w:sz w:val="21"/>
          <w:szCs w:val="21"/>
        </w:rPr>
        <w:t>基金销售机构</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17" w:author="ZHONGM" w:date="2025-10-28T00:05:00Z">
          <w:pPr>
            <w:pStyle w:val="2"/>
            <w:widowControl w:val="0"/>
            <w:spacing w:beforeLines="50" w:afterLines="50" w:line="240" w:lineRule="auto"/>
            <w:jc w:val="left"/>
          </w:pPr>
        </w:pPrChange>
      </w:pPr>
      <w:r>
        <w:rPr>
          <w:rFonts w:ascii="宋体" w:eastAsia="宋体" w:hAnsi="宋体" w:cs="宋体" w:hint="eastAsia"/>
          <w:bCs/>
          <w:sz w:val="21"/>
          <w:szCs w:val="21"/>
        </w:rPr>
        <w:t xml:space="preserve">7.1 </w:t>
      </w:r>
      <w:r>
        <w:rPr>
          <w:rFonts w:ascii="宋体" w:eastAsia="宋体" w:hAnsi="宋体" w:cs="宋体" w:hint="eastAsia"/>
          <w:bCs/>
          <w:sz w:val="21"/>
          <w:szCs w:val="21"/>
        </w:rPr>
        <w:t>场外销售机构</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18" w:author="ZHONGM" w:date="2025-10-28T00:05:00Z">
          <w:pPr>
            <w:pStyle w:val="2"/>
            <w:widowControl w:val="0"/>
            <w:spacing w:beforeLines="50" w:afterLines="50" w:line="240" w:lineRule="auto"/>
            <w:jc w:val="left"/>
          </w:pPr>
        </w:pPrChange>
      </w:pPr>
      <w:r>
        <w:rPr>
          <w:rFonts w:ascii="宋体" w:eastAsia="宋体" w:hAnsi="宋体" w:cs="宋体"/>
          <w:bCs/>
          <w:sz w:val="21"/>
          <w:szCs w:val="21"/>
        </w:rPr>
        <w:t>7.1.1</w:t>
      </w:r>
      <w:r>
        <w:rPr>
          <w:rFonts w:ascii="宋体" w:eastAsia="宋体" w:hAnsi="宋体" w:cs="宋体" w:hint="eastAsia"/>
          <w:bCs/>
          <w:sz w:val="21"/>
          <w:szCs w:val="21"/>
        </w:rPr>
        <w:t>直销机构</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）名称：兴业基金管理有限公司直销中心</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住所：福建省福州市鼓楼区五四路</w:t>
      </w:r>
      <w:r>
        <w:rPr>
          <w:rFonts w:ascii="宋体" w:hAnsi="宋体" w:cs="宋体" w:hint="eastAsia"/>
          <w:szCs w:val="21"/>
        </w:rPr>
        <w:t>137</w:t>
      </w:r>
      <w:r>
        <w:rPr>
          <w:rFonts w:ascii="宋体" w:hAnsi="宋体" w:cs="宋体" w:hint="eastAsia"/>
          <w:szCs w:val="21"/>
        </w:rPr>
        <w:t>号信和广场</w:t>
      </w:r>
      <w:r>
        <w:rPr>
          <w:rFonts w:ascii="宋体" w:hAnsi="宋体" w:cs="宋体" w:hint="eastAsia"/>
          <w:szCs w:val="21"/>
        </w:rPr>
        <w:t>25</w:t>
      </w:r>
      <w:r>
        <w:rPr>
          <w:rFonts w:ascii="宋体" w:hAnsi="宋体" w:cs="宋体" w:hint="eastAsia"/>
          <w:szCs w:val="21"/>
        </w:rPr>
        <w:t>楼</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法定代表人：刘宗治</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办公地址：上海市浦东新区银城路</w:t>
      </w:r>
      <w:r>
        <w:rPr>
          <w:rFonts w:ascii="宋体" w:hAnsi="宋体" w:cs="宋体" w:hint="eastAsia"/>
          <w:szCs w:val="21"/>
        </w:rPr>
        <w:t>167</w:t>
      </w:r>
      <w:r>
        <w:rPr>
          <w:rFonts w:ascii="宋体" w:hAnsi="宋体" w:cs="宋体" w:hint="eastAsia"/>
          <w:szCs w:val="21"/>
        </w:rPr>
        <w:t>号兴业银行大厦</w:t>
      </w:r>
      <w:r>
        <w:rPr>
          <w:rFonts w:ascii="宋体" w:hAnsi="宋体" w:cs="宋体" w:hint="eastAsia"/>
          <w:szCs w:val="21"/>
        </w:rPr>
        <w:t>13</w:t>
      </w:r>
      <w:r>
        <w:rPr>
          <w:rFonts w:ascii="宋体" w:hAnsi="宋体" w:cs="宋体" w:hint="eastAsia"/>
          <w:szCs w:val="21"/>
        </w:rPr>
        <w:t>、</w:t>
      </w:r>
      <w:r>
        <w:rPr>
          <w:rFonts w:ascii="宋体" w:hAnsi="宋体" w:cs="宋体" w:hint="eastAsia"/>
          <w:szCs w:val="21"/>
        </w:rPr>
        <w:t>14</w:t>
      </w:r>
      <w:r>
        <w:rPr>
          <w:rFonts w:ascii="宋体" w:hAnsi="宋体" w:cs="宋体" w:hint="eastAsia"/>
          <w:szCs w:val="21"/>
        </w:rPr>
        <w:t>层</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联系人：</w:t>
      </w:r>
      <w:r>
        <w:rPr>
          <w:rFonts w:ascii="宋体" w:hAnsi="宋体" w:cs="宋体" w:hint="eastAsia"/>
          <w:szCs w:val="21"/>
        </w:rPr>
        <w:t>王珏</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咨询电话：</w:t>
      </w:r>
      <w:r>
        <w:rPr>
          <w:rFonts w:ascii="宋体" w:hAnsi="宋体" w:cs="宋体" w:hint="eastAsia"/>
          <w:szCs w:val="21"/>
        </w:rPr>
        <w:t>021-22211885</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传真：</w:t>
      </w:r>
      <w:r>
        <w:rPr>
          <w:rFonts w:ascii="宋体" w:hAnsi="宋体" w:cs="宋体" w:hint="eastAsia"/>
          <w:szCs w:val="21"/>
        </w:rPr>
        <w:t>021-22211997</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5" w:history="1">
        <w:r>
          <w:rPr>
            <w:rFonts w:ascii="宋体" w:hAnsi="宋体" w:cs="宋体" w:hint="eastAsia"/>
            <w:szCs w:val="21"/>
          </w:rPr>
          <w:t>http://www.cib-fund.com.cn/</w:t>
        </w:r>
      </w:hyperlink>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）名称：兴业基金管理有限公司网上直销系统</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网址：</w:t>
      </w:r>
      <w:hyperlink r:id="rId6" w:history="1">
        <w:r>
          <w:rPr>
            <w:rFonts w:ascii="宋体" w:hAnsi="宋体" w:cs="宋体" w:hint="eastAsia"/>
            <w:szCs w:val="21"/>
          </w:rPr>
          <w:t>https://trade.cib-fund.com.cn/etrading/</w:t>
        </w:r>
      </w:hyperlink>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）名称：兴业基金微信公众号</w:t>
      </w:r>
    </w:p>
    <w:p w:rsidR="009125F6" w:rsidRDefault="00405CC7">
      <w:pPr>
        <w:widowControl w:val="0"/>
        <w:spacing w:line="360" w:lineRule="auto"/>
        <w:ind w:firstLineChars="200" w:firstLine="420"/>
        <w:rPr>
          <w:rFonts w:ascii="宋体" w:hAnsi="宋体" w:cs="宋体"/>
          <w:szCs w:val="21"/>
        </w:rPr>
      </w:pPr>
      <w:r>
        <w:rPr>
          <w:rFonts w:ascii="宋体" w:hAnsi="宋体" w:cs="宋体" w:hint="eastAsia"/>
          <w:szCs w:val="21"/>
        </w:rPr>
        <w:t>微信号：“兴业基金”或者“</w:t>
      </w:r>
      <w:r>
        <w:rPr>
          <w:rFonts w:ascii="宋体" w:hAnsi="宋体" w:cs="宋体" w:hint="eastAsia"/>
          <w:szCs w:val="21"/>
        </w:rPr>
        <w:t>cibfund</w:t>
      </w:r>
      <w:r>
        <w:rPr>
          <w:rFonts w:ascii="宋体" w:hAnsi="宋体" w:cs="宋体" w:hint="eastAsia"/>
          <w:szCs w:val="21"/>
        </w:rPr>
        <w:t>”</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19" w:author="ZHONGM" w:date="2025-10-28T00:05:00Z">
          <w:pPr>
            <w:pStyle w:val="2"/>
            <w:widowControl w:val="0"/>
            <w:spacing w:beforeLines="50" w:afterLines="50" w:line="240" w:lineRule="auto"/>
            <w:jc w:val="left"/>
          </w:pPr>
        </w:pPrChange>
      </w:pPr>
      <w:r>
        <w:rPr>
          <w:rFonts w:ascii="宋体" w:eastAsia="宋体" w:hAnsi="宋体" w:cs="宋体"/>
          <w:bCs/>
          <w:sz w:val="21"/>
          <w:szCs w:val="21"/>
        </w:rPr>
        <w:t>7.1.2</w:t>
      </w:r>
      <w:r>
        <w:rPr>
          <w:rFonts w:ascii="宋体" w:eastAsia="宋体" w:hAnsi="宋体" w:cs="宋体" w:hint="eastAsia"/>
          <w:bCs/>
          <w:sz w:val="21"/>
          <w:szCs w:val="21"/>
        </w:rPr>
        <w:t>其他销售机构</w:t>
      </w:r>
    </w:p>
    <w:p w:rsidR="009125F6" w:rsidRDefault="00405CC7">
      <w:pPr>
        <w:spacing w:line="360" w:lineRule="auto"/>
        <w:ind w:firstLineChars="200" w:firstLine="420"/>
      </w:pPr>
      <w:r>
        <w:t>本基金非直销销售机构信息详见基金管理人网站公示，敬请投资者留意。</w:t>
      </w:r>
      <w:r>
        <w:rPr>
          <w:rFonts w:hint="eastAsia"/>
        </w:rPr>
        <w:t>基金管理人可根据有关法律法规的要求，增减或变更基金销售机构，并在基金管理人网站公示基金销售机构名录。</w:t>
      </w:r>
      <w:r>
        <w:rPr>
          <w:rFonts w:ascii="宋体" w:hAnsi="宋体" w:cs="宋体" w:hint="eastAsia"/>
          <w:szCs w:val="21"/>
        </w:rPr>
        <w:t>本基金具体业务开通情况以各销售机构规定为准，请投资者留意各销售机构的相关规定</w:t>
      </w:r>
      <w:r>
        <w:rPr>
          <w:rFonts w:hint="eastAsia"/>
        </w:rPr>
        <w:t>。投资者在各销售机构办理本基金相关业务时，请遵循各销售机构业务规则与操作流程。</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20" w:author="ZHONGM" w:date="2025-10-28T00:05:00Z">
          <w:pPr>
            <w:pStyle w:val="2"/>
            <w:widowControl w:val="0"/>
            <w:spacing w:beforeLines="50" w:afterLines="50" w:line="240" w:lineRule="auto"/>
            <w:jc w:val="left"/>
          </w:pPr>
        </w:pPrChange>
      </w:pPr>
      <w:r>
        <w:rPr>
          <w:rFonts w:ascii="宋体" w:eastAsia="宋体" w:hAnsi="宋体" w:cs="宋体" w:hint="eastAsia"/>
          <w:bCs/>
          <w:sz w:val="21"/>
          <w:szCs w:val="21"/>
        </w:rPr>
        <w:t xml:space="preserve">7.2 </w:t>
      </w:r>
      <w:r>
        <w:rPr>
          <w:rFonts w:ascii="宋体" w:eastAsia="宋体" w:hAnsi="宋体" w:cs="宋体" w:hint="eastAsia"/>
          <w:bCs/>
          <w:sz w:val="21"/>
          <w:szCs w:val="21"/>
        </w:rPr>
        <w:t>场内销售机构</w:t>
      </w:r>
    </w:p>
    <w:p w:rsidR="009125F6" w:rsidRDefault="00405CC7">
      <w:pPr>
        <w:spacing w:line="360" w:lineRule="auto"/>
        <w:ind w:firstLineChars="100" w:firstLine="210"/>
      </w:pPr>
      <w:r>
        <w:rPr>
          <w:rFonts w:hint="eastAsia"/>
        </w:rPr>
        <w:t>无</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21" w:author="ZHONGM" w:date="2025-10-28T00:05:00Z">
          <w:pPr>
            <w:pStyle w:val="2"/>
            <w:widowControl w:val="0"/>
            <w:spacing w:beforeLines="50" w:afterLines="50" w:line="240" w:lineRule="auto"/>
            <w:jc w:val="left"/>
          </w:pPr>
        </w:pPrChange>
      </w:pPr>
      <w:r>
        <w:rPr>
          <w:rFonts w:ascii="宋体" w:eastAsia="宋体" w:hAnsi="宋体" w:cs="宋体"/>
          <w:bCs/>
          <w:sz w:val="21"/>
          <w:szCs w:val="21"/>
        </w:rPr>
        <w:t>8</w:t>
      </w:r>
      <w:r>
        <w:rPr>
          <w:rFonts w:ascii="宋体" w:eastAsia="宋体" w:hAnsi="宋体" w:cs="宋体" w:hint="eastAsia"/>
          <w:bCs/>
          <w:sz w:val="21"/>
          <w:szCs w:val="21"/>
        </w:rPr>
        <w:t>基金份额净值公告</w:t>
      </w:r>
      <w:r>
        <w:rPr>
          <w:rFonts w:ascii="宋体" w:eastAsia="宋体" w:hAnsi="宋体" w:cs="宋体" w:hint="eastAsia"/>
          <w:bCs/>
          <w:sz w:val="21"/>
          <w:szCs w:val="21"/>
        </w:rPr>
        <w:t>/</w:t>
      </w:r>
      <w:r>
        <w:rPr>
          <w:rFonts w:ascii="宋体" w:eastAsia="宋体" w:hAnsi="宋体" w:cs="宋体" w:hint="eastAsia"/>
          <w:bCs/>
          <w:sz w:val="21"/>
          <w:szCs w:val="21"/>
        </w:rPr>
        <w:t>基金收益公告的披露安排</w:t>
      </w:r>
    </w:p>
    <w:p w:rsidR="009125F6" w:rsidRDefault="00405CC7">
      <w:pPr>
        <w:spacing w:line="360" w:lineRule="auto"/>
        <w:ind w:firstLineChars="202" w:firstLine="424"/>
        <w:jc w:val="left"/>
      </w:pPr>
      <w:r>
        <w:t>《基金合同》生效后，在开始办理基金份额申购或者赎回前，基金管理人应当至少每周在规定网站披露一次各类基金份额的基金份额净值和基金份额累计净值。在开始办理基金份额申购或者赎回后，基金管理人应当在不晚于每个开放日的次日，通过规定网站、基金销售机构网站或者营业网点披露开放日的各类基金份额的基金份额净值和基金份额累计净值。基金管理人应当在不晚于半年度和年度最后一日的次日，在规定网站披露半年度和年度最后一日的各类基金份额的基金份额净值和基金份额累计净值。</w:t>
      </w:r>
    </w:p>
    <w:p w:rsidR="009125F6" w:rsidRDefault="00405CC7" w:rsidP="00405CC7">
      <w:pPr>
        <w:pStyle w:val="2"/>
        <w:widowControl w:val="0"/>
        <w:spacing w:beforeLines="50" w:afterLines="50" w:line="240" w:lineRule="auto"/>
        <w:jc w:val="left"/>
        <w:rPr>
          <w:rFonts w:ascii="宋体" w:eastAsia="宋体" w:hAnsi="宋体" w:cs="宋体"/>
          <w:bCs/>
          <w:sz w:val="21"/>
          <w:szCs w:val="21"/>
        </w:rPr>
        <w:pPrChange w:id="22" w:author="ZHONGM" w:date="2025-10-28T00:05:00Z">
          <w:pPr>
            <w:pStyle w:val="2"/>
            <w:widowControl w:val="0"/>
            <w:spacing w:beforeLines="50" w:afterLines="50" w:line="240" w:lineRule="auto"/>
            <w:jc w:val="left"/>
          </w:pPr>
        </w:pPrChange>
      </w:pPr>
      <w:r>
        <w:rPr>
          <w:rFonts w:ascii="宋体" w:eastAsia="宋体" w:hAnsi="宋体" w:cs="宋体"/>
          <w:bCs/>
          <w:sz w:val="21"/>
          <w:szCs w:val="21"/>
        </w:rPr>
        <w:t>9</w:t>
      </w:r>
      <w:r>
        <w:rPr>
          <w:rFonts w:ascii="宋体" w:eastAsia="宋体" w:hAnsi="宋体" w:cs="宋体" w:hint="eastAsia"/>
          <w:bCs/>
          <w:sz w:val="21"/>
          <w:szCs w:val="21"/>
        </w:rPr>
        <w:t>其他需要提示的事项</w:t>
      </w:r>
    </w:p>
    <w:p w:rsidR="009125F6" w:rsidRDefault="00405CC7">
      <w:pPr>
        <w:spacing w:line="360" w:lineRule="auto"/>
        <w:ind w:firstLine="485"/>
        <w:jc w:val="left"/>
      </w:pPr>
      <w:r>
        <w:t>如有任何疑问，请与本基金直销机构或本公司联</w:t>
      </w:r>
      <w:r>
        <w:t>系。</w:t>
      </w:r>
    </w:p>
    <w:p w:rsidR="009125F6" w:rsidRDefault="00405CC7">
      <w:pPr>
        <w:spacing w:line="360" w:lineRule="auto"/>
        <w:ind w:firstLineChars="202" w:firstLine="424"/>
        <w:jc w:val="left"/>
      </w:pPr>
      <w:r>
        <w:t>本公司客户服务中心电话：</w:t>
      </w:r>
      <w:r>
        <w:t>400-009-5561</w:t>
      </w:r>
      <w:r>
        <w:t>、</w:t>
      </w:r>
      <w:r>
        <w:t>021-22211885</w:t>
      </w:r>
    </w:p>
    <w:p w:rsidR="009125F6" w:rsidRDefault="00405CC7">
      <w:pPr>
        <w:spacing w:line="360" w:lineRule="auto"/>
        <w:ind w:firstLineChars="202" w:firstLine="424"/>
        <w:jc w:val="left"/>
      </w:pPr>
      <w:r>
        <w:t>网址：</w:t>
      </w:r>
      <w:hyperlink r:id="rId7" w:history="1">
        <w:r>
          <w:rPr>
            <w:rStyle w:val="a8"/>
          </w:rPr>
          <w:t>www.cib-fund.com.cn</w:t>
        </w:r>
      </w:hyperlink>
    </w:p>
    <w:p w:rsidR="009125F6" w:rsidRDefault="00405CC7">
      <w:pPr>
        <w:spacing w:line="360" w:lineRule="auto"/>
        <w:ind w:firstLineChars="200" w:firstLine="420"/>
        <w:jc w:val="left"/>
      </w:pPr>
      <w:r>
        <w:rPr>
          <w:rFonts w:ascii="宋体" w:hAnsi="宋体" w:cs="宋体" w:hint="eastAsia"/>
          <w:szCs w:val="21"/>
        </w:rPr>
        <w:t>本公告仅对本基金开放申购、赎回、转换及定投业务的有关事项予以说明。投资人欲了解本基金相关业务规则的详细情况，请阅读刊登在中国证监会指定信息披露媒介上的《兴业恒泰债券型证券投资基金招募说明书》等</w:t>
      </w:r>
      <w:r>
        <w:rPr>
          <w:rFonts w:ascii="宋体" w:hAnsi="宋体" w:cs="宋体"/>
          <w:szCs w:val="21"/>
        </w:rPr>
        <w:t>法律文件</w:t>
      </w:r>
      <w:r>
        <w:rPr>
          <w:rFonts w:ascii="宋体" w:hAnsi="宋体" w:cs="宋体" w:hint="eastAsia"/>
          <w:szCs w:val="21"/>
        </w:rPr>
        <w:t>，或登录本基金管理人网站查询，并以此为准。</w:t>
      </w:r>
      <w:r>
        <w:rPr>
          <w:rFonts w:hint="eastAsia"/>
        </w:rPr>
        <w:t>若有代销机构实行费率优惠活动的，请以各代销机构最新公告或规定</w:t>
      </w:r>
      <w:r>
        <w:rPr>
          <w:rFonts w:hint="eastAsia"/>
        </w:rPr>
        <w:t>为准。</w:t>
      </w:r>
    </w:p>
    <w:p w:rsidR="009125F6" w:rsidRDefault="00405CC7">
      <w:pPr>
        <w:widowControl w:val="0"/>
        <w:spacing w:line="360" w:lineRule="auto"/>
        <w:ind w:firstLineChars="200" w:firstLine="420"/>
        <w:jc w:val="left"/>
        <w:rPr>
          <w:rFonts w:ascii="宋体" w:hAnsi="宋体" w:cs="宋体"/>
          <w:szCs w:val="21"/>
        </w:rPr>
      </w:pPr>
      <w:r>
        <w:rPr>
          <w:rFonts w:ascii="宋体" w:hAnsi="宋体" w:cs="宋体" w:hint="eastAsia"/>
          <w:szCs w:val="21"/>
        </w:rPr>
        <w:t>风险提示：本基金管理人承诺以诚实信用、勤勉尽责的原则管理和运用基金资产，但不保证基金一定盈利，也不保证最低收益。基金的过往业绩及其净值高低并不预示其未来业绩表现。投资人投资本基金前请认真阅读本基金的基金合同、招募说明书、产品资料概要等</w:t>
      </w:r>
      <w:r>
        <w:rPr>
          <w:rFonts w:ascii="宋体" w:hAnsi="宋体" w:cs="宋体"/>
          <w:szCs w:val="21"/>
        </w:rPr>
        <w:t>法律文件</w:t>
      </w:r>
      <w:r>
        <w:rPr>
          <w:rFonts w:ascii="宋体" w:hAnsi="宋体" w:cs="宋体" w:hint="eastAsia"/>
          <w:szCs w:val="21"/>
        </w:rPr>
        <w:t>，了解所投资基金的风险收益特征，并根据自身风险承受能力选择适合自己的基金产品。敬请投资人注意投资风险。</w:t>
      </w:r>
    </w:p>
    <w:p w:rsidR="009125F6" w:rsidRDefault="00405CC7">
      <w:pPr>
        <w:spacing w:line="360" w:lineRule="auto"/>
        <w:ind w:firstLineChars="177" w:firstLine="372"/>
        <w:rPr>
          <w:rFonts w:ascii="宋体" w:hAnsi="宋体" w:cs="宋体"/>
          <w:b/>
          <w:sz w:val="24"/>
          <w:szCs w:val="24"/>
        </w:rPr>
      </w:pPr>
      <w:r>
        <w:rPr>
          <w:rFonts w:ascii="宋体" w:hAnsi="宋体" w:cs="宋体"/>
          <w:szCs w:val="21"/>
        </w:rPr>
        <w:t>特此公告</w:t>
      </w:r>
      <w:r>
        <w:rPr>
          <w:rFonts w:ascii="宋体" w:hAnsi="宋体" w:cs="宋体" w:hint="eastAsia"/>
          <w:szCs w:val="21"/>
        </w:rPr>
        <w:t>。</w:t>
      </w:r>
    </w:p>
    <w:p w:rsidR="009125F6" w:rsidRDefault="009125F6">
      <w:pPr>
        <w:spacing w:line="360" w:lineRule="auto"/>
        <w:rPr>
          <w:rFonts w:ascii="宋体" w:hAnsi="宋体" w:cs="宋体"/>
          <w:b/>
          <w:sz w:val="24"/>
          <w:szCs w:val="24"/>
        </w:rPr>
      </w:pPr>
    </w:p>
    <w:p w:rsidR="009125F6" w:rsidRDefault="00405CC7">
      <w:pPr>
        <w:spacing w:line="360" w:lineRule="auto"/>
        <w:jc w:val="right"/>
        <w:rPr>
          <w:sz w:val="24"/>
          <w:szCs w:val="24"/>
        </w:rPr>
      </w:pPr>
      <w:r>
        <w:rPr>
          <w:sz w:val="24"/>
          <w:szCs w:val="24"/>
        </w:rPr>
        <w:t>兴业基金管理有限公司</w:t>
      </w:r>
    </w:p>
    <w:p w:rsidR="009125F6" w:rsidRDefault="00405CC7">
      <w:pPr>
        <w:spacing w:line="360" w:lineRule="auto"/>
        <w:jc w:val="right"/>
        <w:rPr>
          <w:rFonts w:ascii="宋体" w:hAnsi="宋体" w:cs="宋体"/>
          <w:b/>
          <w:sz w:val="24"/>
          <w:szCs w:val="24"/>
        </w:rPr>
      </w:pPr>
      <w:r>
        <w:rPr>
          <w:rFonts w:ascii="宋体" w:hAnsi="宋体" w:hint="eastAsia"/>
          <w:sz w:val="24"/>
          <w:szCs w:val="24"/>
        </w:rPr>
        <w:t>2025</w:t>
      </w:r>
      <w:r>
        <w:rPr>
          <w:rFonts w:ascii="宋体" w:hAnsi="宋体" w:hint="eastAsia"/>
          <w:sz w:val="24"/>
          <w:szCs w:val="24"/>
        </w:rPr>
        <w:t>年</w:t>
      </w:r>
      <w:r>
        <w:rPr>
          <w:rFonts w:ascii="宋体" w:hAnsi="宋体"/>
          <w:sz w:val="24"/>
          <w:szCs w:val="24"/>
        </w:rPr>
        <w:t>10</w:t>
      </w:r>
      <w:r>
        <w:rPr>
          <w:rFonts w:ascii="宋体" w:hAnsi="宋体" w:hint="eastAsia"/>
          <w:sz w:val="24"/>
          <w:szCs w:val="24"/>
        </w:rPr>
        <w:t>月</w:t>
      </w:r>
      <w:r>
        <w:rPr>
          <w:rFonts w:ascii="宋体" w:hAnsi="宋体"/>
          <w:sz w:val="24"/>
          <w:szCs w:val="24"/>
        </w:rPr>
        <w:t>28</w:t>
      </w:r>
      <w:r>
        <w:rPr>
          <w:rFonts w:ascii="宋体" w:hAnsi="宋体" w:hint="eastAsia"/>
          <w:sz w:val="24"/>
          <w:szCs w:val="24"/>
        </w:rPr>
        <w:t>日</w:t>
      </w:r>
    </w:p>
    <w:sectPr w:rsidR="009125F6" w:rsidSect="009125F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savePreviewPicture/>
  <w:compat>
    <w:spaceForUL/>
    <w:balanceSingleByteDoubleByteWidth/>
    <w:doNotExpandShiftReturn/>
    <w:adjustLineHeightInTable/>
    <w:useFELayout/>
  </w:compat>
  <w:rsids>
    <w:rsidRoot w:val="009125F6"/>
    <w:rsid w:val="00405CC7"/>
    <w:rsid w:val="009125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5F6"/>
    <w:pPr>
      <w:jc w:val="both"/>
    </w:pPr>
    <w:rPr>
      <w:rFonts w:ascii="Calibri" w:hAnsi="Calibri" w:cs="Times New Roman"/>
      <w:kern w:val="2"/>
      <w:sz w:val="21"/>
    </w:rPr>
  </w:style>
  <w:style w:type="paragraph" w:styleId="1">
    <w:name w:val="heading 1"/>
    <w:basedOn w:val="a"/>
    <w:next w:val="a"/>
    <w:link w:val="1Char"/>
    <w:qFormat/>
    <w:rsid w:val="009125F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125F6"/>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9125F6"/>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125F6"/>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9125F6"/>
    <w:rPr>
      <w:rFonts w:ascii="Arial" w:eastAsia="黑体" w:hAnsi="Arial" w:cs="Times New Roman"/>
      <w:b/>
      <w:kern w:val="2"/>
      <w:sz w:val="32"/>
      <w:szCs w:val="20"/>
      <w:lang w:val="en-US" w:eastAsia="zh-CN" w:bidi="ar-SA"/>
    </w:rPr>
  </w:style>
  <w:style w:type="character" w:customStyle="1" w:styleId="3Char">
    <w:name w:val="标题 3 Char"/>
    <w:basedOn w:val="a0"/>
    <w:link w:val="3"/>
    <w:rsid w:val="009125F6"/>
    <w:rPr>
      <w:rFonts w:ascii="Calibri" w:eastAsia="宋体" w:hAnsi="Calibri" w:cs="Times New Roman"/>
      <w:b/>
      <w:bCs/>
      <w:kern w:val="2"/>
      <w:sz w:val="32"/>
      <w:szCs w:val="32"/>
      <w:lang w:val="en-US" w:eastAsia="zh-CN" w:bidi="ar-SA"/>
    </w:rPr>
  </w:style>
  <w:style w:type="paragraph" w:styleId="a3">
    <w:name w:val="annotation text"/>
    <w:basedOn w:val="a"/>
    <w:qFormat/>
    <w:rsid w:val="009125F6"/>
    <w:pPr>
      <w:jc w:val="left"/>
    </w:pPr>
  </w:style>
  <w:style w:type="paragraph" w:styleId="5">
    <w:name w:val="toc 5"/>
    <w:basedOn w:val="a"/>
    <w:next w:val="a"/>
    <w:qFormat/>
    <w:rsid w:val="009125F6"/>
    <w:pPr>
      <w:ind w:left="1680"/>
    </w:pPr>
  </w:style>
  <w:style w:type="paragraph" w:styleId="30">
    <w:name w:val="toc 3"/>
    <w:basedOn w:val="a"/>
    <w:next w:val="a"/>
    <w:qFormat/>
    <w:rsid w:val="009125F6"/>
    <w:pPr>
      <w:ind w:left="840"/>
    </w:pPr>
  </w:style>
  <w:style w:type="paragraph" w:styleId="a4">
    <w:name w:val="Balloon Text"/>
    <w:basedOn w:val="a"/>
    <w:qFormat/>
    <w:rsid w:val="009125F6"/>
    <w:rPr>
      <w:sz w:val="18"/>
      <w:szCs w:val="18"/>
    </w:rPr>
  </w:style>
  <w:style w:type="paragraph" w:styleId="a5">
    <w:name w:val="footer"/>
    <w:basedOn w:val="a"/>
    <w:qFormat/>
    <w:rsid w:val="009125F6"/>
    <w:pPr>
      <w:tabs>
        <w:tab w:val="center" w:pos="4153"/>
        <w:tab w:val="right" w:pos="8306"/>
      </w:tabs>
      <w:snapToGrid w:val="0"/>
      <w:jc w:val="left"/>
    </w:pPr>
    <w:rPr>
      <w:sz w:val="18"/>
      <w:szCs w:val="18"/>
    </w:rPr>
  </w:style>
  <w:style w:type="paragraph" w:styleId="a6">
    <w:name w:val="header"/>
    <w:basedOn w:val="a"/>
    <w:qFormat/>
    <w:rsid w:val="009125F6"/>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125F6"/>
  </w:style>
  <w:style w:type="paragraph" w:styleId="4">
    <w:name w:val="toc 4"/>
    <w:basedOn w:val="a"/>
    <w:next w:val="a"/>
    <w:qFormat/>
    <w:rsid w:val="009125F6"/>
    <w:pPr>
      <w:ind w:left="1260"/>
    </w:pPr>
  </w:style>
  <w:style w:type="paragraph" w:styleId="20">
    <w:name w:val="toc 2"/>
    <w:basedOn w:val="a"/>
    <w:next w:val="a"/>
    <w:qFormat/>
    <w:rsid w:val="009125F6"/>
    <w:pPr>
      <w:ind w:left="420"/>
    </w:pPr>
  </w:style>
  <w:style w:type="paragraph" w:styleId="a7">
    <w:name w:val="annotation subject"/>
    <w:basedOn w:val="a3"/>
    <w:next w:val="a3"/>
    <w:qFormat/>
    <w:rsid w:val="009125F6"/>
    <w:rPr>
      <w:b/>
      <w:bCs/>
    </w:rPr>
  </w:style>
  <w:style w:type="character" w:styleId="a8">
    <w:name w:val="Hyperlink"/>
    <w:basedOn w:val="a0"/>
    <w:qFormat/>
    <w:rsid w:val="009125F6"/>
    <w:rPr>
      <w:color w:val="0000FF"/>
      <w:u w:val="single"/>
    </w:rPr>
  </w:style>
  <w:style w:type="character" w:styleId="a9">
    <w:name w:val="annotation reference"/>
    <w:basedOn w:val="a0"/>
    <w:qFormat/>
    <w:rsid w:val="009125F6"/>
    <w:rPr>
      <w:sz w:val="21"/>
      <w:szCs w:val="21"/>
    </w:rPr>
  </w:style>
  <w:style w:type="paragraph" w:customStyle="1" w:styleId="Default">
    <w:name w:val="Default"/>
    <w:qFormat/>
    <w:rsid w:val="009125F6"/>
    <w:pPr>
      <w:widowControl w:val="0"/>
      <w:autoSpaceDE w:val="0"/>
      <w:autoSpaceDN w:val="0"/>
      <w:adjustRightInd w:val="0"/>
    </w:pPr>
    <w:rPr>
      <w:rFonts w:ascii="宋体" w:hAnsi="宋体" w:cs="Times New Roman"/>
      <w:color w:val="000000"/>
      <w:sz w:val="24"/>
    </w:rPr>
  </w:style>
  <w:style w:type="paragraph" w:customStyle="1" w:styleId="11">
    <w:name w:val="修订1"/>
    <w:qFormat/>
    <w:rsid w:val="009125F6"/>
    <w:rPr>
      <w:rFonts w:ascii="Calibri" w:hAnsi="Calibri" w:cs="Times New Roman"/>
      <w:kern w:val="2"/>
      <w:sz w:val="21"/>
    </w:rPr>
  </w:style>
  <w:style w:type="paragraph" w:styleId="aa">
    <w:name w:val="List Paragraph"/>
    <w:basedOn w:val="a"/>
    <w:qFormat/>
    <w:rsid w:val="009125F6"/>
    <w:pPr>
      <w:ind w:firstLineChars="200" w:firstLine="200"/>
    </w:pPr>
    <w:rPr>
      <w:rFonts w:cs="Calibri"/>
      <w:kern w:val="0"/>
      <w:szCs w:val="21"/>
    </w:rPr>
  </w:style>
  <w:style w:type="paragraph" w:customStyle="1" w:styleId="21">
    <w:name w:val="修订2"/>
    <w:qFormat/>
    <w:rsid w:val="009125F6"/>
    <w:rPr>
      <w:rFonts w:ascii="Calibri" w:hAnsi="Calibri"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b-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rade.cib-fund.com.cn/etrading/" TargetMode="External"/><Relationship Id="rId5" Type="http://schemas.openxmlformats.org/officeDocument/2006/relationships/hyperlink" Target="http://www.cib-fund.com.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E99F68E6-FA1E-4F3F-B740-236410A3C71F}">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5290</Characters>
  <Application>Microsoft Office Word</Application>
  <DocSecurity>4</DocSecurity>
  <Lines>44</Lines>
  <Paragraphs>12</Paragraphs>
  <ScaleCrop>false</ScaleCrop>
  <Company>Microsoft</Company>
  <LinksUpToDate>false</LinksUpToDate>
  <CharactersWithSpaces>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赵悦</dc:creator>
  <cp:lastModifiedBy>ZHONGM</cp:lastModifiedBy>
  <cp:revision>2</cp:revision>
  <dcterms:created xsi:type="dcterms:W3CDTF">2025-10-27T16:05:00Z</dcterms:created>
  <dcterms:modified xsi:type="dcterms:W3CDTF">2025-10-27T16:05:00Z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DA6E1D35AE4C43BFA237E4FE7A0DA878</vt:lpwstr>
  </property>
</Properties>
</file>