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E612A" w:rsidRDefault="002E612A">
      <w:pPr>
        <w:pStyle w:val="XBRL2"/>
        <w:spacing w:before="156"/>
        <w:rPr>
          <w:lang w:eastAsia="zh-CN"/>
        </w:rPr>
      </w:pPr>
      <w:bookmarkStart w:id="0" w:name="_Toc348410291"/>
      <w:bookmarkEnd w:id="0"/>
      <w:r>
        <w:rPr>
          <w:lang w:eastAsia="zh-CN"/>
        </w:rPr>
        <w:t xml:space="preserve">　</w:t>
      </w:r>
      <w:r>
        <w:rPr>
          <w:lang w:eastAsia="zh-CN"/>
        </w:rPr>
        <w:t xml:space="preserve"> </w:t>
      </w:r>
    </w:p>
    <w:p w:rsidR="002E612A" w:rsidRDefault="002E612A">
      <w:pPr>
        <w:jc w:val="center"/>
      </w:pPr>
      <w:r>
        <w:rPr>
          <w:rFonts w:cs="Times New Roman" w:hint="eastAsia"/>
          <w:b/>
          <w:sz w:val="48"/>
          <w:szCs w:val="48"/>
        </w:rPr>
        <w:t>宏利泽利3个月定期开放债券型发起式证券投资基金开放日常申购（赎回、转换、定期定额投资）业务公告</w:t>
      </w:r>
    </w:p>
    <w:p w:rsidR="002E612A" w:rsidRDefault="002E612A">
      <w:pPr>
        <w:spacing w:line="360" w:lineRule="auto"/>
        <w:jc w:val="center"/>
        <w:rPr>
          <w:rFonts w:hint="eastAsia"/>
          <w:sz w:val="24"/>
          <w:szCs w:val="30"/>
        </w:rPr>
      </w:pPr>
      <w:r>
        <w:rPr>
          <w:rFonts w:hint="eastAsia"/>
          <w:sz w:val="24"/>
          <w:szCs w:val="30"/>
        </w:rPr>
        <w:t xml:space="preserve">　 </w:t>
      </w:r>
    </w:p>
    <w:p w:rsidR="002E612A" w:rsidRDefault="002E612A">
      <w:pPr>
        <w:spacing w:line="360" w:lineRule="auto"/>
        <w:jc w:val="center"/>
        <w:rPr>
          <w:rFonts w:hint="eastAsia"/>
          <w:sz w:val="24"/>
          <w:szCs w:val="30"/>
        </w:rPr>
      </w:pPr>
      <w:r>
        <w:rPr>
          <w:rFonts w:hint="eastAsia"/>
          <w:sz w:val="24"/>
          <w:szCs w:val="30"/>
        </w:rPr>
        <w:t xml:space="preserve">　 </w:t>
      </w:r>
    </w:p>
    <w:p w:rsidR="002E612A" w:rsidRDefault="002E612A">
      <w:pPr>
        <w:spacing w:line="360" w:lineRule="auto"/>
        <w:jc w:val="center"/>
        <w:rPr>
          <w:rFonts w:hint="eastAsia"/>
          <w:sz w:val="24"/>
          <w:szCs w:val="30"/>
        </w:rPr>
      </w:pPr>
      <w:r>
        <w:rPr>
          <w:rFonts w:hint="eastAsia"/>
          <w:sz w:val="24"/>
          <w:szCs w:val="30"/>
        </w:rPr>
        <w:t xml:space="preserve">　 </w:t>
      </w:r>
    </w:p>
    <w:p w:rsidR="002E612A" w:rsidRDefault="002E612A">
      <w:pPr>
        <w:spacing w:line="360" w:lineRule="auto"/>
        <w:jc w:val="center"/>
        <w:rPr>
          <w:rFonts w:hint="eastAsia"/>
          <w:sz w:val="24"/>
          <w:szCs w:val="30"/>
        </w:rPr>
      </w:pPr>
      <w:r>
        <w:rPr>
          <w:rFonts w:hint="eastAsia"/>
          <w:sz w:val="24"/>
          <w:szCs w:val="30"/>
        </w:rPr>
        <w:t xml:space="preserve">　 </w:t>
      </w:r>
    </w:p>
    <w:p w:rsidR="002E612A" w:rsidRDefault="002E612A">
      <w:pPr>
        <w:spacing w:line="360" w:lineRule="auto"/>
        <w:jc w:val="center"/>
        <w:rPr>
          <w:rFonts w:hint="eastAsia"/>
          <w:sz w:val="24"/>
          <w:szCs w:val="30"/>
        </w:rPr>
      </w:pPr>
      <w:r>
        <w:rPr>
          <w:rFonts w:hint="eastAsia"/>
          <w:sz w:val="24"/>
          <w:szCs w:val="30"/>
        </w:rPr>
        <w:t xml:space="preserve">　 </w:t>
      </w:r>
    </w:p>
    <w:p w:rsidR="002E612A" w:rsidRDefault="002E612A">
      <w:pPr>
        <w:spacing w:line="360" w:lineRule="auto"/>
        <w:jc w:val="center"/>
        <w:rPr>
          <w:rFonts w:hint="eastAsia"/>
          <w:sz w:val="24"/>
          <w:szCs w:val="30"/>
        </w:rPr>
      </w:pPr>
      <w:r>
        <w:rPr>
          <w:rFonts w:hint="eastAsia"/>
          <w:sz w:val="24"/>
          <w:szCs w:val="30"/>
        </w:rPr>
        <w:t xml:space="preserve">　 </w:t>
      </w:r>
    </w:p>
    <w:p w:rsidR="002E612A" w:rsidRDefault="002E612A">
      <w:pPr>
        <w:spacing w:line="360" w:lineRule="auto"/>
        <w:jc w:val="center"/>
        <w:rPr>
          <w:rFonts w:hint="eastAsia"/>
          <w:sz w:val="24"/>
          <w:szCs w:val="30"/>
        </w:rPr>
      </w:pPr>
      <w:r>
        <w:rPr>
          <w:rFonts w:hint="eastAsia"/>
          <w:sz w:val="24"/>
          <w:szCs w:val="30"/>
        </w:rPr>
        <w:t xml:space="preserve">　 </w:t>
      </w:r>
    </w:p>
    <w:p w:rsidR="002E612A" w:rsidRDefault="002E612A">
      <w:pPr>
        <w:spacing w:line="360" w:lineRule="auto"/>
        <w:jc w:val="center"/>
        <w:rPr>
          <w:sz w:val="24"/>
          <w:szCs w:val="30"/>
        </w:rPr>
      </w:pPr>
      <w:r>
        <w:rPr>
          <w:rFonts w:hint="eastAsia"/>
          <w:sz w:val="24"/>
          <w:szCs w:val="30"/>
        </w:rPr>
        <w:t xml:space="preserve">　 </w:t>
      </w:r>
    </w:p>
    <w:p w:rsidR="00BE45C9" w:rsidRDefault="00BE45C9">
      <w:pPr>
        <w:spacing w:line="360" w:lineRule="auto"/>
        <w:jc w:val="center"/>
        <w:rPr>
          <w:sz w:val="24"/>
          <w:szCs w:val="30"/>
        </w:rPr>
      </w:pPr>
    </w:p>
    <w:p w:rsidR="00BE45C9" w:rsidRDefault="00BE45C9">
      <w:pPr>
        <w:spacing w:line="360" w:lineRule="auto"/>
        <w:jc w:val="center"/>
        <w:rPr>
          <w:sz w:val="24"/>
          <w:szCs w:val="30"/>
        </w:rPr>
      </w:pPr>
    </w:p>
    <w:p w:rsidR="00BE45C9" w:rsidRDefault="00BE45C9">
      <w:pPr>
        <w:spacing w:line="360" w:lineRule="auto"/>
        <w:jc w:val="center"/>
        <w:rPr>
          <w:sz w:val="24"/>
          <w:szCs w:val="30"/>
        </w:rPr>
      </w:pPr>
    </w:p>
    <w:p w:rsidR="00BE45C9" w:rsidRDefault="00BE45C9">
      <w:pPr>
        <w:spacing w:line="360" w:lineRule="auto"/>
        <w:jc w:val="center"/>
        <w:rPr>
          <w:sz w:val="24"/>
          <w:szCs w:val="30"/>
        </w:rPr>
      </w:pPr>
    </w:p>
    <w:p w:rsidR="00BE45C9" w:rsidRDefault="00BE45C9">
      <w:pPr>
        <w:spacing w:line="360" w:lineRule="auto"/>
        <w:jc w:val="center"/>
        <w:rPr>
          <w:rFonts w:hint="eastAsia"/>
          <w:sz w:val="24"/>
          <w:szCs w:val="30"/>
        </w:rPr>
      </w:pPr>
    </w:p>
    <w:p w:rsidR="002E612A" w:rsidRDefault="002E612A">
      <w:pPr>
        <w:spacing w:line="360" w:lineRule="auto"/>
        <w:jc w:val="center"/>
        <w:rPr>
          <w:rFonts w:hint="eastAsia"/>
          <w:sz w:val="24"/>
          <w:szCs w:val="30"/>
        </w:rPr>
      </w:pPr>
      <w:r>
        <w:rPr>
          <w:rFonts w:hint="eastAsia"/>
          <w:sz w:val="24"/>
          <w:szCs w:val="30"/>
        </w:rPr>
        <w:t xml:space="preserve">　 </w:t>
      </w:r>
    </w:p>
    <w:p w:rsidR="002E612A" w:rsidRDefault="002E612A">
      <w:pPr>
        <w:spacing w:line="360" w:lineRule="auto"/>
        <w:jc w:val="center"/>
        <w:rPr>
          <w:rFonts w:hint="eastAsia"/>
          <w:sz w:val="24"/>
          <w:szCs w:val="30"/>
        </w:rPr>
      </w:pPr>
      <w:r>
        <w:rPr>
          <w:rFonts w:hint="eastAsia"/>
          <w:sz w:val="24"/>
          <w:szCs w:val="30"/>
        </w:rPr>
        <w:t xml:space="preserve">　 </w:t>
      </w:r>
    </w:p>
    <w:p w:rsidR="002E612A" w:rsidRPr="00BE45C9" w:rsidRDefault="002E612A">
      <w:pPr>
        <w:spacing w:line="360" w:lineRule="auto"/>
        <w:jc w:val="center"/>
        <w:rPr>
          <w:rFonts w:hint="eastAsia"/>
          <w:sz w:val="22"/>
        </w:rPr>
      </w:pPr>
      <w:r w:rsidRPr="00BE45C9">
        <w:rPr>
          <w:rFonts w:hint="eastAsia"/>
          <w:b/>
          <w:bCs/>
          <w:sz w:val="28"/>
          <w:szCs w:val="30"/>
        </w:rPr>
        <w:t>公告送出日期：2025年10月28日</w:t>
      </w:r>
    </w:p>
    <w:p w:rsidR="002E612A" w:rsidRDefault="002E612A">
      <w:pPr>
        <w:pStyle w:val="XBRLTitle1"/>
        <w:spacing w:before="156" w:line="360" w:lineRule="auto"/>
        <w:ind w:left="425"/>
        <w:rPr>
          <w:rFonts w:hint="eastAsia"/>
        </w:rPr>
      </w:pPr>
      <w:r>
        <w:rPr>
          <w:rFonts w:hint="eastAsia"/>
          <w:color w:val="404040"/>
          <w:kern w:val="0"/>
        </w:rPr>
        <w:br w:type="page"/>
      </w:r>
      <w:bookmarkStart w:id="1" w:name="_Toc34841028"/>
      <w:bookmarkStart w:id="2" w:name="_Toc17898178"/>
      <w:bookmarkStart w:id="3" w:name="_Toc17897936"/>
      <w:bookmarkStart w:id="4" w:name="_Toc512519480"/>
      <w:bookmarkStart w:id="5" w:name="_Toc481075046"/>
      <w:bookmarkStart w:id="6" w:name="_Toc438646451"/>
      <w:bookmarkStart w:id="7" w:name="_Toc490050000"/>
      <w:bookmarkStart w:id="8" w:name="_Toc513295846"/>
      <w:bookmarkStart w:id="9" w:name="_Toc513295892"/>
      <w:bookmarkStart w:id="10" w:name="_Toc34758519"/>
      <w:bookmarkStart w:id="11" w:name="m101"/>
      <w:bookmarkStart w:id="12" w:name="_Toc194311890"/>
      <w:bookmarkStart w:id="13" w:name="m01_01"/>
      <w:r>
        <w:rPr>
          <w:rFonts w:hAnsi="宋体" w:hint="eastAsia"/>
        </w:rPr>
        <w:lastRenderedPageBreak/>
        <w:t>公告基本信息</w:t>
      </w:r>
      <w:bookmarkEnd w:id="1"/>
      <w:bookmarkEnd w:id="2"/>
      <w:bookmarkEnd w:id="3"/>
      <w:bookmarkEnd w:id="4"/>
      <w:bookmarkEnd w:id="5"/>
      <w:bookmarkEnd w:id="6"/>
      <w:bookmarkEnd w:id="7"/>
      <w:bookmarkEnd w:id="8"/>
      <w:bookmarkEnd w:id="9"/>
      <w:bookmarkEnd w:id="10"/>
      <w:r>
        <w:rPr>
          <w:rFonts w:hAnsi="宋体" w:hint="eastAsia"/>
          <w:szCs w:val="4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52"/>
        <w:gridCol w:w="4870"/>
      </w:tblGrid>
      <w:tr w:rsidR="002E612A" w:rsidRPr="00A22928" w:rsidTr="00A22928">
        <w:tc>
          <w:tcPr>
            <w:tcW w:w="3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612A" w:rsidRDefault="002E612A" w:rsidP="00A22928">
            <w:pPr>
              <w:rPr>
                <w:rFonts w:hint="eastAsia"/>
              </w:rPr>
            </w:pPr>
            <w:r w:rsidRPr="00A22928">
              <w:rPr>
                <w:rFonts w:hint="eastAsia"/>
              </w:rPr>
              <w:t xml:space="preserve">基金名称 </w:t>
            </w:r>
          </w:p>
        </w:tc>
        <w:tc>
          <w:tcPr>
            <w:tcW w:w="4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612A" w:rsidRDefault="002E612A">
            <w:pPr>
              <w:rPr>
                <w:rFonts w:hint="eastAsia"/>
              </w:rPr>
            </w:pPr>
            <w:r w:rsidRPr="00A22928">
              <w:rPr>
                <w:rFonts w:hint="eastAsia"/>
              </w:rPr>
              <w:t>宏利泽利3个月定期开放债券型发起式证券投资基金</w:t>
            </w:r>
          </w:p>
        </w:tc>
      </w:tr>
      <w:tr w:rsidR="002E612A" w:rsidRPr="00A22928" w:rsidTr="00A22928">
        <w:tc>
          <w:tcPr>
            <w:tcW w:w="3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612A" w:rsidRDefault="002E612A">
            <w:pPr>
              <w:rPr>
                <w:rFonts w:hint="eastAsia"/>
              </w:rPr>
            </w:pPr>
            <w:r w:rsidRPr="00A22928">
              <w:rPr>
                <w:rFonts w:hint="eastAsia"/>
              </w:rPr>
              <w:t xml:space="preserve">基金简称 </w:t>
            </w:r>
          </w:p>
        </w:tc>
        <w:tc>
          <w:tcPr>
            <w:tcW w:w="4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612A" w:rsidRDefault="002E612A">
            <w:pPr>
              <w:rPr>
                <w:rFonts w:hint="eastAsia"/>
              </w:rPr>
            </w:pPr>
            <w:r w:rsidRPr="00A22928">
              <w:rPr>
                <w:rFonts w:hint="eastAsia"/>
              </w:rPr>
              <w:t>宏利泽利3个月定开债券发起式</w:t>
            </w:r>
          </w:p>
        </w:tc>
      </w:tr>
      <w:tr w:rsidR="002E612A" w:rsidRPr="00A22928" w:rsidTr="00A22928">
        <w:tc>
          <w:tcPr>
            <w:tcW w:w="3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612A" w:rsidRDefault="002E612A">
            <w:pPr>
              <w:rPr>
                <w:rFonts w:hint="eastAsia"/>
              </w:rPr>
            </w:pPr>
            <w:r w:rsidRPr="00A22928">
              <w:rPr>
                <w:rFonts w:hint="eastAsia"/>
              </w:rPr>
              <w:t xml:space="preserve">基金主代码 </w:t>
            </w:r>
          </w:p>
        </w:tc>
        <w:tc>
          <w:tcPr>
            <w:tcW w:w="4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612A" w:rsidRDefault="002E612A">
            <w:pPr>
              <w:rPr>
                <w:rFonts w:hint="eastAsia"/>
              </w:rPr>
            </w:pPr>
            <w:r w:rsidRPr="00A22928">
              <w:rPr>
                <w:rFonts w:hint="eastAsia"/>
              </w:rPr>
              <w:t>006099</w:t>
            </w:r>
          </w:p>
        </w:tc>
      </w:tr>
      <w:tr w:rsidR="002E612A" w:rsidRPr="00A22928" w:rsidTr="00A22928">
        <w:tc>
          <w:tcPr>
            <w:tcW w:w="3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612A" w:rsidRDefault="002E612A">
            <w:pPr>
              <w:rPr>
                <w:rFonts w:hint="eastAsia"/>
              </w:rPr>
            </w:pPr>
            <w:r w:rsidRPr="00A22928">
              <w:rPr>
                <w:rFonts w:hint="eastAsia"/>
              </w:rPr>
              <w:t xml:space="preserve">基金运作方式 </w:t>
            </w:r>
          </w:p>
        </w:tc>
        <w:tc>
          <w:tcPr>
            <w:tcW w:w="4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612A" w:rsidRDefault="002E612A">
            <w:pPr>
              <w:rPr>
                <w:rFonts w:hint="eastAsia"/>
              </w:rPr>
            </w:pPr>
            <w:r w:rsidRPr="00A22928">
              <w:rPr>
                <w:rFonts w:hint="eastAsia"/>
              </w:rPr>
              <w:t>契约型开放式</w:t>
            </w:r>
          </w:p>
        </w:tc>
      </w:tr>
      <w:tr w:rsidR="002E612A" w:rsidRPr="00A22928" w:rsidTr="00A22928">
        <w:tc>
          <w:tcPr>
            <w:tcW w:w="3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612A" w:rsidRDefault="002E612A">
            <w:pPr>
              <w:rPr>
                <w:rFonts w:hint="eastAsia"/>
              </w:rPr>
            </w:pPr>
            <w:r w:rsidRPr="00A22928">
              <w:rPr>
                <w:rFonts w:hint="eastAsia"/>
              </w:rPr>
              <w:t xml:space="preserve">基金合同生效日 </w:t>
            </w:r>
          </w:p>
        </w:tc>
        <w:tc>
          <w:tcPr>
            <w:tcW w:w="4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612A" w:rsidRDefault="002E612A">
            <w:pPr>
              <w:rPr>
                <w:rFonts w:hint="eastAsia"/>
              </w:rPr>
            </w:pPr>
            <w:r w:rsidRPr="00A22928">
              <w:rPr>
                <w:rFonts w:hint="eastAsia"/>
              </w:rPr>
              <w:t>2018年9月20日</w:t>
            </w:r>
          </w:p>
        </w:tc>
      </w:tr>
      <w:tr w:rsidR="002E612A" w:rsidRPr="00A22928" w:rsidTr="00A22928">
        <w:tc>
          <w:tcPr>
            <w:tcW w:w="3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612A" w:rsidRDefault="002E612A">
            <w:pPr>
              <w:rPr>
                <w:rFonts w:hint="eastAsia"/>
              </w:rPr>
            </w:pPr>
            <w:r w:rsidRPr="00A22928">
              <w:rPr>
                <w:rFonts w:hint="eastAsia"/>
              </w:rPr>
              <w:t xml:space="preserve">基金管理人名称 </w:t>
            </w:r>
          </w:p>
        </w:tc>
        <w:tc>
          <w:tcPr>
            <w:tcW w:w="4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612A" w:rsidRDefault="002E612A">
            <w:pPr>
              <w:rPr>
                <w:rFonts w:hint="eastAsia"/>
              </w:rPr>
            </w:pPr>
            <w:r w:rsidRPr="00A22928">
              <w:rPr>
                <w:rFonts w:hint="eastAsia"/>
              </w:rPr>
              <w:t>宏利基金管理有限公司</w:t>
            </w:r>
          </w:p>
        </w:tc>
      </w:tr>
      <w:tr w:rsidR="002E612A" w:rsidRPr="00A22928" w:rsidTr="00A22928">
        <w:tc>
          <w:tcPr>
            <w:tcW w:w="3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612A" w:rsidRDefault="002E612A">
            <w:pPr>
              <w:rPr>
                <w:rFonts w:hint="eastAsia"/>
              </w:rPr>
            </w:pPr>
            <w:r w:rsidRPr="00A22928">
              <w:rPr>
                <w:rFonts w:hint="eastAsia"/>
              </w:rPr>
              <w:t xml:space="preserve">基金托管人名称 </w:t>
            </w:r>
          </w:p>
        </w:tc>
        <w:tc>
          <w:tcPr>
            <w:tcW w:w="4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612A" w:rsidRDefault="002E612A">
            <w:pPr>
              <w:rPr>
                <w:rFonts w:hint="eastAsia"/>
              </w:rPr>
            </w:pPr>
            <w:r w:rsidRPr="00A22928">
              <w:rPr>
                <w:rFonts w:hint="eastAsia"/>
              </w:rPr>
              <w:t>浙商银行股份有限公司</w:t>
            </w:r>
          </w:p>
        </w:tc>
      </w:tr>
      <w:tr w:rsidR="002E612A" w:rsidRPr="00A22928" w:rsidTr="00A22928">
        <w:tc>
          <w:tcPr>
            <w:tcW w:w="3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612A" w:rsidRDefault="002E612A">
            <w:pPr>
              <w:rPr>
                <w:rFonts w:hint="eastAsia"/>
              </w:rPr>
            </w:pPr>
            <w:r w:rsidRPr="00A22928">
              <w:rPr>
                <w:rFonts w:hint="eastAsia"/>
              </w:rPr>
              <w:t xml:space="preserve">基金注册登记机构名称 </w:t>
            </w:r>
          </w:p>
        </w:tc>
        <w:tc>
          <w:tcPr>
            <w:tcW w:w="4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612A" w:rsidRDefault="002E612A">
            <w:pPr>
              <w:rPr>
                <w:rFonts w:hint="eastAsia"/>
              </w:rPr>
            </w:pPr>
            <w:r w:rsidRPr="00A22928">
              <w:rPr>
                <w:rFonts w:hint="eastAsia"/>
              </w:rPr>
              <w:t>宏利基金管理有限公司</w:t>
            </w:r>
          </w:p>
        </w:tc>
      </w:tr>
      <w:tr w:rsidR="002E612A" w:rsidRPr="00A22928" w:rsidTr="00A22928">
        <w:tc>
          <w:tcPr>
            <w:tcW w:w="3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612A" w:rsidRDefault="002E612A">
            <w:pPr>
              <w:rPr>
                <w:rFonts w:hint="eastAsia"/>
              </w:rPr>
            </w:pPr>
            <w:r w:rsidRPr="00A22928">
              <w:rPr>
                <w:rFonts w:hint="eastAsia"/>
              </w:rPr>
              <w:t xml:space="preserve">公告依据 </w:t>
            </w:r>
          </w:p>
        </w:tc>
        <w:tc>
          <w:tcPr>
            <w:tcW w:w="4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612A" w:rsidRDefault="002E612A">
            <w:pPr>
              <w:rPr>
                <w:rFonts w:hint="eastAsia"/>
              </w:rPr>
            </w:pPr>
            <w:r w:rsidRPr="00A22928">
              <w:rPr>
                <w:rFonts w:hint="eastAsia"/>
              </w:rPr>
              <w:t>《宏利泽利3个月定期开放债券型发起式证券投资基金招募说明书》（以下简称招募说明书）、《宏利泽利3个月定期开放债券型发起式证券投资基金基金合同》（以下简称基金合同）</w:t>
            </w:r>
          </w:p>
        </w:tc>
      </w:tr>
      <w:tr w:rsidR="002E612A" w:rsidRPr="00A22928" w:rsidTr="00A22928">
        <w:tc>
          <w:tcPr>
            <w:tcW w:w="3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612A" w:rsidRDefault="002E612A">
            <w:pPr>
              <w:rPr>
                <w:rFonts w:hint="eastAsia"/>
              </w:rPr>
            </w:pPr>
            <w:r w:rsidRPr="00A22928">
              <w:rPr>
                <w:rFonts w:hint="eastAsia"/>
              </w:rPr>
              <w:t xml:space="preserve">申购起始日 </w:t>
            </w:r>
          </w:p>
        </w:tc>
        <w:tc>
          <w:tcPr>
            <w:tcW w:w="4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612A" w:rsidRDefault="002E612A">
            <w:pPr>
              <w:rPr>
                <w:rFonts w:hint="eastAsia"/>
              </w:rPr>
            </w:pPr>
            <w:r w:rsidRPr="00A22928">
              <w:rPr>
                <w:rFonts w:hint="eastAsia"/>
              </w:rPr>
              <w:t>2025年10月30日</w:t>
            </w:r>
          </w:p>
        </w:tc>
      </w:tr>
      <w:tr w:rsidR="002E612A" w:rsidRPr="00A22928" w:rsidTr="00A22928">
        <w:tc>
          <w:tcPr>
            <w:tcW w:w="3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612A" w:rsidRDefault="002E612A">
            <w:pPr>
              <w:rPr>
                <w:rFonts w:hint="eastAsia"/>
              </w:rPr>
            </w:pPr>
            <w:r w:rsidRPr="00A22928">
              <w:rPr>
                <w:rFonts w:hint="eastAsia"/>
              </w:rPr>
              <w:t xml:space="preserve">赎回起始日 </w:t>
            </w:r>
          </w:p>
        </w:tc>
        <w:tc>
          <w:tcPr>
            <w:tcW w:w="4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612A" w:rsidRDefault="002E612A">
            <w:pPr>
              <w:rPr>
                <w:rFonts w:hint="eastAsia"/>
              </w:rPr>
            </w:pPr>
            <w:r w:rsidRPr="00A22928">
              <w:rPr>
                <w:rFonts w:hint="eastAsia"/>
              </w:rPr>
              <w:t>2025年10月30日</w:t>
            </w:r>
          </w:p>
        </w:tc>
      </w:tr>
      <w:tr w:rsidR="002E612A" w:rsidRPr="00A22928" w:rsidTr="00A22928">
        <w:tc>
          <w:tcPr>
            <w:tcW w:w="3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612A" w:rsidRDefault="002E612A">
            <w:pPr>
              <w:rPr>
                <w:rFonts w:hint="eastAsia"/>
              </w:rPr>
            </w:pPr>
            <w:r w:rsidRPr="00A22928">
              <w:rPr>
                <w:rFonts w:hint="eastAsia"/>
              </w:rPr>
              <w:t xml:space="preserve">转换转入起始日 </w:t>
            </w:r>
          </w:p>
        </w:tc>
        <w:tc>
          <w:tcPr>
            <w:tcW w:w="4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612A" w:rsidRDefault="002E612A">
            <w:pPr>
              <w:rPr>
                <w:rFonts w:hint="eastAsia"/>
              </w:rPr>
            </w:pPr>
            <w:r w:rsidRPr="00A22928">
              <w:rPr>
                <w:rFonts w:hint="eastAsia"/>
              </w:rPr>
              <w:t>2025年10月30日</w:t>
            </w:r>
          </w:p>
        </w:tc>
      </w:tr>
      <w:tr w:rsidR="002E612A" w:rsidRPr="00A22928" w:rsidTr="00A22928">
        <w:tc>
          <w:tcPr>
            <w:tcW w:w="3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612A" w:rsidRDefault="002E612A">
            <w:pPr>
              <w:rPr>
                <w:rFonts w:hint="eastAsia"/>
              </w:rPr>
            </w:pPr>
            <w:r w:rsidRPr="00A22928">
              <w:rPr>
                <w:rFonts w:hint="eastAsia"/>
              </w:rPr>
              <w:t xml:space="preserve">转换转出起始日 </w:t>
            </w:r>
          </w:p>
        </w:tc>
        <w:tc>
          <w:tcPr>
            <w:tcW w:w="4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612A" w:rsidRDefault="002E612A">
            <w:pPr>
              <w:rPr>
                <w:rFonts w:hint="eastAsia"/>
              </w:rPr>
            </w:pPr>
            <w:r w:rsidRPr="00A22928">
              <w:rPr>
                <w:rFonts w:hint="eastAsia"/>
              </w:rPr>
              <w:t>2025年10月30日</w:t>
            </w:r>
          </w:p>
        </w:tc>
      </w:tr>
      <w:tr w:rsidR="002E612A" w:rsidRPr="00A22928" w:rsidTr="00A22928">
        <w:trPr>
          <w:trHeight w:val="64"/>
        </w:trPr>
        <w:tc>
          <w:tcPr>
            <w:tcW w:w="3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612A" w:rsidRDefault="002E612A">
            <w:pPr>
              <w:rPr>
                <w:rFonts w:hint="eastAsia"/>
              </w:rPr>
            </w:pPr>
            <w:r w:rsidRPr="00A22928">
              <w:rPr>
                <w:rFonts w:hint="eastAsia"/>
              </w:rPr>
              <w:t xml:space="preserve">定期定额投资起始日 </w:t>
            </w:r>
          </w:p>
        </w:tc>
        <w:tc>
          <w:tcPr>
            <w:tcW w:w="4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612A" w:rsidRDefault="002E612A">
            <w:pPr>
              <w:rPr>
                <w:rFonts w:hint="eastAsia"/>
              </w:rPr>
            </w:pPr>
            <w:r w:rsidRPr="00A22928">
              <w:rPr>
                <w:rFonts w:hint="eastAsia"/>
              </w:rPr>
              <w:t>2025年10月30日</w:t>
            </w:r>
          </w:p>
        </w:tc>
      </w:tr>
    </w:tbl>
    <w:p w:rsidR="002E612A" w:rsidRDefault="002E612A">
      <w:pPr>
        <w:pStyle w:val="XBRLTitle1"/>
        <w:spacing w:before="156" w:line="360" w:lineRule="auto"/>
        <w:ind w:left="425"/>
        <w:rPr>
          <w:rFonts w:hint="eastAsia"/>
        </w:rPr>
      </w:pPr>
      <w:bookmarkStart w:id="14" w:name="_Toc34841029"/>
      <w:bookmarkStart w:id="15" w:name="_Toc34758520"/>
      <w:bookmarkStart w:id="16" w:name="_Toc17898179"/>
      <w:bookmarkStart w:id="17" w:name="_Toc17897937"/>
      <w:bookmarkStart w:id="18" w:name="_Toc512519481"/>
      <w:bookmarkStart w:id="19" w:name="_Toc481075047"/>
      <w:bookmarkStart w:id="20" w:name="_Toc438646452"/>
      <w:bookmarkStart w:id="21" w:name="_Toc490050001"/>
      <w:bookmarkStart w:id="22" w:name="_Toc513295847"/>
      <w:bookmarkStart w:id="23" w:name="_Toc513295893"/>
      <w:r>
        <w:rPr>
          <w:rFonts w:hAnsi="宋体" w:hint="eastAsia"/>
        </w:rPr>
        <w:t>日常申购、赎回(转换、定期定额投资)业务的办理时间</w:t>
      </w:r>
      <w:bookmarkEnd w:id="14"/>
      <w:bookmarkEnd w:id="15"/>
      <w:r>
        <w:rPr>
          <w:rFonts w:hAnsi="宋体" w:hint="eastAsia"/>
        </w:rPr>
        <w:t xml:space="preserve"> </w:t>
      </w:r>
    </w:p>
    <w:p w:rsidR="002E612A" w:rsidRDefault="002E612A">
      <w:pPr>
        <w:spacing w:line="360" w:lineRule="auto"/>
        <w:ind w:firstLineChars="200" w:firstLine="420"/>
        <w:rPr>
          <w:rFonts w:hint="eastAsia"/>
        </w:rPr>
      </w:pPr>
      <w:bookmarkStart w:id="24" w:name="m07_04_13_00"/>
      <w:bookmarkStart w:id="25" w:name="m201"/>
      <w:bookmarkStart w:id="26" w:name="m07_04_07_09_tab"/>
      <w:bookmarkStart w:id="27" w:name="m07_04_07_09"/>
      <w:bookmarkStart w:id="28" w:name="m201_01"/>
      <w:r>
        <w:rPr>
          <w:rFonts w:hint="eastAsia"/>
          <w:lang/>
        </w:rPr>
        <w:t>根据基金合同和招募说明书的约定，本基金每三个月开放一次，每次开放期原则上不少于2个工作日且最长不超过10个工作日，本基金的第一个开放期起始日，指基金合同生效日起（含该日）3个月对日的次日，除第一个开放期起始日外，本基金的其他开放期起始日均为前一开放期到期日的次日起（含该日）3个月后的对日，如该日为非工作日或不存在该对应日期的，则顺延至下一个工作日。本次为本基金2025年第四个开放期，具体期间为2025年10月30日至2025年10月31日。2025年11月1日起进入下一个封闭期（届时不再另行公告）。投资者可根据上述规定办理日常申购、赎回、转换、定期定额投资业务（本基金管理人公告暂停申购时除外）。对于具体办理时间，由于各销售机构系统及业务安排等原因，投资者应以各销售机构的规定为准。</w:t>
      </w:r>
    </w:p>
    <w:p w:rsidR="002E612A" w:rsidRDefault="002E612A">
      <w:pPr>
        <w:pStyle w:val="XBRLTitle1"/>
        <w:spacing w:before="156" w:line="360" w:lineRule="auto"/>
        <w:ind w:left="425"/>
        <w:rPr>
          <w:rFonts w:hint="eastAsia"/>
        </w:rPr>
      </w:pPr>
      <w:bookmarkStart w:id="29" w:name="_Toc34841030"/>
      <w:bookmarkStart w:id="30" w:name="_Toc34758521"/>
      <w:bookmarkStart w:id="31" w:name="_Toc17898180"/>
      <w:bookmarkStart w:id="32" w:name="_Toc17897938"/>
      <w:bookmarkStart w:id="33" w:name="_Toc512519482"/>
      <w:bookmarkStart w:id="34" w:name="_Toc481075049"/>
      <w:bookmarkStart w:id="35" w:name="_Toc438646455"/>
      <w:bookmarkStart w:id="36" w:name="_Toc490050003"/>
      <w:bookmarkStart w:id="37" w:name="_Toc513295848"/>
      <w:bookmarkStart w:id="38" w:name="_Toc513295894"/>
      <w:bookmarkStart w:id="39" w:name="m401_tab"/>
      <w:bookmarkStart w:id="40" w:name="m401"/>
      <w:r>
        <w:rPr>
          <w:rFonts w:hAnsi="宋体" w:hint="eastAsia"/>
        </w:rPr>
        <w:t>日常申购业务</w:t>
      </w:r>
      <w:bookmarkEnd w:id="29"/>
      <w:bookmarkEnd w:id="30"/>
      <w:r>
        <w:rPr>
          <w:rFonts w:hAnsi="宋体" w:hint="eastAsia"/>
        </w:rPr>
        <w:t xml:space="preserve"> </w:t>
      </w:r>
    </w:p>
    <w:p w:rsidR="002E612A" w:rsidRDefault="002E612A">
      <w:pPr>
        <w:pStyle w:val="XBRLTitle2"/>
        <w:spacing w:before="156" w:line="360" w:lineRule="auto"/>
        <w:ind w:left="454"/>
        <w:rPr>
          <w:rFonts w:hint="eastAsia"/>
        </w:rPr>
      </w:pPr>
      <w:bookmarkStart w:id="41" w:name="_Toc34841031"/>
      <w:bookmarkStart w:id="42" w:name="_Toc17898181"/>
      <w:bookmarkStart w:id="43" w:name="_Toc17897939"/>
      <w:bookmarkStart w:id="44" w:name="_Toc512519483"/>
      <w:bookmarkStart w:id="45" w:name="_Toc481075050"/>
      <w:bookmarkStart w:id="46" w:name="_Toc438646456"/>
      <w:bookmarkStart w:id="47" w:name="_Toc490050004"/>
      <w:bookmarkStart w:id="48" w:name="_Toc513295849"/>
      <w:bookmarkStart w:id="49" w:name="_Toc513295895"/>
      <w:bookmarkStart w:id="50" w:name="_Toc34758522"/>
      <w:r>
        <w:rPr>
          <w:rFonts w:hAnsi="宋体" w:hint="eastAsia"/>
        </w:rPr>
        <w:t>申购金额限制</w:t>
      </w:r>
      <w:bookmarkEnd w:id="41"/>
      <w:bookmarkEnd w:id="42"/>
      <w:bookmarkEnd w:id="43"/>
      <w:bookmarkEnd w:id="44"/>
      <w:bookmarkEnd w:id="45"/>
      <w:bookmarkEnd w:id="46"/>
      <w:bookmarkEnd w:id="47"/>
      <w:bookmarkEnd w:id="48"/>
      <w:bookmarkEnd w:id="49"/>
      <w:bookmarkEnd w:id="50"/>
      <w:r>
        <w:rPr>
          <w:rFonts w:hAnsi="宋体" w:hint="eastAsia"/>
        </w:rPr>
        <w:t xml:space="preserve"> </w:t>
      </w:r>
    </w:p>
    <w:p w:rsidR="002E612A" w:rsidRDefault="002E612A">
      <w:pPr>
        <w:spacing w:line="360" w:lineRule="auto"/>
        <w:ind w:firstLineChars="200" w:firstLine="420"/>
        <w:rPr>
          <w:rFonts w:hint="eastAsia"/>
        </w:rPr>
      </w:pPr>
      <w:r>
        <w:rPr>
          <w:rFonts w:hint="eastAsia"/>
          <w:lang/>
        </w:rPr>
        <w:t>通过基金管理人直销中心申购，单个基金账户单笔首次申购最低金额为10万元（含申购费），如已有认购记录，则首次申购最低金额不受10万元限制，追加申购最低金额为1000元（含申购费）；通过其他销售机构申购，单个基金账户单笔申购最低金额为1元人民币（含申购费），销售机构有权在不低于上述规定的前提下，根据自身情况设置。</w:t>
      </w:r>
    </w:p>
    <w:p w:rsidR="002E612A" w:rsidRDefault="002E612A">
      <w:pPr>
        <w:pStyle w:val="XBRLTitle2"/>
        <w:spacing w:before="156" w:line="360" w:lineRule="auto"/>
        <w:ind w:left="454"/>
        <w:rPr>
          <w:rFonts w:hint="eastAsia"/>
        </w:rPr>
      </w:pPr>
      <w:bookmarkStart w:id="51" w:name="_Toc513465658"/>
      <w:bookmarkStart w:id="52" w:name="_Toc490050005"/>
      <w:bookmarkStart w:id="53" w:name="_Toc438646457"/>
      <w:bookmarkStart w:id="54" w:name="_Toc481075051"/>
      <w:bookmarkStart w:id="55" w:name="_Toc512519484"/>
      <w:r>
        <w:rPr>
          <w:rFonts w:hAnsi="宋体" w:hint="eastAsia"/>
        </w:rPr>
        <w:lastRenderedPageBreak/>
        <w:t>申购费率</w:t>
      </w:r>
      <w:bookmarkEnd w:id="51"/>
      <w:r>
        <w:rPr>
          <w:rFonts w:hAnsi="宋体" w:hint="eastAsia"/>
        </w:rPr>
        <w:t xml:space="preserve"> </w:t>
      </w:r>
    </w:p>
    <w:p w:rsidR="002E612A" w:rsidRDefault="002E612A">
      <w:pPr>
        <w:spacing w:line="360" w:lineRule="auto"/>
        <w:ind w:firstLineChars="200" w:firstLine="420"/>
        <w:rPr>
          <w:rFonts w:hint="eastAsia"/>
        </w:rPr>
      </w:pPr>
      <w:r>
        <w:rPr>
          <w:rFonts w:hint="eastAsia"/>
          <w:lang/>
        </w:rPr>
        <w:t>关于日常申购的金额限制、费率等事项，请仔细阅读基金合同、本基金招募说明书和其它相关公告。</w:t>
      </w:r>
    </w:p>
    <w:p w:rsidR="002E612A" w:rsidRDefault="002E612A">
      <w:pPr>
        <w:pStyle w:val="XBRLTitle3"/>
        <w:spacing w:before="156"/>
        <w:ind w:left="0"/>
        <w:rPr>
          <w:rFonts w:hint="eastAsia"/>
        </w:rPr>
      </w:pPr>
      <w:bookmarkStart w:id="56" w:name="_Toc513465659"/>
      <w:bookmarkStart w:id="57" w:name="_Toc490050006"/>
      <w:bookmarkStart w:id="58" w:name="_Toc481075052"/>
      <w:bookmarkStart w:id="59" w:name="_Toc512519485"/>
      <w:r>
        <w:rPr>
          <w:rFonts w:hint="eastAsia"/>
        </w:rPr>
        <w:t>前端收费</w:t>
      </w:r>
      <w:bookmarkEnd w:id="56"/>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tblBorders>
        <w:tblLayout w:type="fixed"/>
        <w:tblLook w:val="04A0"/>
      </w:tblPr>
      <w:tblGrid>
        <w:gridCol w:w="3582"/>
        <w:gridCol w:w="2712"/>
        <w:gridCol w:w="2767"/>
      </w:tblGrid>
      <w:tr w:rsidR="002E612A" w:rsidTr="00A22928">
        <w:trPr>
          <w:divId w:val="919606239"/>
        </w:trPr>
        <w:tc>
          <w:tcPr>
            <w:tcW w:w="3369" w:type="dxa"/>
            <w:tcBorders>
              <w:top w:val="single" w:sz="4" w:space="0" w:color="000000"/>
              <w:left w:val="single" w:sz="4" w:space="0" w:color="000000"/>
              <w:bottom w:val="single" w:sz="4" w:space="0" w:color="000000"/>
              <w:right w:val="single" w:sz="4" w:space="0" w:color="000000"/>
            </w:tcBorders>
            <w:vAlign w:val="center"/>
            <w:hideMark/>
          </w:tcPr>
          <w:p w:rsidR="002E612A" w:rsidRDefault="002E612A">
            <w:pPr>
              <w:jc w:val="center"/>
              <w:rPr>
                <w:rFonts w:hint="eastAsia"/>
              </w:rPr>
            </w:pPr>
            <w:r w:rsidRPr="00A22928">
              <w:rPr>
                <w:rFonts w:hint="eastAsia"/>
              </w:rPr>
              <w:t xml:space="preserve">申购金额(M) </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2E612A" w:rsidRDefault="002E612A">
            <w:pPr>
              <w:jc w:val="center"/>
              <w:rPr>
                <w:rFonts w:hint="eastAsia"/>
              </w:rPr>
            </w:pPr>
            <w:r w:rsidRPr="00A22928">
              <w:rPr>
                <w:rFonts w:hint="eastAsia"/>
              </w:rPr>
              <w:t xml:space="preserve">申购费率 </w:t>
            </w:r>
          </w:p>
        </w:tc>
        <w:tc>
          <w:tcPr>
            <w:tcW w:w="2602" w:type="dxa"/>
            <w:tcBorders>
              <w:top w:val="single" w:sz="4" w:space="0" w:color="000000"/>
              <w:left w:val="single" w:sz="4" w:space="0" w:color="000000"/>
              <w:bottom w:val="single" w:sz="4" w:space="0" w:color="000000"/>
              <w:right w:val="single" w:sz="4" w:space="0" w:color="000000"/>
            </w:tcBorders>
            <w:vAlign w:val="center"/>
            <w:hideMark/>
          </w:tcPr>
          <w:p w:rsidR="002E612A" w:rsidRDefault="002E612A">
            <w:pPr>
              <w:jc w:val="center"/>
              <w:rPr>
                <w:rFonts w:hint="eastAsia"/>
              </w:rPr>
            </w:pPr>
            <w:r w:rsidRPr="00A22928">
              <w:rPr>
                <w:rFonts w:hint="eastAsia"/>
              </w:rPr>
              <w:t xml:space="preserve">备注 </w:t>
            </w:r>
          </w:p>
        </w:tc>
      </w:tr>
      <w:tr w:rsidR="002E612A" w:rsidTr="00A22928">
        <w:trPr>
          <w:divId w:val="919606239"/>
        </w:trPr>
        <w:tc>
          <w:tcPr>
            <w:tcW w:w="817" w:type="dxa"/>
            <w:tcBorders>
              <w:top w:val="single" w:sz="4" w:space="0" w:color="000000"/>
              <w:left w:val="single" w:sz="4" w:space="0" w:color="000000"/>
              <w:bottom w:val="single" w:sz="4" w:space="0" w:color="000000"/>
              <w:right w:val="single" w:sz="4" w:space="0" w:color="000000"/>
            </w:tcBorders>
            <w:vAlign w:val="center"/>
            <w:hideMark/>
          </w:tcPr>
          <w:p w:rsidR="002E612A" w:rsidRDefault="002E612A">
            <w:pPr>
              <w:jc w:val="center"/>
              <w:rPr>
                <w:rFonts w:hint="eastAsia"/>
              </w:rPr>
            </w:pPr>
            <w:r w:rsidRPr="00A22928">
              <w:rPr>
                <w:rFonts w:hint="eastAsia"/>
              </w:rPr>
              <w:t>M＜100万元</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2E612A" w:rsidRDefault="002E612A">
            <w:pPr>
              <w:jc w:val="center"/>
              <w:rPr>
                <w:rFonts w:hint="eastAsia"/>
              </w:rPr>
            </w:pPr>
            <w:r w:rsidRPr="00A22928">
              <w:rPr>
                <w:rFonts w:hint="eastAsia"/>
              </w:rPr>
              <w:t>0.20%</w:t>
            </w:r>
          </w:p>
        </w:tc>
        <w:tc>
          <w:tcPr>
            <w:tcW w:w="2602" w:type="dxa"/>
            <w:tcBorders>
              <w:top w:val="single" w:sz="4" w:space="0" w:color="000000"/>
              <w:left w:val="single" w:sz="4" w:space="0" w:color="000000"/>
              <w:bottom w:val="single" w:sz="4" w:space="0" w:color="000000"/>
              <w:right w:val="single" w:sz="4" w:space="0" w:color="000000"/>
            </w:tcBorders>
            <w:vAlign w:val="center"/>
            <w:hideMark/>
          </w:tcPr>
          <w:p w:rsidR="002E612A" w:rsidRDefault="002E612A">
            <w:pPr>
              <w:jc w:val="center"/>
              <w:rPr>
                <w:rFonts w:hint="eastAsia"/>
              </w:rPr>
            </w:pPr>
            <w:r w:rsidRPr="00A22928">
              <w:rPr>
                <w:rFonts w:hint="eastAsia"/>
              </w:rPr>
              <w:t>养老金客户</w:t>
            </w:r>
          </w:p>
        </w:tc>
      </w:tr>
      <w:tr w:rsidR="002E612A" w:rsidTr="00A22928">
        <w:trPr>
          <w:divId w:val="919606239"/>
        </w:trPr>
        <w:tc>
          <w:tcPr>
            <w:tcW w:w="817" w:type="dxa"/>
            <w:tcBorders>
              <w:top w:val="single" w:sz="4" w:space="0" w:color="000000"/>
              <w:left w:val="single" w:sz="4" w:space="0" w:color="000000"/>
              <w:bottom w:val="single" w:sz="4" w:space="0" w:color="000000"/>
              <w:right w:val="single" w:sz="4" w:space="0" w:color="000000"/>
            </w:tcBorders>
            <w:vAlign w:val="center"/>
            <w:hideMark/>
          </w:tcPr>
          <w:p w:rsidR="002E612A" w:rsidRDefault="002E612A">
            <w:pPr>
              <w:jc w:val="center"/>
              <w:rPr>
                <w:rFonts w:hint="eastAsia"/>
              </w:rPr>
            </w:pPr>
            <w:r w:rsidRPr="00A22928">
              <w:rPr>
                <w:rFonts w:hint="eastAsia"/>
              </w:rPr>
              <w:t>100万元≤M＜250万元</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2E612A" w:rsidRDefault="002E612A">
            <w:pPr>
              <w:jc w:val="center"/>
              <w:rPr>
                <w:rFonts w:hint="eastAsia"/>
              </w:rPr>
            </w:pPr>
            <w:r w:rsidRPr="00A22928">
              <w:rPr>
                <w:rFonts w:hint="eastAsia"/>
              </w:rPr>
              <w:t>0.15%</w:t>
            </w:r>
          </w:p>
        </w:tc>
        <w:tc>
          <w:tcPr>
            <w:tcW w:w="2602" w:type="dxa"/>
            <w:tcBorders>
              <w:top w:val="single" w:sz="4" w:space="0" w:color="000000"/>
              <w:left w:val="single" w:sz="4" w:space="0" w:color="000000"/>
              <w:bottom w:val="single" w:sz="4" w:space="0" w:color="000000"/>
              <w:right w:val="single" w:sz="4" w:space="0" w:color="000000"/>
            </w:tcBorders>
            <w:vAlign w:val="center"/>
            <w:hideMark/>
          </w:tcPr>
          <w:p w:rsidR="002E612A" w:rsidRDefault="002E612A">
            <w:pPr>
              <w:jc w:val="center"/>
              <w:rPr>
                <w:rFonts w:hint="eastAsia"/>
              </w:rPr>
            </w:pPr>
            <w:r w:rsidRPr="00A22928">
              <w:rPr>
                <w:rFonts w:hint="eastAsia"/>
              </w:rPr>
              <w:t>养老金客户</w:t>
            </w:r>
          </w:p>
        </w:tc>
      </w:tr>
      <w:tr w:rsidR="002E612A" w:rsidTr="00A22928">
        <w:trPr>
          <w:divId w:val="919606239"/>
        </w:trPr>
        <w:tc>
          <w:tcPr>
            <w:tcW w:w="817" w:type="dxa"/>
            <w:tcBorders>
              <w:top w:val="single" w:sz="4" w:space="0" w:color="000000"/>
              <w:left w:val="single" w:sz="4" w:space="0" w:color="000000"/>
              <w:bottom w:val="single" w:sz="4" w:space="0" w:color="000000"/>
              <w:right w:val="single" w:sz="4" w:space="0" w:color="000000"/>
            </w:tcBorders>
            <w:vAlign w:val="center"/>
            <w:hideMark/>
          </w:tcPr>
          <w:p w:rsidR="002E612A" w:rsidRDefault="002E612A">
            <w:pPr>
              <w:jc w:val="center"/>
              <w:rPr>
                <w:rFonts w:hint="eastAsia"/>
              </w:rPr>
            </w:pPr>
            <w:r w:rsidRPr="00A22928">
              <w:rPr>
                <w:rFonts w:hint="eastAsia"/>
              </w:rPr>
              <w:t>250万元≤M＜500万元</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2E612A" w:rsidRDefault="002E612A">
            <w:pPr>
              <w:jc w:val="center"/>
              <w:rPr>
                <w:rFonts w:hint="eastAsia"/>
              </w:rPr>
            </w:pPr>
            <w:r w:rsidRPr="00A22928">
              <w:rPr>
                <w:rFonts w:hint="eastAsia"/>
              </w:rPr>
              <w:t>0.10%</w:t>
            </w:r>
          </w:p>
        </w:tc>
        <w:tc>
          <w:tcPr>
            <w:tcW w:w="2602" w:type="dxa"/>
            <w:tcBorders>
              <w:top w:val="single" w:sz="4" w:space="0" w:color="000000"/>
              <w:left w:val="single" w:sz="4" w:space="0" w:color="000000"/>
              <w:bottom w:val="single" w:sz="4" w:space="0" w:color="000000"/>
              <w:right w:val="single" w:sz="4" w:space="0" w:color="000000"/>
            </w:tcBorders>
            <w:vAlign w:val="center"/>
            <w:hideMark/>
          </w:tcPr>
          <w:p w:rsidR="002E612A" w:rsidRDefault="002E612A">
            <w:pPr>
              <w:jc w:val="center"/>
              <w:rPr>
                <w:rFonts w:hint="eastAsia"/>
              </w:rPr>
            </w:pPr>
            <w:r w:rsidRPr="00A22928">
              <w:rPr>
                <w:rFonts w:hint="eastAsia"/>
              </w:rPr>
              <w:t>养老金客户</w:t>
            </w:r>
          </w:p>
        </w:tc>
      </w:tr>
      <w:tr w:rsidR="002E612A" w:rsidTr="00A22928">
        <w:trPr>
          <w:divId w:val="919606239"/>
        </w:trPr>
        <w:tc>
          <w:tcPr>
            <w:tcW w:w="817" w:type="dxa"/>
            <w:tcBorders>
              <w:top w:val="single" w:sz="4" w:space="0" w:color="000000"/>
              <w:left w:val="single" w:sz="4" w:space="0" w:color="000000"/>
              <w:bottom w:val="single" w:sz="4" w:space="0" w:color="000000"/>
              <w:right w:val="single" w:sz="4" w:space="0" w:color="000000"/>
            </w:tcBorders>
            <w:vAlign w:val="center"/>
            <w:hideMark/>
          </w:tcPr>
          <w:p w:rsidR="002E612A" w:rsidRDefault="002E612A">
            <w:pPr>
              <w:jc w:val="center"/>
              <w:rPr>
                <w:rFonts w:hint="eastAsia"/>
              </w:rPr>
            </w:pPr>
            <w:r w:rsidRPr="00A22928">
              <w:rPr>
                <w:rFonts w:hint="eastAsia"/>
              </w:rPr>
              <w:t>M≥500万元</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2E612A" w:rsidRDefault="002E612A">
            <w:pPr>
              <w:jc w:val="center"/>
              <w:rPr>
                <w:rFonts w:hint="eastAsia"/>
              </w:rPr>
            </w:pPr>
            <w:r w:rsidRPr="00A22928">
              <w:rPr>
                <w:rFonts w:hint="eastAsia"/>
              </w:rPr>
              <w:t>1,000元/笔</w:t>
            </w:r>
          </w:p>
        </w:tc>
        <w:tc>
          <w:tcPr>
            <w:tcW w:w="2602" w:type="dxa"/>
            <w:tcBorders>
              <w:top w:val="single" w:sz="4" w:space="0" w:color="000000"/>
              <w:left w:val="single" w:sz="4" w:space="0" w:color="000000"/>
              <w:bottom w:val="single" w:sz="4" w:space="0" w:color="000000"/>
              <w:right w:val="single" w:sz="4" w:space="0" w:color="000000"/>
            </w:tcBorders>
            <w:vAlign w:val="center"/>
            <w:hideMark/>
          </w:tcPr>
          <w:p w:rsidR="002E612A" w:rsidRDefault="002E612A">
            <w:pPr>
              <w:jc w:val="center"/>
              <w:rPr>
                <w:rFonts w:hint="eastAsia"/>
              </w:rPr>
            </w:pPr>
            <w:r w:rsidRPr="00A22928">
              <w:rPr>
                <w:rFonts w:hint="eastAsia"/>
              </w:rPr>
              <w:t>养老金客户</w:t>
            </w:r>
          </w:p>
        </w:tc>
      </w:tr>
      <w:tr w:rsidR="002E612A" w:rsidTr="00A22928">
        <w:trPr>
          <w:divId w:val="919606239"/>
        </w:trPr>
        <w:tc>
          <w:tcPr>
            <w:tcW w:w="817" w:type="dxa"/>
            <w:tcBorders>
              <w:top w:val="single" w:sz="4" w:space="0" w:color="000000"/>
              <w:left w:val="single" w:sz="4" w:space="0" w:color="000000"/>
              <w:bottom w:val="single" w:sz="4" w:space="0" w:color="000000"/>
              <w:right w:val="single" w:sz="4" w:space="0" w:color="000000"/>
            </w:tcBorders>
            <w:vAlign w:val="center"/>
            <w:hideMark/>
          </w:tcPr>
          <w:p w:rsidR="002E612A" w:rsidRDefault="002E612A">
            <w:pPr>
              <w:jc w:val="center"/>
              <w:rPr>
                <w:rFonts w:hint="eastAsia"/>
              </w:rPr>
            </w:pPr>
            <w:r w:rsidRPr="00A22928">
              <w:rPr>
                <w:rFonts w:hint="eastAsia"/>
              </w:rPr>
              <w:t>M＜100万元</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2E612A" w:rsidRDefault="002E612A">
            <w:pPr>
              <w:jc w:val="center"/>
              <w:rPr>
                <w:rFonts w:hint="eastAsia"/>
              </w:rPr>
            </w:pPr>
            <w:r w:rsidRPr="00A22928">
              <w:rPr>
                <w:rFonts w:hint="eastAsia"/>
              </w:rPr>
              <w:t>0.80%</w:t>
            </w:r>
          </w:p>
        </w:tc>
        <w:tc>
          <w:tcPr>
            <w:tcW w:w="2602" w:type="dxa"/>
            <w:tcBorders>
              <w:top w:val="single" w:sz="4" w:space="0" w:color="000000"/>
              <w:left w:val="single" w:sz="4" w:space="0" w:color="000000"/>
              <w:bottom w:val="single" w:sz="4" w:space="0" w:color="000000"/>
              <w:right w:val="single" w:sz="4" w:space="0" w:color="000000"/>
            </w:tcBorders>
            <w:vAlign w:val="center"/>
            <w:hideMark/>
          </w:tcPr>
          <w:p w:rsidR="002E612A" w:rsidRDefault="002E612A">
            <w:pPr>
              <w:jc w:val="center"/>
              <w:rPr>
                <w:rFonts w:hint="eastAsia"/>
              </w:rPr>
            </w:pPr>
            <w:r w:rsidRPr="00A22928">
              <w:rPr>
                <w:rFonts w:hint="eastAsia"/>
              </w:rPr>
              <w:t>非养老金客户</w:t>
            </w:r>
          </w:p>
        </w:tc>
      </w:tr>
      <w:tr w:rsidR="002E612A" w:rsidTr="00A22928">
        <w:trPr>
          <w:divId w:val="919606239"/>
        </w:trPr>
        <w:tc>
          <w:tcPr>
            <w:tcW w:w="817" w:type="dxa"/>
            <w:tcBorders>
              <w:top w:val="single" w:sz="4" w:space="0" w:color="000000"/>
              <w:left w:val="single" w:sz="4" w:space="0" w:color="000000"/>
              <w:bottom w:val="single" w:sz="4" w:space="0" w:color="000000"/>
              <w:right w:val="single" w:sz="4" w:space="0" w:color="000000"/>
            </w:tcBorders>
            <w:vAlign w:val="center"/>
            <w:hideMark/>
          </w:tcPr>
          <w:p w:rsidR="002E612A" w:rsidRDefault="002E612A">
            <w:pPr>
              <w:jc w:val="center"/>
              <w:rPr>
                <w:rFonts w:hint="eastAsia"/>
              </w:rPr>
            </w:pPr>
            <w:r w:rsidRPr="00A22928">
              <w:rPr>
                <w:rFonts w:hint="eastAsia"/>
              </w:rPr>
              <w:t>100万元≤M＜250万元</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2E612A" w:rsidRDefault="002E612A">
            <w:pPr>
              <w:jc w:val="center"/>
              <w:rPr>
                <w:rFonts w:hint="eastAsia"/>
              </w:rPr>
            </w:pPr>
            <w:r w:rsidRPr="00A22928">
              <w:rPr>
                <w:rFonts w:hint="eastAsia"/>
              </w:rPr>
              <w:t>0.60%</w:t>
            </w:r>
          </w:p>
        </w:tc>
        <w:tc>
          <w:tcPr>
            <w:tcW w:w="2602" w:type="dxa"/>
            <w:tcBorders>
              <w:top w:val="single" w:sz="4" w:space="0" w:color="000000"/>
              <w:left w:val="single" w:sz="4" w:space="0" w:color="000000"/>
              <w:bottom w:val="single" w:sz="4" w:space="0" w:color="000000"/>
              <w:right w:val="single" w:sz="4" w:space="0" w:color="000000"/>
            </w:tcBorders>
            <w:vAlign w:val="center"/>
            <w:hideMark/>
          </w:tcPr>
          <w:p w:rsidR="002E612A" w:rsidRDefault="002E612A">
            <w:pPr>
              <w:jc w:val="center"/>
              <w:rPr>
                <w:rFonts w:hint="eastAsia"/>
              </w:rPr>
            </w:pPr>
            <w:r w:rsidRPr="00A22928">
              <w:rPr>
                <w:rFonts w:hint="eastAsia"/>
              </w:rPr>
              <w:t>非养老金客户</w:t>
            </w:r>
          </w:p>
        </w:tc>
      </w:tr>
      <w:tr w:rsidR="002E612A" w:rsidTr="00A22928">
        <w:trPr>
          <w:divId w:val="919606239"/>
        </w:trPr>
        <w:tc>
          <w:tcPr>
            <w:tcW w:w="817" w:type="dxa"/>
            <w:tcBorders>
              <w:top w:val="single" w:sz="4" w:space="0" w:color="000000"/>
              <w:left w:val="single" w:sz="4" w:space="0" w:color="000000"/>
              <w:bottom w:val="single" w:sz="4" w:space="0" w:color="000000"/>
              <w:right w:val="single" w:sz="4" w:space="0" w:color="000000"/>
            </w:tcBorders>
            <w:vAlign w:val="center"/>
            <w:hideMark/>
          </w:tcPr>
          <w:p w:rsidR="002E612A" w:rsidRDefault="002E612A">
            <w:pPr>
              <w:jc w:val="center"/>
              <w:rPr>
                <w:rFonts w:hint="eastAsia"/>
              </w:rPr>
            </w:pPr>
            <w:r w:rsidRPr="00A22928">
              <w:rPr>
                <w:rFonts w:hint="eastAsia"/>
              </w:rPr>
              <w:t>250万元≤M＜500万元</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2E612A" w:rsidRDefault="002E612A">
            <w:pPr>
              <w:jc w:val="center"/>
              <w:rPr>
                <w:rFonts w:hint="eastAsia"/>
              </w:rPr>
            </w:pPr>
            <w:r w:rsidRPr="00A22928">
              <w:rPr>
                <w:rFonts w:hint="eastAsia"/>
              </w:rPr>
              <w:t>0.40%</w:t>
            </w:r>
          </w:p>
        </w:tc>
        <w:tc>
          <w:tcPr>
            <w:tcW w:w="2602" w:type="dxa"/>
            <w:tcBorders>
              <w:top w:val="single" w:sz="4" w:space="0" w:color="000000"/>
              <w:left w:val="single" w:sz="4" w:space="0" w:color="000000"/>
              <w:bottom w:val="single" w:sz="4" w:space="0" w:color="000000"/>
              <w:right w:val="single" w:sz="4" w:space="0" w:color="000000"/>
            </w:tcBorders>
            <w:vAlign w:val="center"/>
            <w:hideMark/>
          </w:tcPr>
          <w:p w:rsidR="002E612A" w:rsidRDefault="002E612A">
            <w:pPr>
              <w:jc w:val="center"/>
              <w:rPr>
                <w:rFonts w:hint="eastAsia"/>
              </w:rPr>
            </w:pPr>
            <w:r w:rsidRPr="00A22928">
              <w:rPr>
                <w:rFonts w:hint="eastAsia"/>
              </w:rPr>
              <w:t>非养老金客户</w:t>
            </w:r>
          </w:p>
        </w:tc>
      </w:tr>
      <w:tr w:rsidR="002E612A" w:rsidTr="00A22928">
        <w:trPr>
          <w:divId w:val="919606239"/>
        </w:trPr>
        <w:tc>
          <w:tcPr>
            <w:tcW w:w="817" w:type="dxa"/>
            <w:tcBorders>
              <w:top w:val="single" w:sz="4" w:space="0" w:color="000000"/>
              <w:left w:val="single" w:sz="4" w:space="0" w:color="000000"/>
              <w:bottom w:val="single" w:sz="4" w:space="0" w:color="000000"/>
              <w:right w:val="single" w:sz="4" w:space="0" w:color="000000"/>
            </w:tcBorders>
            <w:vAlign w:val="center"/>
            <w:hideMark/>
          </w:tcPr>
          <w:p w:rsidR="002E612A" w:rsidRDefault="002E612A">
            <w:pPr>
              <w:jc w:val="center"/>
              <w:rPr>
                <w:rFonts w:hint="eastAsia"/>
              </w:rPr>
            </w:pPr>
            <w:r w:rsidRPr="00A22928">
              <w:rPr>
                <w:rFonts w:hint="eastAsia"/>
              </w:rPr>
              <w:t>M≥500万元</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2E612A" w:rsidRDefault="002E612A">
            <w:pPr>
              <w:jc w:val="center"/>
              <w:rPr>
                <w:rFonts w:hint="eastAsia"/>
              </w:rPr>
            </w:pPr>
            <w:r w:rsidRPr="00A22928">
              <w:rPr>
                <w:rFonts w:hint="eastAsia"/>
              </w:rPr>
              <w:t>1,000元/笔</w:t>
            </w:r>
          </w:p>
        </w:tc>
        <w:tc>
          <w:tcPr>
            <w:tcW w:w="2602" w:type="dxa"/>
            <w:tcBorders>
              <w:top w:val="single" w:sz="4" w:space="0" w:color="000000"/>
              <w:left w:val="single" w:sz="4" w:space="0" w:color="000000"/>
              <w:bottom w:val="single" w:sz="4" w:space="0" w:color="000000"/>
              <w:right w:val="single" w:sz="4" w:space="0" w:color="000000"/>
            </w:tcBorders>
            <w:vAlign w:val="center"/>
            <w:hideMark/>
          </w:tcPr>
          <w:p w:rsidR="002E612A" w:rsidRDefault="002E612A">
            <w:pPr>
              <w:jc w:val="center"/>
              <w:rPr>
                <w:rFonts w:hint="eastAsia"/>
              </w:rPr>
            </w:pPr>
            <w:r w:rsidRPr="00A22928">
              <w:rPr>
                <w:rFonts w:hint="eastAsia"/>
              </w:rPr>
              <w:t>非养老金客户</w:t>
            </w:r>
          </w:p>
        </w:tc>
      </w:tr>
    </w:tbl>
    <w:p w:rsidR="002E612A" w:rsidRDefault="002E612A">
      <w:pPr>
        <w:spacing w:line="360" w:lineRule="auto"/>
        <w:jc w:val="left"/>
        <w:divId w:val="919606239"/>
        <w:rPr>
          <w:rFonts w:hint="eastAsia"/>
        </w:rPr>
      </w:pPr>
      <w:r>
        <w:rPr>
          <w:rFonts w:hint="eastAsia"/>
          <w:szCs w:val="21"/>
        </w:rPr>
        <w:t>注：投资者如果有多笔申购（含定期定额申购），适用费率按单笔分别计算。</w:t>
      </w:r>
    </w:p>
    <w:p w:rsidR="002E612A" w:rsidRDefault="002E612A">
      <w:pPr>
        <w:pStyle w:val="XBRLTitle2"/>
        <w:spacing w:before="156"/>
        <w:ind w:left="454"/>
      </w:pPr>
      <w:bookmarkStart w:id="60" w:name="_Toc34841033"/>
      <w:bookmarkStart w:id="61" w:name="_Toc34758524"/>
      <w:bookmarkStart w:id="62" w:name="_Toc433036679"/>
      <w:bookmarkStart w:id="63" w:name="_Toc247616208"/>
      <w:bookmarkStart w:id="64" w:name="_Toc245003735"/>
      <w:bookmarkStart w:id="65" w:name="_Toc244948694"/>
      <w:bookmarkStart w:id="66" w:name="_Toc485300223"/>
      <w:bookmarkStart w:id="67" w:name="_Toc453852604"/>
      <w:bookmarkStart w:id="68" w:name="_Toc452398732"/>
      <w:bookmarkStart w:id="69" w:name="_Toc454983260"/>
      <w:bookmarkStart w:id="70" w:name="m03_03"/>
      <w:bookmarkStart w:id="71" w:name="_Toc17898185"/>
      <w:bookmarkStart w:id="72" w:name="_Toc17897941"/>
      <w:bookmarkStart w:id="73" w:name="_Toc497398101"/>
      <w:bookmarkStart w:id="74" w:name="_Toc506208214"/>
      <w:bookmarkStart w:id="75" w:name="_Toc490050007"/>
      <w:bookmarkStart w:id="76" w:name="_Toc481075053"/>
      <w:bookmarkStart w:id="77" w:name="_Toc512519486"/>
      <w:r>
        <w:rPr>
          <w:rFonts w:hint="eastAsia"/>
        </w:rPr>
        <w:t>其他与申购相关的事项</w:t>
      </w:r>
      <w:bookmarkEnd w:id="60"/>
      <w:bookmarkEnd w:id="61"/>
    </w:p>
    <w:p w:rsidR="00BE45C9" w:rsidRPr="00BE45C9" w:rsidRDefault="00BE45C9" w:rsidP="00BE45C9">
      <w:pPr>
        <w:pStyle w:val="XBRLTitle1"/>
        <w:numPr>
          <w:ilvl w:val="0"/>
          <w:numId w:val="0"/>
        </w:numPr>
        <w:spacing w:before="156" w:line="360" w:lineRule="auto"/>
        <w:ind w:left="425"/>
        <w:rPr>
          <w:rFonts w:hint="eastAsia"/>
          <w:b w:val="0"/>
        </w:rPr>
      </w:pPr>
      <w:bookmarkStart w:id="78" w:name="_Toc34841034"/>
      <w:bookmarkStart w:id="79" w:name="_Toc17898186"/>
      <w:bookmarkStart w:id="80" w:name="_Toc17897942"/>
      <w:bookmarkStart w:id="81" w:name="_Toc481075054"/>
      <w:bookmarkStart w:id="82" w:name="_Toc438646458"/>
      <w:bookmarkStart w:id="83" w:name="_Toc490050008"/>
      <w:bookmarkStart w:id="84" w:name="_Toc512519487"/>
      <w:bookmarkStart w:id="85" w:name="_Toc513295851"/>
      <w:bookmarkStart w:id="86" w:name="_Toc513295899"/>
      <w:bookmarkStart w:id="87" w:name="_Toc34758525"/>
      <w:r w:rsidRPr="00BE45C9">
        <w:rPr>
          <w:rFonts w:hint="eastAsia"/>
          <w:b w:val="0"/>
          <w:lang/>
        </w:rPr>
        <w:t>无。</w:t>
      </w:r>
    </w:p>
    <w:p w:rsidR="002E612A" w:rsidRDefault="002E612A">
      <w:pPr>
        <w:pStyle w:val="XBRLTitle1"/>
        <w:spacing w:before="156" w:line="360" w:lineRule="auto"/>
        <w:ind w:left="425"/>
        <w:rPr>
          <w:rFonts w:hint="eastAsia"/>
        </w:rPr>
      </w:pPr>
      <w:r>
        <w:rPr>
          <w:rFonts w:hAnsi="宋体" w:hint="eastAsia"/>
        </w:rPr>
        <w:t>日常赎回业务</w:t>
      </w:r>
      <w:bookmarkEnd w:id="78"/>
      <w:bookmarkEnd w:id="79"/>
      <w:bookmarkEnd w:id="80"/>
      <w:bookmarkEnd w:id="81"/>
      <w:bookmarkEnd w:id="82"/>
      <w:bookmarkEnd w:id="83"/>
      <w:bookmarkEnd w:id="84"/>
      <w:bookmarkEnd w:id="85"/>
      <w:bookmarkEnd w:id="86"/>
      <w:bookmarkEnd w:id="87"/>
      <w:r>
        <w:rPr>
          <w:rFonts w:hAnsi="宋体" w:hint="eastAsia"/>
          <w:szCs w:val="44"/>
        </w:rPr>
        <w:t xml:space="preserve"> </w:t>
      </w:r>
    </w:p>
    <w:p w:rsidR="002E612A" w:rsidRDefault="002E612A">
      <w:pPr>
        <w:pStyle w:val="XBRLTitle2"/>
        <w:spacing w:before="156" w:line="360" w:lineRule="auto"/>
        <w:ind w:left="454"/>
        <w:rPr>
          <w:rFonts w:hint="eastAsia"/>
        </w:rPr>
      </w:pPr>
      <w:bookmarkStart w:id="88" w:name="_Toc34841035"/>
      <w:bookmarkStart w:id="89" w:name="_Toc17898187"/>
      <w:bookmarkStart w:id="90" w:name="_Toc17897943"/>
      <w:bookmarkStart w:id="91" w:name="_Toc481075055"/>
      <w:bookmarkStart w:id="92" w:name="_Toc438646459"/>
      <w:bookmarkStart w:id="93" w:name="_Toc490050009"/>
      <w:bookmarkStart w:id="94" w:name="_Toc512519488"/>
      <w:bookmarkStart w:id="95" w:name="_Toc513295852"/>
      <w:bookmarkStart w:id="96" w:name="_Toc513295900"/>
      <w:bookmarkStart w:id="97" w:name="_Toc34758526"/>
      <w:r>
        <w:rPr>
          <w:rFonts w:hAnsi="宋体" w:hint="eastAsia"/>
        </w:rPr>
        <w:t>赎回份额限制</w:t>
      </w:r>
      <w:bookmarkEnd w:id="88"/>
      <w:bookmarkEnd w:id="89"/>
      <w:bookmarkEnd w:id="90"/>
      <w:bookmarkEnd w:id="91"/>
      <w:bookmarkEnd w:id="92"/>
      <w:bookmarkEnd w:id="93"/>
      <w:bookmarkEnd w:id="94"/>
      <w:bookmarkEnd w:id="95"/>
      <w:bookmarkEnd w:id="96"/>
      <w:bookmarkEnd w:id="97"/>
      <w:r>
        <w:rPr>
          <w:rFonts w:hAnsi="宋体" w:hint="eastAsia"/>
        </w:rPr>
        <w:t xml:space="preserve"> </w:t>
      </w:r>
    </w:p>
    <w:p w:rsidR="002E612A" w:rsidRDefault="002E612A">
      <w:pPr>
        <w:spacing w:line="360" w:lineRule="auto"/>
        <w:ind w:firstLineChars="200" w:firstLine="420"/>
        <w:rPr>
          <w:rFonts w:hint="eastAsia"/>
        </w:rPr>
      </w:pPr>
      <w:r>
        <w:rPr>
          <w:rFonts w:hint="eastAsia"/>
          <w:lang/>
        </w:rPr>
        <w:t>投资者可将全部或部分基金份额赎回。本基金按照份额进行赎回，申请赎回份额精确到小数点后两位，单笔赎回的基金份额不得低于1份。基金份额持有人赎回时或赎回后，在销售机构单个交易账户保留的基金份额余额不足1份的，基金管理人有权一次将持有人在该交易账户保留的剩余基金份额全部赎回。</w:t>
      </w:r>
      <w:r>
        <w:rPr>
          <w:rFonts w:hint="eastAsia"/>
          <w:lang/>
        </w:rPr>
        <w:br/>
        <w:t xml:space="preserve">　　基金管理人可在法律法规允许的情况下，调整上述规定申购金额和赎回份额的数量限制。基金管理人必须在调整实施前依照《公开募集证券投资基金信息披露管理办法》的有关规定在指定媒介上公告。</w:t>
      </w:r>
    </w:p>
    <w:p w:rsidR="002E612A" w:rsidRDefault="002E612A">
      <w:pPr>
        <w:pStyle w:val="XBRLTitle2"/>
        <w:spacing w:before="156" w:line="360" w:lineRule="auto"/>
        <w:ind w:left="454"/>
        <w:rPr>
          <w:rFonts w:hint="eastAsia"/>
        </w:rPr>
      </w:pPr>
      <w:bookmarkStart w:id="98" w:name="_Toc34841036"/>
      <w:bookmarkStart w:id="99" w:name="_Toc17898188"/>
      <w:bookmarkStart w:id="100" w:name="_Toc17897944"/>
      <w:bookmarkStart w:id="101" w:name="_Toc481075056"/>
      <w:bookmarkStart w:id="102" w:name="_Toc438646460"/>
      <w:bookmarkStart w:id="103" w:name="_Toc490050010"/>
      <w:bookmarkStart w:id="104" w:name="_Toc512519489"/>
      <w:bookmarkStart w:id="105" w:name="_Toc513295853"/>
      <w:bookmarkStart w:id="106" w:name="_Toc513295901"/>
      <w:bookmarkStart w:id="107" w:name="_Toc34758527"/>
      <w:bookmarkStart w:id="108" w:name="m402"/>
      <w:r>
        <w:rPr>
          <w:rFonts w:hAnsi="宋体" w:hint="eastAsia"/>
        </w:rPr>
        <w:t>赎回费率</w:t>
      </w:r>
      <w:bookmarkEnd w:id="98"/>
      <w:bookmarkEnd w:id="99"/>
      <w:bookmarkEnd w:id="100"/>
      <w:bookmarkEnd w:id="101"/>
      <w:bookmarkEnd w:id="102"/>
      <w:bookmarkEnd w:id="103"/>
      <w:bookmarkEnd w:id="104"/>
      <w:bookmarkEnd w:id="105"/>
      <w:bookmarkEnd w:id="106"/>
      <w:bookmarkEnd w:id="107"/>
      <w:r>
        <w:rPr>
          <w:rFonts w:hAnsi="宋体" w:hint="eastAsia"/>
        </w:rPr>
        <w:t xml:space="preserve"> </w:t>
      </w:r>
    </w:p>
    <w:tbl>
      <w:tblPr>
        <w:tblW w:w="5000" w:type="pct"/>
        <w:tblBorders>
          <w:top w:val="single" w:sz="4" w:space="0" w:color="000000"/>
          <w:left w:val="single" w:sz="4" w:space="0" w:color="000000"/>
          <w:bottom w:val="single" w:sz="4" w:space="0" w:color="000000"/>
          <w:right w:val="single" w:sz="4" w:space="0" w:color="000000"/>
        </w:tblBorders>
        <w:tblLayout w:type="fixed"/>
        <w:tblLook w:val="04A0"/>
      </w:tblPr>
      <w:tblGrid>
        <w:gridCol w:w="4335"/>
        <w:gridCol w:w="4726"/>
      </w:tblGrid>
      <w:tr w:rsidR="002E612A" w:rsidTr="00A22928">
        <w:trPr>
          <w:divId w:val="570118003"/>
        </w:trPr>
        <w:tc>
          <w:tcPr>
            <w:tcW w:w="4077" w:type="dxa"/>
            <w:tcBorders>
              <w:top w:val="single" w:sz="4" w:space="0" w:color="000000"/>
              <w:left w:val="single" w:sz="4" w:space="0" w:color="000000"/>
              <w:bottom w:val="single" w:sz="4" w:space="0" w:color="000000"/>
              <w:right w:val="single" w:sz="4" w:space="0" w:color="000000"/>
            </w:tcBorders>
            <w:hideMark/>
          </w:tcPr>
          <w:bookmarkEnd w:id="108"/>
          <w:p w:rsidR="002E612A" w:rsidRDefault="002E612A">
            <w:pPr>
              <w:jc w:val="center"/>
              <w:rPr>
                <w:rFonts w:hint="eastAsia"/>
              </w:rPr>
            </w:pPr>
            <w:r w:rsidRPr="00A22928">
              <w:rPr>
                <w:rFonts w:hint="eastAsia"/>
              </w:rPr>
              <w:t xml:space="preserve">持有期限(N) </w:t>
            </w:r>
          </w:p>
        </w:tc>
        <w:tc>
          <w:tcPr>
            <w:tcW w:w="4445" w:type="dxa"/>
            <w:tcBorders>
              <w:top w:val="single" w:sz="4" w:space="0" w:color="000000"/>
              <w:left w:val="single" w:sz="4" w:space="0" w:color="000000"/>
              <w:bottom w:val="single" w:sz="4" w:space="0" w:color="000000"/>
              <w:right w:val="single" w:sz="4" w:space="0" w:color="000000"/>
            </w:tcBorders>
            <w:hideMark/>
          </w:tcPr>
          <w:p w:rsidR="002E612A" w:rsidRDefault="002E612A">
            <w:pPr>
              <w:jc w:val="center"/>
              <w:rPr>
                <w:rFonts w:hint="eastAsia"/>
              </w:rPr>
            </w:pPr>
            <w:r w:rsidRPr="00A22928">
              <w:rPr>
                <w:rFonts w:hint="eastAsia"/>
              </w:rPr>
              <w:t xml:space="preserve">赎回费率 </w:t>
            </w:r>
          </w:p>
        </w:tc>
      </w:tr>
      <w:tr w:rsidR="002E612A" w:rsidTr="00A22928">
        <w:trPr>
          <w:divId w:val="570118003"/>
        </w:trPr>
        <w:tc>
          <w:tcPr>
            <w:tcW w:w="1101" w:type="dxa"/>
            <w:tcBorders>
              <w:top w:val="single" w:sz="4" w:space="0" w:color="000000"/>
              <w:left w:val="single" w:sz="4" w:space="0" w:color="000000"/>
              <w:bottom w:val="single" w:sz="4" w:space="0" w:color="000000"/>
              <w:right w:val="single" w:sz="4" w:space="0" w:color="000000"/>
            </w:tcBorders>
            <w:hideMark/>
          </w:tcPr>
          <w:p w:rsidR="002E612A" w:rsidRDefault="002E612A">
            <w:pPr>
              <w:jc w:val="center"/>
              <w:rPr>
                <w:rFonts w:hint="eastAsia"/>
              </w:rPr>
            </w:pPr>
            <w:r w:rsidRPr="00A22928">
              <w:rPr>
                <w:rFonts w:hint="eastAsia"/>
              </w:rPr>
              <w:t>1天≤N≤6天</w:t>
            </w:r>
          </w:p>
        </w:tc>
        <w:tc>
          <w:tcPr>
            <w:tcW w:w="2268" w:type="dxa"/>
            <w:tcBorders>
              <w:top w:val="single" w:sz="4" w:space="0" w:color="000000"/>
              <w:left w:val="single" w:sz="4" w:space="0" w:color="000000"/>
              <w:bottom w:val="single" w:sz="4" w:space="0" w:color="000000"/>
              <w:right w:val="single" w:sz="4" w:space="0" w:color="000000"/>
            </w:tcBorders>
            <w:hideMark/>
          </w:tcPr>
          <w:p w:rsidR="002E612A" w:rsidRDefault="002E612A">
            <w:pPr>
              <w:jc w:val="center"/>
              <w:rPr>
                <w:rFonts w:hint="eastAsia"/>
              </w:rPr>
            </w:pPr>
            <w:r w:rsidRPr="00A22928">
              <w:rPr>
                <w:rFonts w:hint="eastAsia"/>
              </w:rPr>
              <w:t>1.50%</w:t>
            </w:r>
          </w:p>
        </w:tc>
      </w:tr>
      <w:tr w:rsidR="002E612A" w:rsidTr="00A22928">
        <w:trPr>
          <w:divId w:val="570118003"/>
        </w:trPr>
        <w:tc>
          <w:tcPr>
            <w:tcW w:w="1101" w:type="dxa"/>
            <w:tcBorders>
              <w:top w:val="single" w:sz="4" w:space="0" w:color="000000"/>
              <w:left w:val="single" w:sz="4" w:space="0" w:color="000000"/>
              <w:bottom w:val="single" w:sz="4" w:space="0" w:color="000000"/>
              <w:right w:val="single" w:sz="4" w:space="0" w:color="000000"/>
            </w:tcBorders>
            <w:hideMark/>
          </w:tcPr>
          <w:p w:rsidR="002E612A" w:rsidRDefault="002E612A">
            <w:pPr>
              <w:jc w:val="center"/>
              <w:rPr>
                <w:rFonts w:hint="eastAsia"/>
              </w:rPr>
            </w:pPr>
            <w:r w:rsidRPr="00A22928">
              <w:rPr>
                <w:rFonts w:hint="eastAsia"/>
              </w:rPr>
              <w:t>7天≤N＜30天</w:t>
            </w:r>
          </w:p>
        </w:tc>
        <w:tc>
          <w:tcPr>
            <w:tcW w:w="2268" w:type="dxa"/>
            <w:tcBorders>
              <w:top w:val="single" w:sz="4" w:space="0" w:color="000000"/>
              <w:left w:val="single" w:sz="4" w:space="0" w:color="000000"/>
              <w:bottom w:val="single" w:sz="4" w:space="0" w:color="000000"/>
              <w:right w:val="single" w:sz="4" w:space="0" w:color="000000"/>
            </w:tcBorders>
            <w:hideMark/>
          </w:tcPr>
          <w:p w:rsidR="002E612A" w:rsidRDefault="002E612A">
            <w:pPr>
              <w:jc w:val="center"/>
              <w:rPr>
                <w:rFonts w:hint="eastAsia"/>
              </w:rPr>
            </w:pPr>
            <w:r w:rsidRPr="00A22928">
              <w:rPr>
                <w:rFonts w:hint="eastAsia"/>
              </w:rPr>
              <w:t>0.75%</w:t>
            </w:r>
          </w:p>
        </w:tc>
      </w:tr>
      <w:tr w:rsidR="002E612A" w:rsidTr="00A22928">
        <w:trPr>
          <w:divId w:val="570118003"/>
        </w:trPr>
        <w:tc>
          <w:tcPr>
            <w:tcW w:w="1101" w:type="dxa"/>
            <w:tcBorders>
              <w:top w:val="single" w:sz="4" w:space="0" w:color="000000"/>
              <w:left w:val="single" w:sz="4" w:space="0" w:color="000000"/>
              <w:bottom w:val="single" w:sz="4" w:space="0" w:color="000000"/>
              <w:right w:val="single" w:sz="4" w:space="0" w:color="000000"/>
            </w:tcBorders>
            <w:hideMark/>
          </w:tcPr>
          <w:p w:rsidR="002E612A" w:rsidRDefault="002E612A">
            <w:pPr>
              <w:jc w:val="center"/>
              <w:rPr>
                <w:rFonts w:hint="eastAsia"/>
              </w:rPr>
            </w:pPr>
            <w:r w:rsidRPr="00A22928">
              <w:rPr>
                <w:rFonts w:hint="eastAsia"/>
              </w:rPr>
              <w:t>N≥30天</w:t>
            </w:r>
          </w:p>
        </w:tc>
        <w:tc>
          <w:tcPr>
            <w:tcW w:w="2268" w:type="dxa"/>
            <w:tcBorders>
              <w:top w:val="single" w:sz="4" w:space="0" w:color="000000"/>
              <w:left w:val="single" w:sz="4" w:space="0" w:color="000000"/>
              <w:bottom w:val="single" w:sz="4" w:space="0" w:color="000000"/>
              <w:right w:val="single" w:sz="4" w:space="0" w:color="000000"/>
            </w:tcBorders>
            <w:hideMark/>
          </w:tcPr>
          <w:p w:rsidR="002E612A" w:rsidRDefault="002E612A">
            <w:pPr>
              <w:jc w:val="center"/>
              <w:rPr>
                <w:rFonts w:hint="eastAsia"/>
              </w:rPr>
            </w:pPr>
            <w:r w:rsidRPr="00A22928">
              <w:rPr>
                <w:rFonts w:hint="eastAsia"/>
              </w:rPr>
              <w:t>0%</w:t>
            </w:r>
          </w:p>
        </w:tc>
      </w:tr>
    </w:tbl>
    <w:p w:rsidR="002E612A" w:rsidRDefault="002E612A">
      <w:pPr>
        <w:spacing w:line="360" w:lineRule="auto"/>
        <w:jc w:val="left"/>
        <w:divId w:val="570118003"/>
        <w:rPr>
          <w:rFonts w:hint="eastAsia"/>
        </w:rPr>
      </w:pPr>
      <w:r>
        <w:rPr>
          <w:rFonts w:hint="eastAsia"/>
          <w:szCs w:val="21"/>
        </w:rPr>
        <w:t>注：注：赎回费用由赎回基金份额的基金份额持有人承担。本基金的赎回费用在投资者赎回本基金份额时收取，扣除用于支付登记费和其他必要的手续费后的余额归基金财产，对持续持有期少于7日的投资者手续不低于1.5%的赎回费，并将上述赎回费全额计入基金资产；对持续持有期大于7日（含）小于30日的投资者收取的赎回费，将赎回费总额的25%计入基金财产。</w:t>
      </w:r>
    </w:p>
    <w:p w:rsidR="002E612A" w:rsidRDefault="002E612A">
      <w:pPr>
        <w:pStyle w:val="XBRLTitle2"/>
        <w:spacing w:before="156" w:line="360" w:lineRule="auto"/>
        <w:ind w:left="454"/>
        <w:rPr>
          <w:rFonts w:hint="eastAsia"/>
        </w:rPr>
      </w:pPr>
      <w:bookmarkStart w:id="109" w:name="m403"/>
      <w:bookmarkStart w:id="110" w:name="_Toc34841037"/>
      <w:bookmarkStart w:id="111" w:name="_Toc17898192"/>
      <w:bookmarkStart w:id="112" w:name="_Toc17897946"/>
      <w:bookmarkStart w:id="113" w:name="_Toc481075061"/>
      <w:bookmarkStart w:id="114" w:name="_Toc490050014"/>
      <w:bookmarkStart w:id="115" w:name="_Toc512519493"/>
      <w:bookmarkStart w:id="116" w:name="_Toc513295855"/>
      <w:bookmarkStart w:id="117" w:name="_Toc513295905"/>
      <w:bookmarkStart w:id="118" w:name="_Toc34758528"/>
      <w:bookmarkStart w:id="119" w:name="m405_01_2550"/>
      <w:bookmarkEnd w:id="109"/>
      <w:r>
        <w:rPr>
          <w:rFonts w:hAnsi="宋体" w:hint="eastAsia"/>
        </w:rPr>
        <w:t>其他与赎回相关的事项</w:t>
      </w:r>
      <w:bookmarkEnd w:id="110"/>
      <w:bookmarkEnd w:id="111"/>
      <w:bookmarkEnd w:id="112"/>
      <w:bookmarkEnd w:id="113"/>
      <w:bookmarkEnd w:id="114"/>
      <w:bookmarkEnd w:id="115"/>
      <w:bookmarkEnd w:id="116"/>
      <w:bookmarkEnd w:id="117"/>
      <w:bookmarkEnd w:id="118"/>
      <w:r>
        <w:rPr>
          <w:rFonts w:hAnsi="宋体" w:hint="eastAsia"/>
        </w:rPr>
        <w:t xml:space="preserve"> </w:t>
      </w:r>
    </w:p>
    <w:p w:rsidR="002E612A" w:rsidRDefault="002E612A">
      <w:pPr>
        <w:spacing w:line="360" w:lineRule="auto"/>
        <w:ind w:firstLineChars="200" w:firstLine="420"/>
        <w:rPr>
          <w:rFonts w:hint="eastAsia"/>
        </w:rPr>
      </w:pPr>
      <w:r>
        <w:rPr>
          <w:rFonts w:hint="eastAsia"/>
          <w:lang/>
        </w:rPr>
        <w:t>无。</w:t>
      </w:r>
    </w:p>
    <w:p w:rsidR="002E612A" w:rsidRDefault="002E612A">
      <w:pPr>
        <w:pStyle w:val="XBRLTitle1"/>
        <w:spacing w:before="156" w:line="360" w:lineRule="auto"/>
        <w:ind w:left="425"/>
        <w:rPr>
          <w:rFonts w:hint="eastAsia"/>
        </w:rPr>
      </w:pPr>
      <w:bookmarkStart w:id="120" w:name="_Toc34841038"/>
      <w:bookmarkStart w:id="121" w:name="_Toc17898195"/>
      <w:bookmarkStart w:id="122" w:name="_Toc17897949"/>
      <w:bookmarkStart w:id="123" w:name="_Toc512519496"/>
      <w:bookmarkStart w:id="124" w:name="_Toc481075064"/>
      <w:bookmarkStart w:id="125" w:name="_Toc438646466"/>
      <w:bookmarkStart w:id="126" w:name="_Toc490050017"/>
      <w:bookmarkStart w:id="127" w:name="_Toc513295858"/>
      <w:bookmarkStart w:id="128" w:name="_Toc513295908"/>
      <w:bookmarkStart w:id="129" w:name="_Toc34758529"/>
      <w:bookmarkEnd w:id="119"/>
      <w:r>
        <w:rPr>
          <w:rFonts w:hAnsi="宋体" w:hint="eastAsia"/>
        </w:rPr>
        <w:t>日常转换业务</w:t>
      </w:r>
      <w:bookmarkEnd w:id="120"/>
      <w:bookmarkEnd w:id="121"/>
      <w:bookmarkEnd w:id="122"/>
      <w:bookmarkEnd w:id="123"/>
      <w:bookmarkEnd w:id="124"/>
      <w:bookmarkEnd w:id="125"/>
      <w:bookmarkEnd w:id="126"/>
      <w:bookmarkEnd w:id="127"/>
      <w:bookmarkEnd w:id="128"/>
      <w:bookmarkEnd w:id="129"/>
      <w:r>
        <w:rPr>
          <w:rFonts w:hAnsi="宋体" w:hint="eastAsia"/>
        </w:rPr>
        <w:t xml:space="preserve"> </w:t>
      </w:r>
    </w:p>
    <w:p w:rsidR="002E612A" w:rsidRDefault="002E612A">
      <w:pPr>
        <w:pStyle w:val="XBRLTitle2"/>
        <w:spacing w:before="156" w:line="360" w:lineRule="auto"/>
        <w:ind w:left="454"/>
        <w:rPr>
          <w:rFonts w:hint="eastAsia"/>
        </w:rPr>
      </w:pPr>
      <w:bookmarkStart w:id="130" w:name="_Toc34841039"/>
      <w:bookmarkStart w:id="131" w:name="_Toc17898196"/>
      <w:bookmarkStart w:id="132" w:name="_Toc17897950"/>
      <w:bookmarkStart w:id="133" w:name="_Toc481075065"/>
      <w:bookmarkStart w:id="134" w:name="_Toc438646467"/>
      <w:bookmarkStart w:id="135" w:name="_Toc490050018"/>
      <w:bookmarkStart w:id="136" w:name="_Toc512519497"/>
      <w:bookmarkStart w:id="137" w:name="_Toc513295859"/>
      <w:bookmarkStart w:id="138" w:name="_Toc513295909"/>
      <w:bookmarkStart w:id="139" w:name="_Toc34758530"/>
      <w:bookmarkStart w:id="140" w:name="m501"/>
      <w:r>
        <w:rPr>
          <w:rFonts w:hAnsi="宋体" w:hint="eastAsia"/>
        </w:rPr>
        <w:t>转换费率</w:t>
      </w:r>
      <w:bookmarkEnd w:id="130"/>
      <w:bookmarkEnd w:id="131"/>
      <w:bookmarkEnd w:id="132"/>
      <w:bookmarkEnd w:id="133"/>
      <w:bookmarkEnd w:id="134"/>
      <w:bookmarkEnd w:id="135"/>
      <w:bookmarkEnd w:id="136"/>
      <w:bookmarkEnd w:id="137"/>
      <w:bookmarkEnd w:id="138"/>
      <w:bookmarkEnd w:id="139"/>
      <w:r>
        <w:rPr>
          <w:rFonts w:hAnsi="宋体" w:hint="eastAsia"/>
        </w:rPr>
        <w:t xml:space="preserve"> </w:t>
      </w:r>
    </w:p>
    <w:p w:rsidR="002E612A" w:rsidRDefault="002E612A">
      <w:pPr>
        <w:spacing w:line="360" w:lineRule="auto"/>
        <w:ind w:firstLineChars="200" w:firstLine="420"/>
        <w:rPr>
          <w:rFonts w:hint="eastAsia"/>
        </w:rPr>
      </w:pPr>
      <w:r>
        <w:rPr>
          <w:rFonts w:hint="eastAsia"/>
          <w:lang/>
        </w:rPr>
        <w:t>本公司旗下其他开放式基金转换转入本基金的转换费用具体查看本公司旗下其他开放式基金招募说明书和发售公告以及其他相关公告。</w:t>
      </w:r>
      <w:r>
        <w:rPr>
          <w:rFonts w:hint="eastAsia"/>
          <w:lang/>
        </w:rPr>
        <w:br/>
        <w:t xml:space="preserve">　　本基金转换转入本公司其他开放式基金的费用由转出和转入基金的申购费用补差和转出基金的赎回费两部分构成，具体收取情况视每次转换时两只基金的申购费用补差和转出基金赎回费率情况而定。基金转换费用由基金持有人承担。基金转换费用中赎回费归入基金资产的比例与基金赎回业务一致。具体公式如下：</w:t>
      </w:r>
      <w:r>
        <w:rPr>
          <w:rFonts w:hint="eastAsia"/>
          <w:lang/>
        </w:rPr>
        <w:br/>
        <w:t xml:space="preserve">　　1、转出金额　＝　转出基金份额　×　转出基金当日基金单位资产净值</w:t>
      </w:r>
      <w:r>
        <w:rPr>
          <w:rFonts w:hint="eastAsia"/>
          <w:lang/>
        </w:rPr>
        <w:br/>
        <w:t xml:space="preserve">　　2、转换费用：</w:t>
      </w:r>
      <w:r>
        <w:rPr>
          <w:rFonts w:hint="eastAsia"/>
          <w:lang/>
        </w:rPr>
        <w:br/>
        <w:t xml:space="preserve">　　转换费用=转出基金赎回费用+申购费用补差</w:t>
      </w:r>
      <w:r>
        <w:rPr>
          <w:rFonts w:hint="eastAsia"/>
          <w:lang/>
        </w:rPr>
        <w:br/>
        <w:t xml:space="preserve">　　（1）转出基金赎回费计算方式：</w:t>
      </w:r>
      <w:r>
        <w:rPr>
          <w:rFonts w:hint="eastAsia"/>
          <w:lang/>
        </w:rPr>
        <w:br/>
        <w:t xml:space="preserve">　　赎回费用=转出金额×转出基金赎回费率</w:t>
      </w:r>
      <w:r>
        <w:rPr>
          <w:rFonts w:hint="eastAsia"/>
          <w:lang/>
        </w:rPr>
        <w:br/>
        <w:t xml:space="preserve">　　（2）申购费用补差计算方式：</w:t>
      </w:r>
      <w:r>
        <w:rPr>
          <w:rFonts w:hint="eastAsia"/>
          <w:lang/>
        </w:rPr>
        <w:br/>
        <w:t xml:space="preserve">　　1）如果转入基金的申购费率　〉转出基金的申购费率时：</w:t>
      </w:r>
      <w:r>
        <w:rPr>
          <w:rFonts w:hint="eastAsia"/>
          <w:lang/>
        </w:rPr>
        <w:br/>
        <w:t xml:space="preserve">　　申购费用补差　=转入基金申购费用-转出基金申购费用</w:t>
      </w:r>
      <w:r>
        <w:rPr>
          <w:rFonts w:hint="eastAsia"/>
          <w:lang/>
        </w:rPr>
        <w:br/>
        <w:t xml:space="preserve">　　转出基金申购费用=（转出金额-转出基金赎回费用）×转出基金申购费率÷（1+转出基金申购费率）</w:t>
      </w:r>
      <w:r>
        <w:rPr>
          <w:rFonts w:hint="eastAsia"/>
          <w:lang/>
        </w:rPr>
        <w:br/>
        <w:t xml:space="preserve">　　转入基金申购费用=（转出金额-转出基金赎回费用）×转入基金申购费率÷（1+转入基金申购费率）</w:t>
      </w:r>
      <w:r>
        <w:rPr>
          <w:rFonts w:hint="eastAsia"/>
          <w:lang/>
        </w:rPr>
        <w:br/>
        <w:t xml:space="preserve">　　2）如果转出基金的申购费率　〉=转入基金的申购费率</w:t>
      </w:r>
      <w:r>
        <w:rPr>
          <w:rFonts w:hint="eastAsia"/>
          <w:lang/>
        </w:rPr>
        <w:br/>
        <w:t xml:space="preserve">　　申购费用补差　=0</w:t>
      </w:r>
      <w:r>
        <w:rPr>
          <w:rFonts w:hint="eastAsia"/>
          <w:lang/>
        </w:rPr>
        <w:br/>
        <w:t xml:space="preserve">　　3、转入金额　＝　转出金额　-　转换费用</w:t>
      </w:r>
      <w:r>
        <w:rPr>
          <w:rFonts w:hint="eastAsia"/>
          <w:lang/>
        </w:rPr>
        <w:br/>
        <w:t xml:space="preserve">　　4、转入份额　＝　转入金额　÷　转入基金转入当日基金单位份额净值</w:t>
      </w:r>
    </w:p>
    <w:p w:rsidR="002E612A" w:rsidRDefault="002E612A">
      <w:pPr>
        <w:pStyle w:val="XBRLTitle2"/>
        <w:spacing w:before="156" w:line="360" w:lineRule="auto"/>
        <w:ind w:left="454"/>
        <w:rPr>
          <w:rFonts w:hint="eastAsia"/>
        </w:rPr>
      </w:pPr>
      <w:bookmarkStart w:id="141" w:name="_Toc34841040"/>
      <w:bookmarkStart w:id="142" w:name="_Toc17898200"/>
      <w:bookmarkStart w:id="143" w:name="_Toc17897952"/>
      <w:bookmarkStart w:id="144" w:name="_Toc481075069"/>
      <w:bookmarkStart w:id="145" w:name="_Toc490050022"/>
      <w:bookmarkStart w:id="146" w:name="_Toc512519501"/>
      <w:bookmarkStart w:id="147" w:name="_Toc513295861"/>
      <w:bookmarkStart w:id="148" w:name="_Toc513295913"/>
      <w:bookmarkStart w:id="149" w:name="_Toc34758531"/>
      <w:bookmarkStart w:id="150" w:name="m504"/>
      <w:bookmarkStart w:id="151" w:name="_Toc438646470"/>
      <w:bookmarkStart w:id="152" w:name="m502"/>
      <w:bookmarkEnd w:id="140"/>
      <w:r>
        <w:rPr>
          <w:rFonts w:hAnsi="宋体" w:hint="eastAsia"/>
        </w:rPr>
        <w:t>其他与转换相关的事项</w:t>
      </w:r>
      <w:bookmarkEnd w:id="141"/>
      <w:bookmarkEnd w:id="142"/>
      <w:bookmarkEnd w:id="143"/>
      <w:bookmarkEnd w:id="144"/>
      <w:bookmarkEnd w:id="145"/>
      <w:bookmarkEnd w:id="146"/>
      <w:bookmarkEnd w:id="147"/>
      <w:bookmarkEnd w:id="148"/>
      <w:bookmarkEnd w:id="149"/>
      <w:r>
        <w:rPr>
          <w:rFonts w:hAnsi="宋体" w:hint="eastAsia"/>
        </w:rPr>
        <w:t xml:space="preserve"> </w:t>
      </w:r>
      <w:bookmarkEnd w:id="150"/>
      <w:bookmarkEnd w:id="151"/>
      <w:bookmarkEnd w:id="152"/>
    </w:p>
    <w:p w:rsidR="002E612A" w:rsidRDefault="002E612A">
      <w:pPr>
        <w:spacing w:line="360" w:lineRule="auto"/>
        <w:ind w:firstLineChars="200" w:firstLine="420"/>
        <w:rPr>
          <w:rFonts w:hint="eastAsia"/>
        </w:rPr>
      </w:pPr>
      <w:r>
        <w:rPr>
          <w:rFonts w:hint="eastAsia"/>
          <w:lang/>
        </w:rPr>
        <w:t>1）开通转换入、转换出业务的时间</w:t>
      </w:r>
      <w:r>
        <w:rPr>
          <w:rFonts w:hint="eastAsia"/>
          <w:lang/>
        </w:rPr>
        <w:br/>
        <w:t xml:space="preserve">　　自公告开放日起，本公司直销机构和部分代销机构将同时开通本基金与旗下其他开放式基金之间的转换业务，最低转换份额1份。</w:t>
      </w:r>
      <w:r>
        <w:rPr>
          <w:rFonts w:hint="eastAsia"/>
          <w:lang/>
        </w:rPr>
        <w:br/>
        <w:t xml:space="preserve">　　2）具体开通转换业务的销售机构请以销售机构相关规定为准。</w:t>
      </w:r>
    </w:p>
    <w:p w:rsidR="002E612A" w:rsidRDefault="002E612A">
      <w:pPr>
        <w:pStyle w:val="XBRLTitle1"/>
        <w:spacing w:before="156" w:line="360" w:lineRule="auto"/>
        <w:ind w:left="425"/>
        <w:rPr>
          <w:rFonts w:hint="eastAsia"/>
        </w:rPr>
      </w:pPr>
      <w:bookmarkStart w:id="153" w:name="_Toc34841041"/>
      <w:bookmarkStart w:id="154" w:name="_Toc34758532"/>
      <w:r>
        <w:rPr>
          <w:rFonts w:hAnsi="宋体" w:hint="eastAsia"/>
        </w:rPr>
        <w:t>定期定额投资业务</w:t>
      </w:r>
      <w:bookmarkEnd w:id="153"/>
      <w:bookmarkEnd w:id="154"/>
      <w:r>
        <w:rPr>
          <w:rFonts w:hAnsi="宋体" w:hint="eastAsia"/>
        </w:rPr>
        <w:t xml:space="preserve"> </w:t>
      </w:r>
    </w:p>
    <w:p w:rsidR="002E612A" w:rsidRDefault="002E612A">
      <w:pPr>
        <w:spacing w:line="360" w:lineRule="auto"/>
        <w:ind w:firstLineChars="200" w:firstLine="420"/>
        <w:rPr>
          <w:rFonts w:hint="eastAsia"/>
        </w:rPr>
      </w:pPr>
      <w:r>
        <w:rPr>
          <w:rFonts w:hint="eastAsia"/>
          <w:lang/>
        </w:rPr>
        <w:t>1）开始办理的时间</w:t>
      </w:r>
      <w:r>
        <w:rPr>
          <w:rFonts w:hint="eastAsia"/>
          <w:lang/>
        </w:rPr>
        <w:br/>
        <w:t xml:space="preserve">　　2025年10月30日至2025年10月31日。</w:t>
      </w:r>
      <w:r>
        <w:rPr>
          <w:rFonts w:hint="eastAsia"/>
          <w:lang/>
        </w:rPr>
        <w:br/>
        <w:t xml:space="preserve">　　2）定期定额业务的销售机构</w:t>
      </w:r>
      <w:r>
        <w:rPr>
          <w:rFonts w:hint="eastAsia"/>
          <w:lang/>
        </w:rPr>
        <w:br/>
        <w:t xml:space="preserve">　　我司已对本基金所有代销机构开通了定期定额投资业务的系统支持，代销机构是否开通定期定额投资业务以其公告为准。</w:t>
      </w:r>
      <w:r>
        <w:rPr>
          <w:rFonts w:hint="eastAsia"/>
          <w:lang/>
        </w:rPr>
        <w:br/>
        <w:t xml:space="preserve">　　本公司本基金最低定期定额申购额为1元，销售机构在不低于上述规定的前提下，可根据自身的相关情况设定本基金的定期定额申购金额下限，投资者在办理定期定额申购业务时，需遵循对应销售机构的规定。通过本公司网上直销进行定期定额申购，单个基金账户单笔最低金额为1元。</w:t>
      </w:r>
    </w:p>
    <w:p w:rsidR="002E612A" w:rsidRDefault="002E612A">
      <w:pPr>
        <w:pStyle w:val="XBRLTitle1"/>
        <w:spacing w:before="156" w:line="360" w:lineRule="auto"/>
        <w:ind w:left="425"/>
        <w:rPr>
          <w:rFonts w:hint="eastAsia"/>
        </w:rPr>
      </w:pPr>
      <w:bookmarkStart w:id="155" w:name="_Toc34841042"/>
      <w:bookmarkStart w:id="156" w:name="_Toc3475852111"/>
      <w:r>
        <w:rPr>
          <w:rFonts w:hAnsi="宋体" w:hint="eastAsia"/>
        </w:rPr>
        <w:t>基金销售机构</w:t>
      </w:r>
      <w:bookmarkEnd w:id="31"/>
      <w:bookmarkEnd w:id="32"/>
      <w:bookmarkEnd w:id="33"/>
      <w:bookmarkEnd w:id="34"/>
      <w:bookmarkEnd w:id="35"/>
      <w:bookmarkEnd w:id="36"/>
      <w:bookmarkEnd w:id="37"/>
      <w:bookmarkEnd w:id="38"/>
      <w:bookmarkEnd w:id="155"/>
      <w:bookmarkEnd w:id="156"/>
      <w:r>
        <w:rPr>
          <w:rFonts w:hAnsi="宋体" w:hint="eastAsia"/>
        </w:rPr>
        <w:t xml:space="preserve"> </w:t>
      </w:r>
      <w:bookmarkEnd w:id="62"/>
      <w:bookmarkEnd w:id="63"/>
      <w:bookmarkEnd w:id="64"/>
      <w:bookmarkEnd w:id="65"/>
      <w:bookmarkEnd w:id="66"/>
      <w:bookmarkEnd w:id="67"/>
      <w:bookmarkEnd w:id="68"/>
      <w:bookmarkEnd w:id="69"/>
      <w:bookmarkEnd w:id="70"/>
      <w:bookmarkEnd w:id="71"/>
      <w:bookmarkEnd w:id="72"/>
      <w:bookmarkEnd w:id="73"/>
      <w:bookmarkEnd w:id="74"/>
    </w:p>
    <w:p w:rsidR="002E612A" w:rsidRDefault="002E612A">
      <w:pPr>
        <w:pStyle w:val="XBRLTitle2"/>
        <w:spacing w:before="156" w:line="360" w:lineRule="auto"/>
        <w:ind w:left="454"/>
        <w:rPr>
          <w:rFonts w:hint="eastAsia"/>
        </w:rPr>
      </w:pPr>
      <w:bookmarkStart w:id="157" w:name="_Toc51346565811"/>
      <w:r>
        <w:rPr>
          <w:rFonts w:hAnsi="宋体" w:hint="eastAsia"/>
        </w:rPr>
        <w:t>场外销售机构</w:t>
      </w:r>
      <w:bookmarkEnd w:id="52"/>
      <w:bookmarkEnd w:id="53"/>
      <w:bookmarkEnd w:id="54"/>
      <w:bookmarkEnd w:id="55"/>
      <w:bookmarkEnd w:id="157"/>
      <w:r>
        <w:rPr>
          <w:rFonts w:hAnsi="宋体" w:hint="eastAsia"/>
        </w:rPr>
        <w:t xml:space="preserve"> </w:t>
      </w:r>
    </w:p>
    <w:p w:rsidR="002E612A" w:rsidRDefault="002E612A">
      <w:pPr>
        <w:pStyle w:val="XBRLTitle3"/>
        <w:spacing w:before="156"/>
        <w:ind w:left="0"/>
        <w:rPr>
          <w:rFonts w:hint="eastAsia"/>
        </w:rPr>
      </w:pPr>
      <w:bookmarkStart w:id="158" w:name="_Toc51346565911"/>
      <w:r>
        <w:rPr>
          <w:rFonts w:hint="eastAsia"/>
        </w:rPr>
        <w:t>直销机构</w:t>
      </w:r>
      <w:bookmarkEnd w:id="57"/>
      <w:bookmarkEnd w:id="58"/>
      <w:bookmarkEnd w:id="59"/>
      <w:bookmarkEnd w:id="158"/>
      <w:r>
        <w:rPr>
          <w:rFonts w:hint="eastAsia"/>
          <w:lang w:eastAsia="zh-CN"/>
        </w:rPr>
        <w:t xml:space="preserve"> </w:t>
      </w:r>
    </w:p>
    <w:p w:rsidR="002E612A" w:rsidRDefault="002E612A">
      <w:pPr>
        <w:spacing w:line="360" w:lineRule="auto"/>
        <w:ind w:firstLineChars="200" w:firstLine="420"/>
        <w:rPr>
          <w:rFonts w:hint="eastAsia"/>
        </w:rPr>
      </w:pPr>
      <w:r>
        <w:rPr>
          <w:rFonts w:hint="eastAsia"/>
          <w:lang/>
        </w:rPr>
        <w:t>直销机构：宏利基金管理有限公司</w:t>
      </w:r>
      <w:r>
        <w:rPr>
          <w:rFonts w:hint="eastAsia"/>
          <w:lang/>
        </w:rPr>
        <w:br/>
        <w:t xml:space="preserve">　　直销柜台：北京市朝阳区针织路23号楼中国人寿金融中心6层02-07单元</w:t>
      </w:r>
      <w:r>
        <w:rPr>
          <w:rFonts w:hint="eastAsia"/>
          <w:lang/>
        </w:rPr>
        <w:br/>
        <w:t xml:space="preserve">　　电话：010-66577619、010-66577617</w:t>
      </w:r>
      <w:r>
        <w:rPr>
          <w:rFonts w:hint="eastAsia"/>
          <w:lang/>
        </w:rPr>
        <w:br/>
        <w:t xml:space="preserve">　　传真：010--66577760</w:t>
      </w:r>
      <w:r>
        <w:rPr>
          <w:rFonts w:hint="eastAsia"/>
          <w:lang/>
        </w:rPr>
        <w:br/>
        <w:t xml:space="preserve">　　联系人：刘恋</w:t>
      </w:r>
    </w:p>
    <w:p w:rsidR="002E612A" w:rsidRDefault="002E612A">
      <w:pPr>
        <w:pStyle w:val="XBRLTitle3"/>
        <w:spacing w:before="156"/>
        <w:ind w:left="0"/>
        <w:rPr>
          <w:rFonts w:hint="eastAsia"/>
        </w:rPr>
      </w:pPr>
      <w:bookmarkStart w:id="159" w:name="_Toc51346566011"/>
      <w:r>
        <w:rPr>
          <w:rFonts w:hint="eastAsia"/>
        </w:rPr>
        <w:t>场外非直销机构</w:t>
      </w:r>
      <w:bookmarkEnd w:id="75"/>
      <w:bookmarkEnd w:id="76"/>
      <w:bookmarkEnd w:id="77"/>
      <w:bookmarkEnd w:id="159"/>
    </w:p>
    <w:p w:rsidR="002E612A" w:rsidRDefault="002E612A">
      <w:pPr>
        <w:spacing w:line="360" w:lineRule="auto"/>
        <w:ind w:firstLineChars="200" w:firstLine="420"/>
        <w:divId w:val="79520794"/>
        <w:rPr>
          <w:rFonts w:hint="eastAsia"/>
        </w:rPr>
      </w:pPr>
      <w:r>
        <w:rPr>
          <w:rFonts w:hint="eastAsia"/>
          <w:color w:val="404040"/>
          <w:kern w:val="0"/>
          <w:szCs w:val="21"/>
          <w:lang/>
        </w:rPr>
        <w:t xml:space="preserve">兴业银行股份有限公司银银平台、宁波银行股份有限公司易管家平台、光大银行股份有限公司、中信建投证券股份有限公司、申万宏源证券股份有限公司、申万宏源西部证券股份有限公司、兴业证券股份有限公司、开源证券股份有限公司、华西证券股份有限公司、蚂蚁（杭州）基金销售有限公司、上海天天基金销售有限公司、和讯信息科技有限公司、北京汇成基金销售有限公司、上海基煜基金销售有限公司、阳光人寿保险股份有限公司、珠海盈米基金销售有限公司、上海挖财基金销售有限公司、创金启富基金销售有限公司、上海利得基金销售有限公司。 </w:t>
      </w:r>
    </w:p>
    <w:p w:rsidR="002E612A" w:rsidRDefault="002E612A">
      <w:pPr>
        <w:pStyle w:val="XBRLTitle1"/>
        <w:spacing w:before="156" w:line="360" w:lineRule="auto"/>
        <w:ind w:left="425"/>
        <w:rPr>
          <w:rFonts w:hint="eastAsia"/>
        </w:rPr>
      </w:pPr>
      <w:bookmarkStart w:id="160" w:name="_Toc34841045"/>
      <w:bookmarkStart w:id="161" w:name="_Toc3475853211"/>
      <w:r>
        <w:rPr>
          <w:rFonts w:hAnsi="宋体" w:hint="eastAsia"/>
        </w:rPr>
        <w:t>基金份额净值公告/基金收益公告的披露安排</w:t>
      </w:r>
      <w:bookmarkEnd w:id="160"/>
      <w:bookmarkEnd w:id="161"/>
      <w:r>
        <w:rPr>
          <w:rFonts w:hAnsi="宋体" w:hint="eastAsia"/>
        </w:rPr>
        <w:t xml:space="preserve"> </w:t>
      </w:r>
    </w:p>
    <w:p w:rsidR="002E612A" w:rsidRDefault="002E612A">
      <w:pPr>
        <w:spacing w:line="360" w:lineRule="auto"/>
        <w:ind w:firstLineChars="200" w:firstLine="420"/>
        <w:rPr>
          <w:rFonts w:hint="eastAsia"/>
        </w:rPr>
      </w:pPr>
      <w:r>
        <w:rPr>
          <w:rFonts w:hint="eastAsia"/>
          <w:lang/>
        </w:rPr>
        <w:t>本基金管理人在每个交易日（上海证券交易所和深圳证券交易所的正常交易日）通过中国证监会指定的信息披露媒体、各销售机构、本基金管理人的网站等媒介公布本基金上一个交易日的基金份额净值，敬请投资人留意。</w:t>
      </w:r>
    </w:p>
    <w:p w:rsidR="002E612A" w:rsidRDefault="002E612A">
      <w:pPr>
        <w:pStyle w:val="XBRLTitle1"/>
        <w:spacing w:before="156" w:line="360" w:lineRule="auto"/>
        <w:ind w:left="425"/>
        <w:rPr>
          <w:rFonts w:hint="eastAsia"/>
        </w:rPr>
      </w:pPr>
      <w:bookmarkStart w:id="162" w:name="_Toc34841046"/>
      <w:bookmarkStart w:id="163" w:name="_Toc3475853212"/>
      <w:r>
        <w:rPr>
          <w:rFonts w:hAnsi="宋体" w:hint="eastAsia"/>
        </w:rPr>
        <w:t>其他需要提示的事项</w:t>
      </w:r>
      <w:bookmarkEnd w:id="16"/>
      <w:bookmarkEnd w:id="17"/>
      <w:bookmarkEnd w:id="18"/>
      <w:bookmarkEnd w:id="19"/>
      <w:bookmarkEnd w:id="20"/>
      <w:bookmarkEnd w:id="21"/>
      <w:bookmarkEnd w:id="22"/>
      <w:bookmarkEnd w:id="23"/>
      <w:bookmarkEnd w:id="162"/>
      <w:bookmarkEnd w:id="163"/>
      <w:r>
        <w:rPr>
          <w:rFonts w:hAnsi="宋体" w:hint="eastAsia"/>
        </w:rPr>
        <w:t xml:space="preserve"> </w:t>
      </w:r>
      <w:bookmarkEnd w:id="39"/>
      <w:bookmarkEnd w:id="40"/>
    </w:p>
    <w:bookmarkEnd w:id="11"/>
    <w:p w:rsidR="002E612A" w:rsidRDefault="002E612A">
      <w:pPr>
        <w:spacing w:line="360" w:lineRule="auto"/>
        <w:ind w:firstLineChars="200" w:firstLine="420"/>
        <w:rPr>
          <w:rFonts w:hint="eastAsia"/>
        </w:rPr>
      </w:pPr>
      <w:r>
        <w:rPr>
          <w:rFonts w:hint="eastAsia"/>
          <w:lang/>
        </w:rPr>
        <w:t>1、本基金不向个人投资者公开发售，个人投资者的申购申请将被确认失败。</w:t>
      </w:r>
      <w:r>
        <w:rPr>
          <w:rFonts w:hint="eastAsia"/>
          <w:lang/>
        </w:rPr>
        <w:br/>
        <w:t xml:space="preserve">　　2、本公告仅对宏利泽利3个月定期开放债券型发起式证券投资基金开放申购、赎回业务的有关事项予以说明。</w:t>
      </w:r>
      <w:r>
        <w:rPr>
          <w:rFonts w:hint="eastAsia"/>
          <w:lang/>
        </w:rPr>
        <w:br/>
        <w:t xml:space="preserve">　　投资者可以登录本公司网站（www.manulifefund.com.cn）查询或者拨打本公司的客户服务电话(400-698-8888或010-66555662)垂询相关事宜。</w:t>
      </w:r>
      <w:bookmarkEnd w:id="12"/>
      <w:bookmarkEnd w:id="13"/>
      <w:bookmarkEnd w:id="24"/>
      <w:bookmarkEnd w:id="25"/>
      <w:bookmarkEnd w:id="26"/>
      <w:bookmarkEnd w:id="27"/>
    </w:p>
    <w:p w:rsidR="002E612A" w:rsidRDefault="002E612A">
      <w:pPr>
        <w:spacing w:line="360" w:lineRule="auto"/>
        <w:ind w:firstLineChars="600" w:firstLine="1446"/>
        <w:jc w:val="left"/>
        <w:rPr>
          <w:rFonts w:hint="eastAsia"/>
        </w:rPr>
      </w:pPr>
      <w:r>
        <w:rPr>
          <w:rFonts w:hint="eastAsia"/>
          <w:b/>
          <w:bCs/>
          <w:sz w:val="24"/>
          <w:szCs w:val="30"/>
        </w:rPr>
        <w:t xml:space="preserve">　 </w:t>
      </w:r>
    </w:p>
    <w:p w:rsidR="002E612A" w:rsidRDefault="002E612A">
      <w:pPr>
        <w:spacing w:line="360" w:lineRule="auto"/>
        <w:ind w:firstLineChars="600" w:firstLine="1446"/>
        <w:jc w:val="left"/>
        <w:rPr>
          <w:rFonts w:hint="eastAsia"/>
        </w:rPr>
      </w:pPr>
      <w:r>
        <w:rPr>
          <w:rFonts w:hint="eastAsia"/>
          <w:b/>
          <w:bCs/>
          <w:sz w:val="24"/>
          <w:szCs w:val="30"/>
        </w:rPr>
        <w:t xml:space="preserve">　 </w:t>
      </w:r>
    </w:p>
    <w:p w:rsidR="002E612A" w:rsidRDefault="002E612A">
      <w:pPr>
        <w:spacing w:line="360" w:lineRule="auto"/>
        <w:ind w:firstLineChars="600" w:firstLine="1446"/>
        <w:jc w:val="right"/>
        <w:rPr>
          <w:rFonts w:hint="eastAsia"/>
        </w:rPr>
      </w:pPr>
      <w:r>
        <w:rPr>
          <w:rFonts w:hint="eastAsia"/>
          <w:b/>
          <w:bCs/>
          <w:sz w:val="24"/>
          <w:szCs w:val="24"/>
        </w:rPr>
        <w:t>宏利基金管理有限公司</w:t>
      </w:r>
    </w:p>
    <w:p w:rsidR="002E612A" w:rsidRDefault="002E612A">
      <w:pPr>
        <w:spacing w:line="360" w:lineRule="auto"/>
        <w:ind w:firstLineChars="600" w:firstLine="1446"/>
        <w:jc w:val="right"/>
        <w:rPr>
          <w:rFonts w:hint="eastAsia"/>
        </w:rPr>
      </w:pPr>
      <w:r>
        <w:rPr>
          <w:rFonts w:hint="eastAsia"/>
          <w:b/>
          <w:bCs/>
          <w:sz w:val="24"/>
          <w:szCs w:val="24"/>
        </w:rPr>
        <w:t>2025年10月28日</w:t>
      </w:r>
      <w:bookmarkEnd w:id="28"/>
    </w:p>
    <w:sectPr w:rsidR="002E612A">
      <w:headerReference w:type="default" r:id="rId8"/>
      <w:footerReference w:type="default" r:id="rId9"/>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4D39" w:rsidRDefault="00B44D39">
      <w:pPr>
        <w:rPr>
          <w:rFonts w:hint="eastAsia"/>
          <w:szCs w:val="21"/>
        </w:rPr>
      </w:pPr>
      <w:r>
        <w:rPr>
          <w:rFonts w:ascii="Times New Roman" w:hAnsi="Times New Roman" w:cs="Times New Roman"/>
          <w:szCs w:val="21"/>
        </w:rPr>
        <w:separator/>
      </w:r>
      <w:r>
        <w:rPr>
          <w:rFonts w:ascii="Times New Roman" w:hAnsi="Times New Roman" w:cs="Times New Roman" w:hint="eastAsia"/>
          <w:szCs w:val="21"/>
        </w:rPr>
        <w:t xml:space="preserve"> </w:t>
      </w:r>
    </w:p>
  </w:endnote>
  <w:endnote w:type="continuationSeparator" w:id="0">
    <w:p w:rsidR="00B44D39" w:rsidRDefault="00B44D39">
      <w:pPr>
        <w:rPr>
          <w:rFonts w:hint="eastAsia"/>
          <w:szCs w:val="21"/>
        </w:rPr>
      </w:pPr>
      <w:r>
        <w:rPr>
          <w:rFonts w:ascii="Times New Roman" w:hAnsi="Times New Roman" w:cs="Times New Roman"/>
          <w:szCs w:val="21"/>
        </w:rPr>
        <w:continuationSeparator/>
      </w:r>
      <w:r>
        <w:rPr>
          <w:rFonts w:ascii="Times New Roman" w:hAnsi="Times New Roman" w:cs="Times New Roman" w:hint="eastAsia"/>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12A" w:rsidRDefault="002E612A">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5B7F8C">
      <w:rPr>
        <w:noProof/>
        <w:sz w:val="18"/>
        <w:szCs w:val="18"/>
      </w:rPr>
      <w:t>2</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5B7F8C">
      <w:rPr>
        <w:noProof/>
        <w:sz w:val="18"/>
        <w:szCs w:val="18"/>
      </w:rPr>
      <w:t>2</w:t>
    </w:r>
    <w:r>
      <w:rPr>
        <w:rFonts w:hint="eastAsia"/>
        <w:sz w:val="18"/>
        <w:szCs w:val="18"/>
      </w:rPr>
      <w:fldChar w:fldCharType="end"/>
    </w:r>
    <w:r>
      <w:rPr>
        <w:rFonts w:hint="eastAsia"/>
        <w:sz w:val="18"/>
        <w:szCs w:val="18"/>
      </w:rPr>
      <w:t>页</w:t>
    </w: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4D39" w:rsidRDefault="00B44D39">
      <w:pPr>
        <w:rPr>
          <w:szCs w:val="21"/>
        </w:rPr>
      </w:pPr>
      <w:r>
        <w:rPr>
          <w:rFonts w:ascii="Times New Roman" w:hAnsi="Times New Roman" w:cs="Times New Roman"/>
          <w:szCs w:val="21"/>
        </w:rPr>
        <w:separator/>
      </w:r>
      <w:r>
        <w:rPr>
          <w:rFonts w:ascii="Times New Roman" w:hAnsi="Times New Roman" w:cs="Times New Roman" w:hint="eastAsia"/>
          <w:szCs w:val="21"/>
        </w:rPr>
        <w:t xml:space="preserve"> </w:t>
      </w:r>
    </w:p>
  </w:footnote>
  <w:footnote w:type="continuationSeparator" w:id="0">
    <w:p w:rsidR="00B44D39" w:rsidRDefault="00B44D39">
      <w:pPr>
        <w:rPr>
          <w:rFonts w:hint="eastAsia"/>
          <w:szCs w:val="21"/>
        </w:rPr>
      </w:pPr>
      <w:r>
        <w:rPr>
          <w:rFonts w:ascii="Times New Roman" w:hAnsi="Times New Roman" w:cs="Times New Roman"/>
          <w:szCs w:val="21"/>
        </w:rPr>
        <w:continuationSeparator/>
      </w:r>
      <w:r>
        <w:rPr>
          <w:rFonts w:ascii="Times New Roman" w:hAnsi="Times New Roman" w:cs="Times New Roman" w:hint="eastAsia"/>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12A" w:rsidRDefault="002E612A">
    <w:pPr>
      <w:pStyle w:val="a8"/>
      <w:jc w:val="right"/>
      <w:rPr>
        <w:rFonts w:hint="eastAsia"/>
      </w:rPr>
    </w:pPr>
    <w:r>
      <w:rPr>
        <w:rFonts w:hint="eastAsia"/>
      </w:rPr>
      <w:t>宏利泽利3个月定期开放债券型发起式证券投资基金开放日常申购（赎回、转换、定期定额投资）业务公告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24A63880"/>
    <w:lvl w:ilvl="0">
      <w:start w:val="1"/>
      <w:numFmt w:val="decimal"/>
      <w:pStyle w:val="XBRLTitle1"/>
      <w:suff w:val="space"/>
      <w:lvlText w:val="%1"/>
      <w:lvlJc w:val="left"/>
      <w:pPr>
        <w:ind w:left="425" w:hanging="425"/>
      </w:pPr>
      <w:rPr>
        <w:sz w:val="24"/>
        <w:szCs w:val="24"/>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attachedTemplate r:id="rId1"/>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22928"/>
    <w:rsid w:val="002E612A"/>
    <w:rsid w:val="00412FED"/>
    <w:rsid w:val="005006CA"/>
    <w:rsid w:val="005B7F8C"/>
    <w:rsid w:val="00775C62"/>
    <w:rsid w:val="00932295"/>
    <w:rsid w:val="009E6565"/>
    <w:rsid w:val="00A22928"/>
    <w:rsid w:val="00B44D39"/>
    <w:rsid w:val="00BE45C9"/>
    <w:rsid w:val="00FD7DA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uiPriority="59"/>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rPr>
  </w:style>
  <w:style w:type="paragraph" w:styleId="2">
    <w:name w:val="heading 2"/>
    <w:basedOn w:val="a"/>
    <w:next w:val="a"/>
    <w:link w:val="21"/>
    <w:uiPriority w:val="9"/>
    <w:qFormat/>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rPr>
  </w:style>
  <w:style w:type="paragraph" w:styleId="4">
    <w:name w:val="heading 4"/>
    <w:basedOn w:val="a"/>
    <w:next w:val="a"/>
    <w:link w:val="41"/>
    <w:qFormat/>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1"/>
    <w:uiPriority w:val="9"/>
    <w:semiHidden/>
    <w:unhideWhenUsed/>
    <w:qFormat/>
    <w:pPr>
      <w:keepNext/>
      <w:keepLines/>
      <w:spacing w:before="240" w:after="290" w:line="372" w:lineRule="auto"/>
      <w:outlineLvl w:val="4"/>
    </w:pPr>
    <w:rPr>
      <w:b/>
      <w:bCs/>
      <w:sz w:val="24"/>
      <w:szCs w:val="24"/>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0000FF"/>
      <w:u w:val="single"/>
    </w:rPr>
  </w:style>
  <w:style w:type="character" w:styleId="a4">
    <w:name w:val="访问过的超链接"/>
    <w:uiPriority w:val="99"/>
    <w:semiHidden/>
    <w:unhideWhenUsed/>
    <w:rPr>
      <w:color w:val="800080"/>
      <w:u w:val="single"/>
    </w:rPr>
  </w:style>
  <w:style w:type="character" w:customStyle="1" w:styleId="10">
    <w:name w:val="标题 1 字符"/>
    <w:link w:val="1"/>
    <w:uiPriority w:val="9"/>
    <w:locked/>
    <w:rPr>
      <w:b/>
      <w:bCs/>
      <w:kern w:val="44"/>
      <w:sz w:val="44"/>
      <w:szCs w:val="44"/>
    </w:rPr>
  </w:style>
  <w:style w:type="character" w:customStyle="1" w:styleId="20">
    <w:name w:val="标题 2 字符"/>
    <w:link w:val="2"/>
    <w:uiPriority w:val="9"/>
    <w:locked/>
    <w:rPr>
      <w:rFonts w:ascii="Cambria" w:eastAsia="宋体" w:hAnsi="Cambria" w:cs="Times New Roman" w:hint="default"/>
      <w:b/>
      <w:bCs/>
      <w:kern w:val="2"/>
      <w:sz w:val="32"/>
      <w:szCs w:val="32"/>
    </w:rPr>
  </w:style>
  <w:style w:type="character" w:customStyle="1" w:styleId="30">
    <w:name w:val="标题 3 字符"/>
    <w:link w:val="3"/>
    <w:uiPriority w:val="9"/>
    <w:locked/>
    <w:rPr>
      <w:b/>
      <w:bCs/>
      <w:kern w:val="2"/>
      <w:sz w:val="32"/>
      <w:szCs w:val="32"/>
    </w:rPr>
  </w:style>
  <w:style w:type="character" w:customStyle="1" w:styleId="40">
    <w:name w:val="标题 4 字符"/>
    <w:link w:val="4"/>
    <w:locked/>
    <w:rPr>
      <w:rFonts w:ascii="Cambria" w:eastAsia="宋体" w:hAnsi="Cambria" w:cs="Times New Roman" w:hint="default"/>
      <w:b/>
      <w:bCs/>
      <w:kern w:val="2"/>
      <w:sz w:val="24"/>
      <w:szCs w:val="24"/>
    </w:rPr>
  </w:style>
  <w:style w:type="character" w:customStyle="1" w:styleId="50">
    <w:name w:val="标题 5 字符"/>
    <w:link w:val="5"/>
    <w:uiPriority w:val="9"/>
    <w:semiHidden/>
    <w:rPr>
      <w:rFonts w:cs="宋体"/>
      <w:b/>
      <w:bCs/>
      <w:kern w:val="2"/>
      <w:sz w:val="28"/>
      <w:szCs w:val="28"/>
    </w:rPr>
  </w:style>
  <w:style w:type="character" w:customStyle="1" w:styleId="60">
    <w:name w:val="标题 6 字符"/>
    <w:link w:val="6"/>
    <w:uiPriority w:val="9"/>
    <w:semiHidden/>
    <w:rPr>
      <w:rFonts w:ascii="Cambria" w:eastAsia="宋体" w:hAnsi="Cambria" w:cs="Times New Roman"/>
      <w:b/>
      <w:bCs/>
      <w:kern w:val="2"/>
      <w:sz w:val="24"/>
      <w:szCs w:val="24"/>
    </w:rPr>
  </w:style>
  <w:style w:type="paragraph" w:customStyle="1" w:styleId="msonormal0">
    <w:name w:val="msonormal"/>
    <w:basedOn w:val="a"/>
    <w:pPr>
      <w:widowControl/>
      <w:spacing w:before="100" w:beforeAutospacing="1" w:after="100" w:afterAutospacing="1"/>
      <w:jc w:val="left"/>
    </w:pPr>
    <w:rPr>
      <w:kern w:val="0"/>
      <w:sz w:val="24"/>
    </w:rPr>
  </w:style>
  <w:style w:type="paragraph" w:styleId="a5">
    <w:name w:val="Normal (Web)"/>
    <w:basedOn w:val="a"/>
    <w:pPr>
      <w:widowControl/>
      <w:spacing w:before="100" w:beforeAutospacing="1" w:after="100" w:afterAutospacing="1"/>
      <w:jc w:val="left"/>
    </w:pPr>
    <w:rPr>
      <w:kern w:val="0"/>
      <w:sz w:val="24"/>
    </w:rPr>
  </w:style>
  <w:style w:type="paragraph" w:styleId="TOC1">
    <w:name w:val="TOC 1"/>
    <w:basedOn w:val="a"/>
    <w:next w:val="a"/>
    <w:autoRedefine/>
    <w:uiPriority w:val="39"/>
    <w:semiHidden/>
    <w:unhideWhenUsed/>
    <w:pPr>
      <w:tabs>
        <w:tab w:val="right" w:leader="dot" w:pos="8835"/>
      </w:tabs>
    </w:pPr>
    <w:rPr>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200" w:left="420"/>
    </w:pPr>
  </w:style>
  <w:style w:type="paragraph" w:styleId="a6">
    <w:name w:val="footnote text"/>
    <w:basedOn w:val="a"/>
    <w:link w:val="12"/>
    <w:pPr>
      <w:snapToGrid w:val="0"/>
      <w:jc w:val="left"/>
    </w:pPr>
    <w:rPr>
      <w:sz w:val="18"/>
      <w:szCs w:val="18"/>
    </w:rPr>
  </w:style>
  <w:style w:type="character" w:customStyle="1" w:styleId="a7">
    <w:name w:val="脚注文本 字符"/>
    <w:link w:val="a6"/>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link w:val="a8"/>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link w:val="aa"/>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link w:val="ac"/>
    <w:uiPriority w:val="10"/>
    <w:locked/>
    <w:rPr>
      <w:rFonts w:ascii="Cambria" w:eastAsia="宋体" w:hAnsi="Cambria" w:cs="Times New Roman" w:hint="default"/>
      <w:b/>
      <w:bCs/>
      <w:kern w:val="2"/>
      <w:sz w:val="32"/>
      <w:szCs w:val="32"/>
    </w:rPr>
  </w:style>
  <w:style w:type="paragraph" w:styleId="ae">
    <w:name w:val="Subtitle"/>
    <w:basedOn w:val="2"/>
    <w:next w:val="3"/>
    <w:link w:val="15"/>
    <w:qFormat/>
    <w:pPr>
      <w:spacing w:before="240" w:after="60" w:line="312" w:lineRule="auto"/>
      <w:jc w:val="left"/>
    </w:pPr>
    <w:rPr>
      <w:bCs w:val="0"/>
      <w:kern w:val="24"/>
      <w:sz w:val="24"/>
    </w:rPr>
  </w:style>
  <w:style w:type="character" w:customStyle="1" w:styleId="af">
    <w:name w:val="副标题 字符"/>
    <w:link w:val="ae"/>
    <w:locked/>
    <w:rPr>
      <w:rFonts w:ascii="Calibri" w:eastAsia="宋体" w:hAnsi="Calibri" w:cs="Times New Roman" w:hint="default"/>
      <w:b/>
      <w:bCs/>
      <w:kern w:val="24"/>
      <w:sz w:val="32"/>
      <w:szCs w:val="32"/>
    </w:rPr>
  </w:style>
  <w:style w:type="paragraph" w:styleId="af0">
    <w:name w:val="Date"/>
    <w:basedOn w:val="a"/>
    <w:next w:val="a"/>
    <w:link w:val="16"/>
    <w:rPr>
      <w:sz w:val="32"/>
      <w:lang/>
    </w:rPr>
  </w:style>
  <w:style w:type="character" w:customStyle="1" w:styleId="af1">
    <w:name w:val="日期 字符"/>
    <w:link w:val="af0"/>
    <w:locked/>
    <w:rPr>
      <w:kern w:val="2"/>
      <w:sz w:val="21"/>
    </w:rPr>
  </w:style>
  <w:style w:type="paragraph" w:styleId="af2">
    <w:name w:val="Document Map"/>
    <w:basedOn w:val="a"/>
    <w:link w:val="17"/>
    <w:pPr>
      <w:shd w:val="clear" w:color="auto" w:fill="000080"/>
    </w:pPr>
  </w:style>
  <w:style w:type="character" w:customStyle="1" w:styleId="af3">
    <w:name w:val="文档结构图 字符"/>
    <w:link w:val="af2"/>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link w:val="af4"/>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XBRLTitle6">
    <w:name w:val="XBRLTitle6"/>
    <w:basedOn w:val="ae"/>
    <w:next w:val="4"/>
    <w:qFormat/>
    <w:pPr>
      <w:numPr>
        <w:ilvl w:val="5"/>
        <w:numId w:val="2"/>
      </w:numPr>
      <w:spacing w:beforeLines="50" w:after="0" w:line="240" w:lineRule="auto"/>
      <w:ind w:left="2042"/>
      <w:outlineLvl w:val="9"/>
    </w:pPr>
    <w:rPr>
      <w:bCs/>
    </w:rPr>
  </w:style>
  <w:style w:type="paragraph" w:customStyle="1" w:styleId="af6">
    <w:name w:val="次标题"/>
    <w:basedOn w:val="3"/>
    <w:next w:val="a"/>
    <w:pPr>
      <w:spacing w:before="120" w:after="120"/>
      <w:jc w:val="left"/>
    </w:pPr>
    <w:rPr>
      <w:sz w:val="21"/>
    </w:rPr>
  </w:style>
  <w:style w:type="paragraph" w:customStyle="1" w:styleId="XBRL6">
    <w:name w:val="XBRL标题6"/>
    <w:basedOn w:val="ae"/>
    <w:next w:val="4"/>
    <w:qFormat/>
    <w:pPr>
      <w:spacing w:beforeLines="50" w:after="0" w:line="240" w:lineRule="auto"/>
      <w:outlineLvl w:val="9"/>
    </w:pPr>
    <w:rPr>
      <w:bCs/>
    </w:rPr>
  </w:style>
  <w:style w:type="paragraph" w:customStyle="1" w:styleId="XBRL2">
    <w:name w:val="XBRL标题2"/>
    <w:basedOn w:val="ae"/>
    <w:next w:val="4"/>
    <w:qFormat/>
    <w:pPr>
      <w:spacing w:beforeLines="50" w:after="0" w:line="240" w:lineRule="auto"/>
    </w:pPr>
    <w:rPr>
      <w:bCs/>
    </w:rPr>
  </w:style>
  <w:style w:type="paragraph" w:customStyle="1" w:styleId="XBRL3">
    <w:name w:val="XBRL标题3"/>
    <w:basedOn w:val="ae"/>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after="0" w:line="240" w:lineRule="auto"/>
      <w:ind w:left="850"/>
      <w:jc w:val="left"/>
    </w:pPr>
    <w:rPr>
      <w:rFonts w:hAnsi="Cambria"/>
      <w:sz w:val="24"/>
      <w:szCs w:val="32"/>
    </w:rPr>
  </w:style>
  <w:style w:type="paragraph" w:customStyle="1" w:styleId="XBRLTitle2">
    <w:name w:val="XBRLTitle2"/>
    <w:basedOn w:val="ae"/>
    <w:next w:val="4"/>
    <w:qFormat/>
    <w:pPr>
      <w:keepNext w:val="0"/>
      <w:keepLines w:val="0"/>
      <w:numPr>
        <w:ilvl w:val="1"/>
        <w:numId w:val="2"/>
      </w:numPr>
      <w:spacing w:beforeLines="50" w:after="0" w:line="240" w:lineRule="auto"/>
      <w:ind w:left="908"/>
    </w:pPr>
    <w:rPr>
      <w:rFonts w:ascii="宋体"/>
      <w:bCs/>
    </w:rPr>
  </w:style>
  <w:style w:type="paragraph" w:customStyle="1" w:styleId="XBRLTitle5">
    <w:name w:val="XBRLTitle5"/>
    <w:basedOn w:val="ae"/>
    <w:next w:val="4"/>
    <w:qFormat/>
    <w:pPr>
      <w:numPr>
        <w:ilvl w:val="4"/>
        <w:numId w:val="2"/>
      </w:numPr>
      <w:spacing w:beforeLines="5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e"/>
    <w:next w:val="4"/>
    <w:qFormat/>
    <w:pPr>
      <w:spacing w:beforeLines="50" w:after="0" w:line="240" w:lineRule="auto"/>
      <w:outlineLvl w:val="9"/>
    </w:pPr>
    <w:rPr>
      <w:bCs/>
    </w:rPr>
  </w:style>
  <w:style w:type="paragraph" w:customStyle="1" w:styleId="XBRL4">
    <w:name w:val="XBRL标题4"/>
    <w:basedOn w:val="ae"/>
    <w:next w:val="4"/>
    <w:qFormat/>
    <w:pPr>
      <w:spacing w:beforeLines="50" w:after="0" w:line="240" w:lineRule="auto"/>
      <w:outlineLvl w:val="9"/>
    </w:pPr>
    <w:rPr>
      <w:bCs/>
    </w:rPr>
  </w:style>
  <w:style w:type="paragraph" w:customStyle="1" w:styleId="XBRLTitle4">
    <w:name w:val="XBRLTitle4"/>
    <w:basedOn w:val="ae"/>
    <w:next w:val="4"/>
    <w:qFormat/>
    <w:pPr>
      <w:numPr>
        <w:ilvl w:val="3"/>
        <w:numId w:val="2"/>
      </w:numPr>
      <w:spacing w:beforeLines="5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styleId="af7">
    <w:name w:val="footnote reference"/>
    <w:rPr>
      <w:vertAlign w:val="superscript"/>
    </w:rPr>
  </w:style>
  <w:style w:type="character" w:customStyle="1" w:styleId="1Char">
    <w:name w:val="标题 1 Char"/>
    <w:link w:val="1"/>
    <w:uiPriority w:val="9"/>
    <w:locked/>
    <w:rPr>
      <w:b/>
      <w:bCs/>
      <w:kern w:val="44"/>
      <w:sz w:val="44"/>
      <w:szCs w:val="44"/>
    </w:rPr>
  </w:style>
  <w:style w:type="character" w:customStyle="1" w:styleId="2Char">
    <w:name w:val="标题 2 Char"/>
    <w:link w:val="2"/>
    <w:uiPriority w:val="9"/>
    <w:locked/>
    <w:rPr>
      <w:rFonts w:ascii="Cambria" w:eastAsia="宋体" w:hAnsi="Cambria" w:cs="Times New Roman" w:hint="default"/>
      <w:b/>
      <w:bCs/>
      <w:kern w:val="2"/>
      <w:sz w:val="32"/>
      <w:szCs w:val="32"/>
    </w:rPr>
  </w:style>
  <w:style w:type="character" w:customStyle="1" w:styleId="3Char">
    <w:name w:val="标题 3 Char"/>
    <w:link w:val="3"/>
    <w:uiPriority w:val="9"/>
    <w:locked/>
    <w:rPr>
      <w:b/>
      <w:bCs/>
      <w:kern w:val="2"/>
      <w:sz w:val="32"/>
      <w:szCs w:val="32"/>
    </w:rPr>
  </w:style>
  <w:style w:type="character" w:customStyle="1" w:styleId="4Char">
    <w:name w:val="标题 4 Char"/>
    <w:link w:val="4"/>
    <w:locked/>
    <w:rPr>
      <w:rFonts w:ascii="Cambria" w:eastAsia="宋体" w:hAnsi="Cambria" w:cs="Times New Roman" w:hint="default"/>
      <w:b/>
      <w:bCs/>
      <w:kern w:val="2"/>
      <w:sz w:val="24"/>
      <w:szCs w:val="24"/>
    </w:rPr>
  </w:style>
  <w:style w:type="character" w:customStyle="1" w:styleId="5Char">
    <w:name w:val="标题 5 Char"/>
    <w:link w:val="5"/>
    <w:uiPriority w:val="9"/>
    <w:semiHidden/>
    <w:locked/>
    <w:rPr>
      <w:b/>
      <w:bCs/>
      <w:kern w:val="2"/>
      <w:sz w:val="24"/>
      <w:szCs w:val="24"/>
    </w:rPr>
  </w:style>
  <w:style w:type="character" w:customStyle="1" w:styleId="6Char">
    <w:name w:val="标题 6 Char"/>
    <w:link w:val="6"/>
    <w:uiPriority w:val="9"/>
    <w:semiHidden/>
    <w:locked/>
    <w:rPr>
      <w:rFonts w:ascii="Cambria" w:eastAsia="宋体" w:hAnsi="Cambria" w:cs="Times New Roman" w:hint="default"/>
      <w:b/>
      <w:bCs/>
      <w:kern w:val="2"/>
      <w:sz w:val="24"/>
      <w:szCs w:val="24"/>
    </w:rPr>
  </w:style>
  <w:style w:type="character" w:customStyle="1" w:styleId="Char0">
    <w:name w:val="脚注文本 Char"/>
    <w:link w:val="a6"/>
    <w:locked/>
    <w:rPr>
      <w:kern w:val="2"/>
      <w:sz w:val="18"/>
      <w:szCs w:val="18"/>
    </w:rPr>
  </w:style>
  <w:style w:type="character" w:customStyle="1" w:styleId="Char1">
    <w:name w:val="页眉 Char"/>
    <w:link w:val="a8"/>
    <w:uiPriority w:val="99"/>
    <w:locked/>
    <w:rPr>
      <w:kern w:val="2"/>
      <w:sz w:val="18"/>
      <w:szCs w:val="18"/>
    </w:rPr>
  </w:style>
  <w:style w:type="character" w:customStyle="1" w:styleId="Char2">
    <w:name w:val="页脚 Char"/>
    <w:link w:val="aa"/>
    <w:uiPriority w:val="99"/>
    <w:locked/>
    <w:rPr>
      <w:kern w:val="2"/>
      <w:sz w:val="18"/>
      <w:szCs w:val="18"/>
    </w:rPr>
  </w:style>
  <w:style w:type="character" w:customStyle="1" w:styleId="Char3">
    <w:name w:val="标题 Char"/>
    <w:link w:val="ac"/>
    <w:uiPriority w:val="10"/>
    <w:locked/>
    <w:rPr>
      <w:rFonts w:ascii="Cambria" w:hAnsi="Cambria" w:cs="Times New Roman" w:hint="default"/>
      <w:b/>
      <w:bCs/>
      <w:kern w:val="2"/>
      <w:sz w:val="32"/>
      <w:szCs w:val="32"/>
    </w:rPr>
  </w:style>
  <w:style w:type="character" w:customStyle="1" w:styleId="Char4">
    <w:name w:val="副标题 Char"/>
    <w:link w:val="ae"/>
    <w:locked/>
    <w:rPr>
      <w:rFonts w:ascii="Cambria" w:hAnsi="Cambria" w:cs="Times New Roman" w:hint="default"/>
      <w:b/>
      <w:bCs/>
      <w:kern w:val="24"/>
      <w:sz w:val="32"/>
      <w:szCs w:val="32"/>
    </w:rPr>
  </w:style>
  <w:style w:type="character" w:customStyle="1" w:styleId="Char5">
    <w:name w:val="日期 Char"/>
    <w:link w:val="af0"/>
    <w:locked/>
    <w:rPr>
      <w:kern w:val="2"/>
      <w:sz w:val="21"/>
    </w:rPr>
  </w:style>
  <w:style w:type="character" w:customStyle="1" w:styleId="Char6">
    <w:name w:val="文档结构图 Char"/>
    <w:link w:val="af2"/>
    <w:locked/>
    <w:rPr>
      <w:rFonts w:ascii="宋体" w:eastAsia="宋体" w:hAnsi="宋体" w:hint="eastAsia"/>
      <w:kern w:val="2"/>
      <w:sz w:val="18"/>
      <w:szCs w:val="18"/>
    </w:rPr>
  </w:style>
  <w:style w:type="character" w:customStyle="1" w:styleId="Char7">
    <w:name w:val="批注框文本 Char"/>
    <w:link w:val="af4"/>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宋体"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宋体" w:hint="default"/>
      <w:b/>
      <w:bCs/>
      <w:sz w:val="24"/>
      <w:szCs w:val="24"/>
    </w:rPr>
  </w:style>
  <w:style w:type="character" w:customStyle="1" w:styleId="12">
    <w:name w:val="脚注文本 字符1"/>
    <w:link w:val="a6"/>
    <w:locked/>
    <w:rPr>
      <w:kern w:val="2"/>
      <w:sz w:val="18"/>
      <w:szCs w:val="18"/>
    </w:rPr>
  </w:style>
  <w:style w:type="character" w:customStyle="1" w:styleId="22">
    <w:name w:val="页眉 字符2"/>
    <w:link w:val="a8"/>
    <w:locked/>
    <w:rPr>
      <w:kern w:val="2"/>
      <w:sz w:val="18"/>
      <w:szCs w:val="18"/>
    </w:rPr>
  </w:style>
  <w:style w:type="character" w:customStyle="1" w:styleId="13">
    <w:name w:val="页脚 字符1"/>
    <w:link w:val="aa"/>
    <w:uiPriority w:val="99"/>
    <w:locked/>
    <w:rPr>
      <w:kern w:val="2"/>
      <w:sz w:val="18"/>
      <w:szCs w:val="18"/>
    </w:rPr>
  </w:style>
  <w:style w:type="character" w:customStyle="1" w:styleId="14">
    <w:name w:val="标题 字符1"/>
    <w:link w:val="ac"/>
    <w:uiPriority w:val="10"/>
    <w:locked/>
    <w:rPr>
      <w:rFonts w:ascii="Cambria" w:hAnsi="Cambria" w:cs="宋体" w:hint="default"/>
      <w:b/>
      <w:bCs/>
      <w:sz w:val="32"/>
      <w:szCs w:val="32"/>
    </w:rPr>
  </w:style>
  <w:style w:type="character" w:customStyle="1" w:styleId="15">
    <w:name w:val="副标题 字符1"/>
    <w:link w:val="ae"/>
    <w:locked/>
    <w:rPr>
      <w:rFonts w:ascii="Cambria" w:eastAsia="宋体" w:hAnsi="Cambria" w:cs="宋体" w:hint="default"/>
      <w:b/>
      <w:bCs w:val="0"/>
      <w:kern w:val="24"/>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link w:val="af2"/>
    <w:locked/>
    <w:rPr>
      <w:rFonts w:ascii="宋体" w:eastAsia="宋体" w:hAnsi="宋体" w:hint="eastAsia"/>
      <w:kern w:val="2"/>
      <w:sz w:val="18"/>
      <w:szCs w:val="18"/>
    </w:rPr>
  </w:style>
  <w:style w:type="character" w:customStyle="1" w:styleId="18">
    <w:name w:val="批注框文本 字符1"/>
    <w:link w:val="af4"/>
    <w:uiPriority w:val="99"/>
    <w:semiHidden/>
    <w:locked/>
    <w:rPr>
      <w:kern w:val="2"/>
      <w:sz w:val="18"/>
      <w:szCs w:val="18"/>
    </w:rPr>
  </w:style>
  <w:style w:type="character" w:customStyle="1" w:styleId="51">
    <w:name w:val="标题 5 字符1"/>
    <w:link w:val="5"/>
    <w:uiPriority w:val="9"/>
    <w:semiHidden/>
    <w:locked/>
    <w:rPr>
      <w:b/>
      <w:bCs/>
      <w:kern w:val="2"/>
      <w:sz w:val="24"/>
      <w:szCs w:val="24"/>
    </w:rPr>
  </w:style>
  <w:style w:type="character" w:customStyle="1" w:styleId="61">
    <w:name w:val="标题 6 字符1"/>
    <w:link w:val="6"/>
    <w:uiPriority w:val="9"/>
    <w:semiHidden/>
    <w:locked/>
    <w:rPr>
      <w:rFonts w:ascii="Cambria" w:eastAsia="宋体" w:hAnsi="Cambria" w:cs="Times New Roman" w:hint="default"/>
      <w:b/>
      <w:bCs/>
      <w:kern w:val="2"/>
      <w:sz w:val="24"/>
      <w:szCs w:val="24"/>
    </w:rPr>
  </w:style>
  <w:style w:type="character" w:customStyle="1" w:styleId="19">
    <w:name w:val="页眉 字符1"/>
    <w:locked/>
    <w:rPr>
      <w:kern w:val="2"/>
      <w:sz w:val="18"/>
      <w:szCs w:val="18"/>
    </w:rPr>
  </w:style>
  <w:style w:type="table" w:styleId="af8">
    <w:name w:val="Table Grid"/>
    <w:basedOn w:val="a1"/>
    <w:uiPriority w:val="59"/>
    <w:semiHidden/>
    <w:unhideWhenUs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emovednode">
    <w:name w:val="removednode"/>
    <w:basedOn w:val="a"/>
    <w:pPr>
      <w:widowControl/>
      <w:spacing w:before="100" w:beforeAutospacing="1" w:after="100" w:afterAutospacing="1"/>
      <w:jc w:val="left"/>
    </w:pPr>
    <w:rPr>
      <w:kern w:val="0"/>
      <w:sz w:val="24"/>
    </w:rPr>
  </w:style>
  <w:style w:type="character" w:customStyle="1" w:styleId="Char10">
    <w:name w:val="页眉 Char1"/>
    <w:locked/>
    <w:rPr>
      <w:kern w:val="2"/>
      <w:sz w:val="18"/>
      <w:szCs w:val="18"/>
    </w:rPr>
  </w:style>
</w:styles>
</file>

<file path=word/webSettings.xml><?xml version="1.0" encoding="utf-8"?>
<w:webSettings xmlns:r="http://schemas.openxmlformats.org/officeDocument/2006/relationships" xmlns:w="http://schemas.openxmlformats.org/wordprocessingml/2006/main">
  <w:divs>
    <w:div w:id="79520794">
      <w:marLeft w:val="0"/>
      <w:marRight w:val="0"/>
      <w:marTop w:val="0"/>
      <w:marBottom w:val="0"/>
      <w:divBdr>
        <w:top w:val="none" w:sz="0" w:space="0" w:color="auto"/>
        <w:left w:val="none" w:sz="0" w:space="0" w:color="auto"/>
        <w:bottom w:val="none" w:sz="0" w:space="0" w:color="auto"/>
        <w:right w:val="none" w:sz="0" w:space="0" w:color="auto"/>
      </w:divBdr>
    </w:div>
    <w:div w:id="570118003">
      <w:marLeft w:val="0"/>
      <w:marRight w:val="0"/>
      <w:marTop w:val="0"/>
      <w:marBottom w:val="0"/>
      <w:divBdr>
        <w:top w:val="none" w:sz="0" w:space="0" w:color="auto"/>
        <w:left w:val="none" w:sz="0" w:space="0" w:color="auto"/>
        <w:bottom w:val="none" w:sz="0" w:space="0" w:color="auto"/>
        <w:right w:val="none" w:sz="0" w:space="0" w:color="auto"/>
      </w:divBdr>
    </w:div>
    <w:div w:id="919606239">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B2902-345E-4786-9CC2-D158284A0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527</Words>
  <Characters>3004</Characters>
  <Application>Microsoft Office Word</Application>
  <DocSecurity>4</DocSecurity>
  <Lines>25</Lines>
  <Paragraphs>7</Paragraphs>
  <ScaleCrop>false</ScaleCrop>
  <Company/>
  <LinksUpToDate>false</LinksUpToDate>
  <CharactersWithSpaces>3524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cp:lastPrinted>2025-10-27T10:01:00Z</cp:lastPrinted>
  <dcterms:created xsi:type="dcterms:W3CDTF">2025-10-27T16:04:00Z</dcterms:created>
  <dcterms:modified xsi:type="dcterms:W3CDTF">2025-10-27T16:04:00Z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