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BAE" w:rsidRDefault="00B60BAE">
      <w:pPr>
        <w:pStyle w:val="biaogecenter"/>
        <w:rPr>
          <w:sz w:val="30"/>
          <w:szCs w:val="30"/>
        </w:rPr>
      </w:pPr>
      <w:r>
        <w:rPr>
          <w:rFonts w:hint="eastAsia"/>
          <w:b/>
          <w:bCs/>
          <w:sz w:val="30"/>
          <w:szCs w:val="30"/>
        </w:rPr>
        <w:t>富安达富利纯债债券型证券投资基金暂停大额申购（转换转入、定期定额投资）的公告</w:t>
      </w:r>
    </w:p>
    <w:p w:rsidR="00B60BAE" w:rsidRDefault="00B60BAE">
      <w:pPr>
        <w:pStyle w:val="biaogecenter"/>
        <w:rPr>
          <w:rFonts w:hint="eastAsia"/>
        </w:rPr>
      </w:pPr>
    </w:p>
    <w:p w:rsidR="00B60BAE" w:rsidRDefault="00B60BAE">
      <w:pPr>
        <w:pStyle w:val="biaogecenter"/>
        <w:rPr>
          <w:rFonts w:hint="eastAsia"/>
        </w:rPr>
      </w:pPr>
      <w:r>
        <w:rPr>
          <w:rFonts w:hint="eastAsia"/>
        </w:rPr>
        <w:t>公告送出日期：2025年10月28日</w:t>
      </w:r>
    </w:p>
    <w:p w:rsidR="00B60BAE" w:rsidRDefault="00B60BAE">
      <w:pPr>
        <w:pStyle w:val="dazhangjie"/>
        <w:divId w:val="848451889"/>
        <w:rPr>
          <w:rFonts w:hint="eastAsia"/>
        </w:rPr>
      </w:pPr>
      <w:r>
        <w:rPr>
          <w:rFonts w:hint="eastAsia"/>
          <w:b/>
          <w:bCs/>
        </w:rPr>
        <w:t>1、 公告基本信息</w:t>
      </w:r>
    </w:p>
    <w:p w:rsidR="00B60BAE" w:rsidRDefault="00B60BAE">
      <w:pPr>
        <w:widowControl/>
        <w:jc w:val="left"/>
        <w:divId w:val="848451889"/>
        <w:rPr>
          <w:rFonts w:ascii="宋体" w:hAnsi="宋体" w:cs="宋体" w:hint="eastAsia"/>
          <w:kern w:val="0"/>
          <w:sz w:val="24"/>
          <w:szCs w:val="24"/>
        </w:rPr>
      </w:pPr>
    </w:p>
    <w:tbl>
      <w:tblPr>
        <w:tblW w:w="9045" w:type="dxa"/>
        <w:tblInd w:w="108" w:type="dxa"/>
        <w:tblLook w:val="04A0"/>
      </w:tblPr>
      <w:tblGrid>
        <w:gridCol w:w="1300"/>
        <w:gridCol w:w="2317"/>
        <w:gridCol w:w="2714"/>
        <w:gridCol w:w="2714"/>
      </w:tblGrid>
      <w:tr w:rsidR="00B60BAE" w:rsidRPr="00C15F8B">
        <w:trPr>
          <w:divId w:val="848451889"/>
        </w:trPr>
        <w:tc>
          <w:tcPr>
            <w:tcW w:w="4009" w:type="dxa"/>
            <w:gridSpan w:val="2"/>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t>基金名称</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t>富安达富利纯债债券型证券投资基金</w:t>
            </w:r>
          </w:p>
        </w:tc>
      </w:tr>
      <w:tr w:rsidR="00B60BAE" w:rsidRPr="00C15F8B">
        <w:trPr>
          <w:divId w:val="848451889"/>
        </w:trPr>
        <w:tc>
          <w:tcPr>
            <w:tcW w:w="4009" w:type="dxa"/>
            <w:gridSpan w:val="2"/>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t>基金简称</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t>富安达富利纯债债券</w:t>
            </w:r>
          </w:p>
        </w:tc>
      </w:tr>
      <w:tr w:rsidR="00B60BAE" w:rsidRPr="00C15F8B">
        <w:trPr>
          <w:divId w:val="848451889"/>
        </w:trPr>
        <w:tc>
          <w:tcPr>
            <w:tcW w:w="4009" w:type="dxa"/>
            <w:gridSpan w:val="2"/>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t>基金主代码</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t>007520</w:t>
            </w:r>
          </w:p>
        </w:tc>
      </w:tr>
      <w:tr w:rsidR="00B60BAE" w:rsidRPr="00C15F8B">
        <w:trPr>
          <w:divId w:val="848451889"/>
        </w:trPr>
        <w:tc>
          <w:tcPr>
            <w:tcW w:w="4009" w:type="dxa"/>
            <w:gridSpan w:val="2"/>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t>基金管理人名称</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t>富安达基金管理有限公司</w:t>
            </w:r>
          </w:p>
        </w:tc>
      </w:tr>
      <w:tr w:rsidR="00B60BAE" w:rsidRPr="00C15F8B">
        <w:trPr>
          <w:divId w:val="848451889"/>
        </w:trPr>
        <w:tc>
          <w:tcPr>
            <w:tcW w:w="4009" w:type="dxa"/>
            <w:gridSpan w:val="2"/>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t>公告依据</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t>根据《公开募集证券投资基金信息披露管理办法》等法律法规和《富安达富利纯债债券型证券投资基金基金合同》约定。</w:t>
            </w:r>
          </w:p>
        </w:tc>
      </w:tr>
      <w:tr w:rsidR="00B60BAE" w:rsidRPr="00C15F8B">
        <w:trPr>
          <w:divId w:val="848451889"/>
        </w:trPr>
        <w:tc>
          <w:tcPr>
            <w:tcW w:w="2250" w:type="dxa"/>
            <w:vMerge w:val="restart"/>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rPr>
                <w:rFonts w:hint="eastAsia"/>
              </w:rPr>
            </w:pPr>
            <w:r>
              <w:rPr>
                <w:rFonts w:hint="eastAsia"/>
              </w:rPr>
              <w:t>暂停相关业务的起始日、</w:t>
            </w:r>
          </w:p>
          <w:p w:rsidR="00B60BAE" w:rsidRDefault="00B60BAE">
            <w:pPr>
              <w:pStyle w:val="biaogeleft"/>
              <w:wordWrap w:val="0"/>
            </w:pPr>
            <w:r>
              <w:rPr>
                <w:rFonts w:hint="eastAsia"/>
              </w:rPr>
              <w:t>金额及原因说明</w:t>
            </w:r>
          </w:p>
        </w:tc>
        <w:tc>
          <w:tcPr>
            <w:tcW w:w="4009" w:type="dxa"/>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t>暂停大额申购起始日</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t>2025-10-29</w:t>
            </w:r>
          </w:p>
        </w:tc>
      </w:tr>
      <w:tr w:rsidR="00B60BAE" w:rsidRPr="00C15F8B">
        <w:trPr>
          <w:divId w:val="84845188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60BAE" w:rsidRDefault="00B60BAE">
            <w:pPr>
              <w:widowControl/>
              <w:jc w:val="left"/>
              <w:rPr>
                <w:rFonts w:ascii="宋体" w:hAnsi="宋体" w:cs="宋体"/>
                <w:kern w:val="0"/>
                <w:sz w:val="24"/>
                <w:szCs w:val="24"/>
              </w:rPr>
            </w:pPr>
          </w:p>
        </w:tc>
        <w:tc>
          <w:tcPr>
            <w:tcW w:w="4009" w:type="dxa"/>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t>暂停大额转换转入起始日</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t>2025-10-29</w:t>
            </w:r>
          </w:p>
        </w:tc>
      </w:tr>
      <w:tr w:rsidR="00B60BAE" w:rsidRPr="00C15F8B">
        <w:trPr>
          <w:divId w:val="84845188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60BAE" w:rsidRDefault="00B60BAE">
            <w:pPr>
              <w:widowControl/>
              <w:jc w:val="left"/>
              <w:rPr>
                <w:rFonts w:ascii="宋体" w:hAnsi="宋体" w:cs="宋体"/>
                <w:kern w:val="0"/>
                <w:sz w:val="24"/>
                <w:szCs w:val="24"/>
              </w:rPr>
            </w:pPr>
          </w:p>
        </w:tc>
        <w:tc>
          <w:tcPr>
            <w:tcW w:w="4009" w:type="dxa"/>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t>暂停定期定额投资起始日</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t>2025-10-29</w:t>
            </w:r>
          </w:p>
        </w:tc>
      </w:tr>
      <w:tr w:rsidR="00B60BAE" w:rsidRPr="00C15F8B">
        <w:trPr>
          <w:divId w:val="84845188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60BAE" w:rsidRDefault="00B60BAE">
            <w:pPr>
              <w:widowControl/>
              <w:jc w:val="left"/>
              <w:rPr>
                <w:rFonts w:ascii="宋体" w:hAnsi="宋体" w:cs="宋体"/>
                <w:kern w:val="0"/>
                <w:sz w:val="24"/>
                <w:szCs w:val="24"/>
              </w:rPr>
            </w:pPr>
          </w:p>
        </w:tc>
        <w:tc>
          <w:tcPr>
            <w:tcW w:w="4009" w:type="dxa"/>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t>限制申购金额（单位:人民币元）</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t>1,000.00</w:t>
            </w:r>
          </w:p>
        </w:tc>
      </w:tr>
      <w:tr w:rsidR="00B60BAE" w:rsidRPr="00C15F8B">
        <w:trPr>
          <w:divId w:val="84845188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60BAE" w:rsidRDefault="00B60BAE">
            <w:pPr>
              <w:widowControl/>
              <w:jc w:val="left"/>
              <w:rPr>
                <w:rFonts w:ascii="宋体" w:hAnsi="宋体" w:cs="宋体"/>
                <w:kern w:val="0"/>
                <w:sz w:val="24"/>
                <w:szCs w:val="24"/>
              </w:rPr>
            </w:pPr>
          </w:p>
        </w:tc>
        <w:tc>
          <w:tcPr>
            <w:tcW w:w="4009" w:type="dxa"/>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t>限制转换转入金额（单位:人民币元）</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t>1,000.00</w:t>
            </w:r>
          </w:p>
        </w:tc>
      </w:tr>
      <w:tr w:rsidR="00B60BAE" w:rsidRPr="00C15F8B">
        <w:trPr>
          <w:divId w:val="84845188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60BAE" w:rsidRDefault="00B60BAE">
            <w:pPr>
              <w:widowControl/>
              <w:jc w:val="left"/>
              <w:rPr>
                <w:rFonts w:ascii="宋体" w:hAnsi="宋体" w:cs="宋体"/>
                <w:kern w:val="0"/>
                <w:sz w:val="24"/>
                <w:szCs w:val="24"/>
              </w:rPr>
            </w:pPr>
          </w:p>
        </w:tc>
        <w:tc>
          <w:tcPr>
            <w:tcW w:w="4009" w:type="dxa"/>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t>限制定期定额投资金额（单位：人民币元）</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t>1,000.00</w:t>
            </w:r>
          </w:p>
        </w:tc>
      </w:tr>
      <w:tr w:rsidR="00B60BAE" w:rsidRPr="00C15F8B">
        <w:trPr>
          <w:divId w:val="84845188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60BAE" w:rsidRDefault="00B60BAE">
            <w:pPr>
              <w:widowControl/>
              <w:jc w:val="left"/>
              <w:rPr>
                <w:rFonts w:ascii="宋体" w:hAnsi="宋体" w:cs="宋体"/>
                <w:kern w:val="0"/>
                <w:sz w:val="24"/>
                <w:szCs w:val="24"/>
              </w:rPr>
            </w:pPr>
          </w:p>
        </w:tc>
        <w:tc>
          <w:tcPr>
            <w:tcW w:w="4009" w:type="dxa"/>
            <w:tcBorders>
              <w:top w:val="single" w:sz="8" w:space="0" w:color="000000"/>
              <w:left w:val="single" w:sz="8" w:space="0" w:color="000000"/>
              <w:bottom w:val="single" w:sz="8" w:space="0" w:color="000000"/>
              <w:right w:val="single" w:sz="8" w:space="0" w:color="000000"/>
            </w:tcBorders>
            <w:vAlign w:val="center"/>
            <w:hideMark/>
          </w:tcPr>
          <w:p w:rsidR="00B60BAE" w:rsidRDefault="00086AD7">
            <w:pPr>
              <w:pStyle w:val="biaogeleft"/>
              <w:wordWrap w:val="0"/>
            </w:pPr>
            <w:r>
              <w:rPr>
                <w:rFonts w:hint="eastAsia"/>
              </w:rPr>
              <w:t>暂停（大额）申购（转换转入、</w:t>
            </w:r>
            <w:r w:rsidR="00B60BAE">
              <w:rPr>
                <w:rFonts w:hint="eastAsia"/>
              </w:rPr>
              <w:t>定期定额投资）的原因说明</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t>为保护基金份额持有人的利益，根据《富安达富利纯债债券型证券投资基金基金合同》规定。</w:t>
            </w:r>
          </w:p>
        </w:tc>
      </w:tr>
      <w:tr w:rsidR="00B60BAE" w:rsidRPr="00C15F8B">
        <w:trPr>
          <w:divId w:val="848451889"/>
        </w:trPr>
        <w:tc>
          <w:tcPr>
            <w:tcW w:w="2000" w:type="pct"/>
            <w:gridSpan w:val="2"/>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t>下属分级基金的基金简称</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t>富安达富利纯债债券A</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t>富安达富利纯债债券C</w:t>
            </w:r>
          </w:p>
        </w:tc>
      </w:tr>
      <w:tr w:rsidR="00B60BAE" w:rsidRPr="00C15F8B">
        <w:trPr>
          <w:divId w:val="848451889"/>
        </w:trPr>
        <w:tc>
          <w:tcPr>
            <w:tcW w:w="2000" w:type="pct"/>
            <w:gridSpan w:val="2"/>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t>下属分级基金的交易代码</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t>007520</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t>012603</w:t>
            </w:r>
          </w:p>
        </w:tc>
      </w:tr>
      <w:tr w:rsidR="00B60BAE" w:rsidRPr="00C15F8B">
        <w:trPr>
          <w:divId w:val="848451889"/>
        </w:trPr>
        <w:tc>
          <w:tcPr>
            <w:tcW w:w="2000" w:type="pct"/>
            <w:gridSpan w:val="2"/>
            <w:tcBorders>
              <w:top w:val="single" w:sz="8" w:space="0" w:color="000000"/>
              <w:left w:val="single" w:sz="8" w:space="0" w:color="000000"/>
              <w:bottom w:val="single" w:sz="8" w:space="0" w:color="000000"/>
              <w:right w:val="single" w:sz="8" w:space="0" w:color="000000"/>
            </w:tcBorders>
            <w:vAlign w:val="center"/>
            <w:hideMark/>
          </w:tcPr>
          <w:p w:rsidR="00B60BAE" w:rsidRDefault="00B60BAE" w:rsidP="00086AD7">
            <w:pPr>
              <w:pStyle w:val="biaogeleft"/>
              <w:wordWrap w:val="0"/>
            </w:pPr>
            <w:r>
              <w:rPr>
                <w:rFonts w:hint="eastAsia"/>
              </w:rPr>
              <w:t>该分级基金是否暂停（大额）申购（转换转入、定期定额投资）</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t>是</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t>是</w:t>
            </w:r>
          </w:p>
        </w:tc>
      </w:tr>
      <w:tr w:rsidR="00B60BAE" w:rsidRPr="00C15F8B">
        <w:trPr>
          <w:divId w:val="848451889"/>
        </w:trPr>
        <w:tc>
          <w:tcPr>
            <w:tcW w:w="2000" w:type="pct"/>
            <w:gridSpan w:val="2"/>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t>下属分级基金的限制申购金额（单位:人民币元）</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t>1,000.00</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t>1,000.00</w:t>
            </w:r>
          </w:p>
        </w:tc>
      </w:tr>
      <w:tr w:rsidR="00B60BAE" w:rsidRPr="00C15F8B">
        <w:trPr>
          <w:divId w:val="848451889"/>
        </w:trPr>
        <w:tc>
          <w:tcPr>
            <w:tcW w:w="2000" w:type="pct"/>
            <w:gridSpan w:val="2"/>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t>下属分级基金的限制转换转入金</w:t>
            </w:r>
            <w:r>
              <w:rPr>
                <w:rFonts w:hint="eastAsia"/>
              </w:rPr>
              <w:lastRenderedPageBreak/>
              <w:t>额（单位:人民币元）</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lastRenderedPageBreak/>
              <w:t>1,000.00</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t>1,000.00</w:t>
            </w:r>
          </w:p>
        </w:tc>
      </w:tr>
      <w:tr w:rsidR="00B60BAE" w:rsidRPr="00C15F8B">
        <w:trPr>
          <w:divId w:val="848451889"/>
        </w:trPr>
        <w:tc>
          <w:tcPr>
            <w:tcW w:w="2000" w:type="pct"/>
            <w:gridSpan w:val="2"/>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lastRenderedPageBreak/>
              <w:t>下属分级基金的限制定期定额投资金额（单位：人民币元）</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t>1,000.00</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B60BAE" w:rsidRDefault="00B60BAE">
            <w:pPr>
              <w:pStyle w:val="biaogeleft"/>
              <w:wordWrap w:val="0"/>
            </w:pPr>
            <w:r>
              <w:rPr>
                <w:rFonts w:hint="eastAsia"/>
              </w:rPr>
              <w:t>1,000.00</w:t>
            </w:r>
          </w:p>
        </w:tc>
      </w:tr>
    </w:tbl>
    <w:p w:rsidR="00B60BAE" w:rsidRDefault="00B60BAE">
      <w:pPr>
        <w:widowControl/>
        <w:jc w:val="left"/>
        <w:rPr>
          <w:rFonts w:ascii="宋体" w:hAnsi="宋体" w:cs="宋体" w:hint="eastAsia"/>
          <w:kern w:val="0"/>
          <w:sz w:val="24"/>
          <w:szCs w:val="24"/>
        </w:rPr>
      </w:pPr>
    </w:p>
    <w:p w:rsidR="00B60BAE" w:rsidRDefault="00B60BAE">
      <w:pPr>
        <w:pStyle w:val="dazhangjie"/>
        <w:rPr>
          <w:rFonts w:hint="eastAsia"/>
        </w:rPr>
      </w:pPr>
      <w:r>
        <w:rPr>
          <w:rFonts w:hint="eastAsia"/>
          <w:b/>
          <w:bCs/>
        </w:rPr>
        <w:t>2、 其他需要提示的事项</w:t>
      </w:r>
    </w:p>
    <w:p w:rsidR="00B60BAE" w:rsidRDefault="00B60BAE">
      <w:pPr>
        <w:pStyle w:val="neirong"/>
        <w:rPr>
          <w:rFonts w:hint="eastAsia"/>
        </w:rPr>
      </w:pPr>
      <w:r>
        <w:rPr>
          <w:rFonts w:hint="eastAsia"/>
        </w:rPr>
        <w:t>  1、为维护基金份额持有人利益，保障基金的平稳运作，富安达基金管理有限公司（以下简称“本基金管理人”）决定：自2025年10月29日起对本基金代销机构平台申购（含转换转入、定期定额投资）业务进行限制，即单日每个基金账户通过代销渠道累计申购本基金的金额不超过1000元。如单日某基金账户通过代销渠道单笔或多笔累计申购（含转换转入、定期定额投资）本基金的金额超过1000元，则1000元确认申购成功，超过1000元金额的部分基金管理人有权确认失败。</w:t>
      </w:r>
      <w:r>
        <w:rPr>
          <w:rFonts w:hint="eastAsia"/>
        </w:rPr>
        <w:br/>
        <w:t>  2、在暂停本基金代销渠道大额申购（含转换转入、定期定额投资）业务期间，本基金直销渠道申购（含转换转入、定期定额投资）业务正常办理，本基金的赎回、转换转出等其他业务照常办理。恢复办理本基金代销渠道的申购、转换转入、定期定额投资业务的日期届时将另行公告。</w:t>
      </w:r>
      <w:r>
        <w:rPr>
          <w:rFonts w:hint="eastAsia"/>
        </w:rPr>
        <w:br/>
        <w:t>  3、如有疑问，可以拨打本公司客服热线（400-630-6999）或登录本公司网站（www.fadfunds.com）获取相关信息。</w:t>
      </w:r>
      <w:r>
        <w:rPr>
          <w:rFonts w:hint="eastAsia"/>
        </w:rPr>
        <w:br/>
        <w:t>  4、风险提示：投资人应当充分了解基金定期定额投资和零存整取等储蓄方式的区别。定期定额投资并不能规避基金投资所固有的风险，不能保证投资人获得收益，也不是替代储蓄的等效理财方式。由于基金定期定额投资本身是一种基金投资方式，因此不能避免在投资运作过程中可能面临各种风险。本基金管理人承诺以诚实信用、勤勉尽责的原则管理和运用基金财产，但不保证基金一定盈利，也不保证最低收益，投资者投资于本基金管理人旗下基金时应认真阅读相关基金合同、招募说明书或招募说明书(更新)、产品资料概要等文件。投资有风险，敬请投资人认真阅读基金的相关法律文件，并选择适合自身风险承受能力的投资品种进行投资。</w:t>
      </w:r>
      <w:r>
        <w:rPr>
          <w:rFonts w:hint="eastAsia"/>
        </w:rPr>
        <w:br/>
        <w:t>  特此公告。</w:t>
      </w:r>
      <w:r>
        <w:rPr>
          <w:rFonts w:hint="eastAsia"/>
        </w:rPr>
        <w:br/>
        <w:t>  </w:t>
      </w:r>
    </w:p>
    <w:p w:rsidR="00B60BAE" w:rsidRDefault="00B60BAE">
      <w:pPr>
        <w:pStyle w:val="biaogeright"/>
        <w:rPr>
          <w:rFonts w:hint="eastAsia"/>
        </w:rPr>
      </w:pPr>
      <w:r w:rsidRPr="00C15F8B">
        <w:rPr>
          <w:rFonts w:hAnsi="Calibri" w:hint="eastAsia"/>
          <w:color w:val="000000"/>
        </w:rPr>
        <w:t>富安达基金管理有限公司</w:t>
      </w:r>
    </w:p>
    <w:p w:rsidR="00B60BAE" w:rsidRDefault="00B60BAE">
      <w:pPr>
        <w:pStyle w:val="biaogeright"/>
        <w:rPr>
          <w:rFonts w:hint="eastAsia"/>
        </w:rPr>
      </w:pPr>
      <w:r w:rsidRPr="00C15F8B">
        <w:rPr>
          <w:rFonts w:hAnsi="Calibri" w:hint="eastAsia"/>
          <w:color w:val="000000"/>
        </w:rPr>
        <w:t>2025年10月28日</w:t>
      </w:r>
    </w:p>
    <w:sectPr w:rsidR="00B60BAE">
      <w:pgSz w:w="11926" w:h="16867"/>
      <w:pgMar w:top="1418" w:right="1418" w:bottom="853"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BB2" w:rsidRDefault="00EA7BB2" w:rsidP="00C15F8B">
      <w:r>
        <w:separator/>
      </w:r>
    </w:p>
  </w:endnote>
  <w:endnote w:type="continuationSeparator" w:id="0">
    <w:p w:rsidR="00EA7BB2" w:rsidRDefault="00EA7BB2" w:rsidP="00C15F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BB2" w:rsidRDefault="00EA7BB2" w:rsidP="00C15F8B">
      <w:r>
        <w:separator/>
      </w:r>
    </w:p>
  </w:footnote>
  <w:footnote w:type="continuationSeparator" w:id="0">
    <w:p w:rsidR="00EA7BB2" w:rsidRDefault="00EA7BB2" w:rsidP="00C15F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noPunctuationKerning/>
  <w:characterSpacingControl w:val="compressPunctuation"/>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15F8B"/>
    <w:rsid w:val="00086AD7"/>
    <w:rsid w:val="006C1C27"/>
    <w:rsid w:val="00B60BAE"/>
    <w:rsid w:val="00C15F8B"/>
    <w:rsid w:val="00EA7BB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fy">
    <w:name w:val="msonormalfy"/>
    <w:qFormat/>
    <w:pPr>
      <w:widowControl w:val="0"/>
      <w:jc w:val="center"/>
    </w:pPr>
    <w:rPr>
      <w:rFonts w:cs="Times New Roman"/>
      <w:kern w:val="2"/>
      <w:sz w:val="29"/>
      <w:szCs w:val="22"/>
    </w:rPr>
  </w:style>
  <w:style w:type="paragraph" w:customStyle="1" w:styleId="msonormal2">
    <w:name w:val="msonormal2"/>
    <w:qFormat/>
    <w:pPr>
      <w:widowControl w:val="0"/>
      <w:jc w:val="center"/>
    </w:pPr>
    <w:rPr>
      <w:rFonts w:cs="Times New Roman"/>
      <w:kern w:val="2"/>
      <w:sz w:val="21"/>
      <w:szCs w:val="22"/>
    </w:r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Pr>
      <w:rFonts w:ascii="Times New Roman" w:hAnsi="Times New Roman" w:cs="Times New Roman" w:hint="default"/>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link w:val="a4"/>
    <w:uiPriority w:val="99"/>
    <w:locked/>
    <w:rPr>
      <w:rFonts w:ascii="Times New Roman" w:hAnsi="Times New Roman" w:cs="Times New Roman" w:hint="default"/>
      <w:sz w:val="18"/>
      <w:szCs w:val="18"/>
    </w:rPr>
  </w:style>
  <w:style w:type="paragraph" w:customStyle="1" w:styleId="msonormal1">
    <w:name w:val="msonormal1"/>
    <w:qFormat/>
    <w:pPr>
      <w:widowControl w:val="0"/>
      <w:jc w:val="both"/>
    </w:pPr>
    <w:rPr>
      <w:rFonts w:cs="Times New Roman"/>
      <w:kern w:val="2"/>
      <w:sz w:val="21"/>
      <w:szCs w:val="22"/>
    </w:rPr>
  </w:style>
  <w:style w:type="paragraph" w:customStyle="1" w:styleId="msonormal3">
    <w:name w:val="msonormal3"/>
    <w:qFormat/>
    <w:pPr>
      <w:widowControl w:val="0"/>
      <w:jc w:val="both"/>
    </w:pPr>
    <w:rPr>
      <w:rFonts w:cs="Times New Roman"/>
      <w:kern w:val="2"/>
      <w:sz w:val="21"/>
      <w:szCs w:val="22"/>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pPr>
      <w:widowControl/>
      <w:autoSpaceDE w:val="0"/>
      <w:autoSpaceDN w:val="0"/>
      <w:adjustRightInd w:val="0"/>
      <w:spacing w:before="29" w:line="360" w:lineRule="auto"/>
      <w:ind w:left="15"/>
      <w:jc w:val="left"/>
    </w:pPr>
    <w:rPr>
      <w:rFonts w:ascii="宋体" w:hAnsi="宋体" w:cs="宋体"/>
      <w:kern w:val="0"/>
      <w:sz w:val="24"/>
      <w:szCs w:val="24"/>
    </w:rPr>
  </w:style>
  <w:style w:type="paragraph" w:customStyle="1" w:styleId="hide">
    <w:name w:val="hide"/>
    <w:basedOn w:val="a"/>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pPr>
      <w:widowControl/>
      <w:spacing w:before="100" w:beforeAutospacing="1" w:after="100" w:afterAutospacing="1"/>
      <w:jc w:val="left"/>
    </w:pPr>
    <w:rPr>
      <w:rFonts w:ascii="宋体" w:hAnsi="宋体" w:cs="宋体"/>
      <w:kern w:val="0"/>
      <w:sz w:val="24"/>
      <w:szCs w:val="24"/>
    </w:rPr>
  </w:style>
  <w:style w:type="paragraph" w:customStyle="1" w:styleId="biaogeleft1">
    <w:name w:val="biaoge_left1"/>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left2">
    <w:name w:val="biaoge_left2"/>
    <w:basedOn w:val="a"/>
    <w:pPr>
      <w:widowControl/>
      <w:autoSpaceDE w:val="0"/>
      <w:autoSpaceDN w:val="0"/>
      <w:adjustRightInd w:val="0"/>
      <w:spacing w:before="29" w:line="288" w:lineRule="auto"/>
      <w:ind w:left="15"/>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484518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1226</Characters>
  <Application>Microsoft Office Word</Application>
  <DocSecurity>4</DocSecurity>
  <Lines>10</Lines>
  <Paragraphs>2</Paragraphs>
  <ScaleCrop>false</ScaleCrop>
  <Company/>
  <LinksUpToDate>false</LinksUpToDate>
  <CharactersWithSpaces>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shzhou</dc:creator>
  <cp:keywords/>
  <dc:description/>
  <cp:lastModifiedBy>ZHONGM</cp:lastModifiedBy>
  <cp:revision>2</cp:revision>
  <dcterms:created xsi:type="dcterms:W3CDTF">2025-10-27T16:05:00Z</dcterms:created>
  <dcterms:modified xsi:type="dcterms:W3CDTF">2025-10-27T16:05:00Z</dcterms:modified>
</cp:coreProperties>
</file>