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987" w:rsidRDefault="00AB24E0">
      <w:pPr>
        <w:spacing w:line="360" w:lineRule="auto"/>
        <w:jc w:val="center"/>
        <w:rPr>
          <w:rFonts w:ascii="仿宋" w:eastAsia="仿宋" w:hAnsi="仿宋" w:cs="宋体"/>
          <w:b/>
          <w:kern w:val="0"/>
          <w:sz w:val="24"/>
          <w:szCs w:val="24"/>
        </w:rPr>
      </w:pPr>
      <w:r>
        <w:rPr>
          <w:rFonts w:ascii="黑体" w:eastAsia="黑体" w:hAnsi="黑体" w:hint="eastAsia"/>
          <w:b/>
          <w:color w:val="000000" w:themeColor="text1"/>
          <w:sz w:val="30"/>
          <w:szCs w:val="30"/>
        </w:rPr>
        <w:t>天弘基金管理有限公司关于旗下部分基金新增申购赎回代办证券公司的公告</w:t>
      </w:r>
    </w:p>
    <w:p w:rsidR="00E73987" w:rsidRDefault="00E73987">
      <w:pPr>
        <w:widowControl/>
        <w:shd w:val="clear" w:color="auto" w:fill="FFFFFF"/>
        <w:spacing w:line="360" w:lineRule="auto"/>
        <w:ind w:firstLine="357"/>
        <w:rPr>
          <w:rFonts w:ascii="仿宋" w:eastAsia="仿宋" w:hAnsi="仿宋" w:cs="宋体"/>
          <w:kern w:val="0"/>
          <w:sz w:val="24"/>
          <w:szCs w:val="24"/>
        </w:rPr>
      </w:pPr>
    </w:p>
    <w:p w:rsidR="00E73987" w:rsidRDefault="00AB24E0">
      <w:pPr>
        <w:widowControl/>
        <w:shd w:val="clear" w:color="auto" w:fill="FFFFFF"/>
        <w:spacing w:line="360" w:lineRule="auto"/>
        <w:ind w:firstLine="420"/>
        <w:rPr>
          <w:rFonts w:ascii="仿宋" w:eastAsia="仿宋" w:hAnsi="仿宋" w:cs="宋体"/>
          <w:color w:val="666666"/>
          <w:kern w:val="0"/>
          <w:sz w:val="24"/>
          <w:szCs w:val="24"/>
        </w:rPr>
      </w:pPr>
      <w:r>
        <w:rPr>
          <w:rFonts w:ascii="仿宋" w:eastAsia="仿宋" w:hAnsi="仿宋" w:cs="宋体"/>
          <w:color w:val="000000"/>
          <w:kern w:val="0"/>
          <w:sz w:val="24"/>
          <w:szCs w:val="24"/>
        </w:rPr>
        <w:t>自</w:t>
      </w:r>
      <w:r>
        <w:rPr>
          <w:rFonts w:ascii="仿宋" w:eastAsia="仿宋" w:hAnsi="仿宋"/>
          <w:kern w:val="0"/>
          <w:sz w:val="24"/>
          <w:szCs w:val="24"/>
        </w:rPr>
        <w:t>2025</w:t>
      </w:r>
      <w:r>
        <w:rPr>
          <w:rFonts w:ascii="仿宋" w:eastAsia="仿宋" w:hAnsi="仿宋"/>
          <w:kern w:val="0"/>
          <w:sz w:val="24"/>
          <w:szCs w:val="24"/>
        </w:rPr>
        <w:t>年</w:t>
      </w:r>
      <w:r>
        <w:rPr>
          <w:rFonts w:ascii="仿宋" w:eastAsia="仿宋" w:hAnsi="仿宋"/>
          <w:kern w:val="0"/>
          <w:sz w:val="24"/>
          <w:szCs w:val="24"/>
        </w:rPr>
        <w:t>10</w:t>
      </w:r>
      <w:r>
        <w:rPr>
          <w:rFonts w:ascii="仿宋" w:eastAsia="仿宋" w:hAnsi="仿宋"/>
          <w:kern w:val="0"/>
          <w:sz w:val="24"/>
          <w:szCs w:val="24"/>
        </w:rPr>
        <w:t>月</w:t>
      </w:r>
      <w:r>
        <w:rPr>
          <w:rFonts w:ascii="仿宋" w:eastAsia="仿宋" w:hAnsi="仿宋"/>
          <w:kern w:val="0"/>
          <w:sz w:val="24"/>
          <w:szCs w:val="24"/>
        </w:rPr>
        <w:t>27</w:t>
      </w:r>
      <w:r>
        <w:rPr>
          <w:rFonts w:ascii="仿宋" w:eastAsia="仿宋" w:hAnsi="仿宋"/>
          <w:kern w:val="0"/>
          <w:sz w:val="24"/>
          <w:szCs w:val="24"/>
        </w:rPr>
        <w:t>日</w:t>
      </w:r>
      <w:r>
        <w:rPr>
          <w:rFonts w:ascii="仿宋" w:eastAsia="仿宋" w:hAnsi="仿宋" w:cs="宋体"/>
          <w:color w:val="000000"/>
          <w:kern w:val="0"/>
          <w:sz w:val="24"/>
          <w:szCs w:val="24"/>
        </w:rPr>
        <w:t>起，天弘基金管理有限公司旗下部分基金新增</w:t>
      </w:r>
      <w:r>
        <w:rPr>
          <w:rFonts w:ascii="仿宋" w:eastAsia="仿宋" w:hAnsi="仿宋" w:cs="宋体" w:hint="eastAsia"/>
          <w:color w:val="000000"/>
          <w:kern w:val="0"/>
          <w:sz w:val="24"/>
          <w:szCs w:val="24"/>
        </w:rPr>
        <w:t>民生证券股份有限公司</w:t>
      </w:r>
      <w:r>
        <w:rPr>
          <w:rFonts w:ascii="仿宋" w:eastAsia="仿宋" w:hAnsi="仿宋" w:cs="宋体"/>
          <w:color w:val="000000"/>
          <w:kern w:val="0"/>
          <w:sz w:val="24"/>
          <w:szCs w:val="24"/>
        </w:rPr>
        <w:t>为申购赎回代办证券公司。投资者在销售机构办理基金申购、赎回等业务的具体流程与规则请以销售机构的规定为准。适用基金范围如下：</w:t>
      </w:r>
    </w:p>
    <w:tbl>
      <w:tblPr>
        <w:tblW w:w="5145" w:type="pct"/>
        <w:tblInd w:w="-33"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tblPr>
      <w:tblGrid>
        <w:gridCol w:w="773"/>
        <w:gridCol w:w="6388"/>
        <w:gridCol w:w="1602"/>
      </w:tblGrid>
      <w:tr w:rsidR="00E73987">
        <w:trPr>
          <w:trHeight w:val="705"/>
        </w:trPr>
        <w:tc>
          <w:tcPr>
            <w:tcW w:w="441" w:type="pc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E73987" w:rsidRDefault="00AB24E0">
            <w:pPr>
              <w:widowControl/>
              <w:spacing w:line="360" w:lineRule="auto"/>
              <w:jc w:val="center"/>
              <w:rPr>
                <w:rFonts w:ascii="仿宋" w:eastAsia="仿宋" w:hAnsi="仿宋" w:cs="宋体"/>
                <w:kern w:val="0"/>
                <w:sz w:val="24"/>
                <w:szCs w:val="24"/>
              </w:rPr>
            </w:pPr>
            <w:bookmarkStart w:id="0" w:name="PO_listed_fund_add_agency_table"/>
            <w:r>
              <w:rPr>
                <w:rFonts w:ascii="仿宋" w:eastAsia="仿宋" w:hAnsi="仿宋" w:cs="宋体"/>
                <w:color w:val="000000"/>
                <w:kern w:val="0"/>
                <w:sz w:val="24"/>
                <w:szCs w:val="24"/>
              </w:rPr>
              <w:t>序号</w:t>
            </w:r>
          </w:p>
        </w:tc>
        <w:tc>
          <w:tcPr>
            <w:tcW w:w="3645" w:type="pct"/>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E73987" w:rsidRDefault="00AB24E0">
            <w:pPr>
              <w:widowControl/>
              <w:spacing w:line="360" w:lineRule="auto"/>
              <w:jc w:val="center"/>
              <w:rPr>
                <w:rFonts w:ascii="仿宋" w:eastAsia="仿宋" w:hAnsi="仿宋" w:cs="宋体"/>
                <w:kern w:val="0"/>
                <w:sz w:val="24"/>
                <w:szCs w:val="24"/>
              </w:rPr>
            </w:pPr>
            <w:r>
              <w:rPr>
                <w:rFonts w:ascii="仿宋" w:eastAsia="仿宋" w:hAnsi="仿宋" w:cs="宋体"/>
                <w:color w:val="000000"/>
                <w:kern w:val="0"/>
                <w:sz w:val="24"/>
                <w:szCs w:val="24"/>
              </w:rPr>
              <w:t>基金名称</w:t>
            </w:r>
          </w:p>
        </w:tc>
        <w:tc>
          <w:tcPr>
            <w:tcW w:w="914" w:type="pct"/>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E73987" w:rsidRDefault="00AB24E0">
            <w:pPr>
              <w:widowControl/>
              <w:spacing w:line="360" w:lineRule="auto"/>
              <w:jc w:val="center"/>
              <w:rPr>
                <w:rFonts w:ascii="仿宋" w:eastAsia="仿宋" w:hAnsi="仿宋" w:cs="宋体"/>
                <w:kern w:val="0"/>
                <w:sz w:val="24"/>
                <w:szCs w:val="24"/>
              </w:rPr>
            </w:pPr>
            <w:r>
              <w:rPr>
                <w:rFonts w:ascii="仿宋" w:eastAsia="仿宋" w:hAnsi="仿宋" w:cs="宋体"/>
                <w:color w:val="000000"/>
                <w:kern w:val="0"/>
                <w:sz w:val="24"/>
                <w:szCs w:val="24"/>
              </w:rPr>
              <w:t>基金</w:t>
            </w:r>
            <w:r>
              <w:rPr>
                <w:rFonts w:ascii="仿宋" w:eastAsia="仿宋" w:hAnsi="仿宋" w:cs="宋体" w:hint="eastAsia"/>
                <w:color w:val="000000"/>
                <w:kern w:val="0"/>
                <w:sz w:val="24"/>
                <w:szCs w:val="24"/>
              </w:rPr>
              <w:t>主</w:t>
            </w:r>
            <w:r>
              <w:rPr>
                <w:rFonts w:ascii="仿宋" w:eastAsia="仿宋" w:hAnsi="仿宋" w:cs="宋体"/>
                <w:color w:val="000000"/>
                <w:kern w:val="0"/>
                <w:sz w:val="24"/>
                <w:szCs w:val="24"/>
              </w:rPr>
              <w:t>代码</w:t>
            </w:r>
          </w:p>
        </w:tc>
      </w:tr>
      <w:tr w:rsidR="00E73987">
        <w:trPr>
          <w:trHeight w:val="705"/>
        </w:trPr>
        <w:tc>
          <w:tcPr>
            <w:tcW w:w="441" w:type="pct"/>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vAlign w:val="center"/>
          </w:tcPr>
          <w:p w:rsidR="00E73987" w:rsidRDefault="00AB24E0">
            <w:pPr>
              <w:widowControl/>
              <w:spacing w:line="360" w:lineRule="auto"/>
              <w:jc w:val="center"/>
              <w:rPr>
                <w:rFonts w:ascii="仿宋" w:eastAsia="仿宋" w:hAnsi="仿宋" w:cs="宋体"/>
                <w:color w:val="000000"/>
                <w:kern w:val="0"/>
                <w:sz w:val="24"/>
                <w:szCs w:val="24"/>
              </w:rPr>
            </w:pPr>
            <w:r>
              <w:rPr>
                <w:rFonts w:ascii="仿宋" w:eastAsia="仿宋" w:hAnsi="仿宋" w:cs="宋体"/>
                <w:color w:val="000000"/>
                <w:kern w:val="0"/>
                <w:sz w:val="24"/>
                <w:szCs w:val="24"/>
              </w:rPr>
              <w:t>1</w:t>
            </w:r>
          </w:p>
        </w:tc>
        <w:tc>
          <w:tcPr>
            <w:tcW w:w="3645" w:type="pct"/>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vAlign w:val="center"/>
          </w:tcPr>
          <w:p w:rsidR="00E73987" w:rsidRDefault="00AB24E0">
            <w:pPr>
              <w:widowControl/>
              <w:spacing w:line="360" w:lineRule="auto"/>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天弘上证</w:t>
            </w:r>
            <w:r>
              <w:rPr>
                <w:rFonts w:ascii="仿宋" w:eastAsia="仿宋" w:hAnsi="仿宋" w:cs="宋体"/>
                <w:color w:val="000000"/>
                <w:kern w:val="0"/>
                <w:sz w:val="24"/>
                <w:szCs w:val="24"/>
              </w:rPr>
              <w:t>180</w:t>
            </w:r>
            <w:r>
              <w:rPr>
                <w:rFonts w:ascii="仿宋" w:eastAsia="仿宋" w:hAnsi="仿宋" w:cs="宋体"/>
                <w:color w:val="000000"/>
                <w:kern w:val="0"/>
                <w:sz w:val="24"/>
                <w:szCs w:val="24"/>
              </w:rPr>
              <w:t>交易型开放式指数证券投资基金</w:t>
            </w:r>
          </w:p>
        </w:tc>
        <w:tc>
          <w:tcPr>
            <w:tcW w:w="914" w:type="pct"/>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vAlign w:val="center"/>
          </w:tcPr>
          <w:p w:rsidR="00E73987" w:rsidRDefault="00AB24E0">
            <w:pPr>
              <w:widowControl/>
              <w:spacing w:line="360" w:lineRule="auto"/>
              <w:jc w:val="center"/>
              <w:rPr>
                <w:rFonts w:ascii="仿宋" w:eastAsia="仿宋" w:hAnsi="仿宋" w:cs="宋体"/>
                <w:color w:val="000000"/>
                <w:kern w:val="0"/>
                <w:sz w:val="24"/>
                <w:szCs w:val="24"/>
              </w:rPr>
            </w:pPr>
            <w:r>
              <w:rPr>
                <w:rFonts w:ascii="仿宋" w:eastAsia="仿宋" w:hAnsi="仿宋" w:cs="宋体"/>
                <w:color w:val="000000"/>
                <w:kern w:val="0"/>
                <w:sz w:val="24"/>
                <w:szCs w:val="24"/>
              </w:rPr>
              <w:t>530080</w:t>
            </w:r>
          </w:p>
        </w:tc>
      </w:tr>
      <w:tr w:rsidR="00E73987">
        <w:trPr>
          <w:trHeight w:val="705"/>
        </w:trPr>
        <w:tc>
          <w:tcPr>
            <w:tcW w:w="441" w:type="pct"/>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vAlign w:val="center"/>
          </w:tcPr>
          <w:p w:rsidR="00E73987" w:rsidRDefault="00AB24E0">
            <w:pPr>
              <w:widowControl/>
              <w:spacing w:line="360" w:lineRule="auto"/>
              <w:jc w:val="center"/>
              <w:rPr>
                <w:rFonts w:ascii="仿宋" w:eastAsia="仿宋" w:hAnsi="仿宋" w:cs="宋体"/>
                <w:color w:val="000000"/>
                <w:kern w:val="0"/>
                <w:sz w:val="24"/>
                <w:szCs w:val="24"/>
              </w:rPr>
            </w:pPr>
            <w:r>
              <w:rPr>
                <w:rFonts w:ascii="仿宋" w:eastAsia="仿宋" w:hAnsi="仿宋" w:cs="宋体"/>
                <w:color w:val="000000"/>
                <w:kern w:val="0"/>
                <w:sz w:val="24"/>
                <w:szCs w:val="24"/>
              </w:rPr>
              <w:t>2</w:t>
            </w:r>
          </w:p>
        </w:tc>
        <w:tc>
          <w:tcPr>
            <w:tcW w:w="3645" w:type="pct"/>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vAlign w:val="center"/>
          </w:tcPr>
          <w:p w:rsidR="00E73987" w:rsidRDefault="00AB24E0">
            <w:pPr>
              <w:widowControl/>
              <w:spacing w:line="360" w:lineRule="auto"/>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天弘中证电子交易型开放式指数证券投资基金</w:t>
            </w:r>
          </w:p>
        </w:tc>
        <w:tc>
          <w:tcPr>
            <w:tcW w:w="914" w:type="pct"/>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vAlign w:val="center"/>
          </w:tcPr>
          <w:p w:rsidR="00E73987" w:rsidRDefault="00AB24E0">
            <w:pPr>
              <w:widowControl/>
              <w:spacing w:line="360" w:lineRule="auto"/>
              <w:jc w:val="center"/>
              <w:rPr>
                <w:rFonts w:ascii="仿宋" w:eastAsia="仿宋" w:hAnsi="仿宋" w:cs="宋体"/>
                <w:color w:val="000000"/>
                <w:kern w:val="0"/>
                <w:sz w:val="24"/>
                <w:szCs w:val="24"/>
              </w:rPr>
            </w:pPr>
            <w:r>
              <w:rPr>
                <w:rFonts w:ascii="仿宋" w:eastAsia="仿宋" w:hAnsi="仿宋" w:cs="宋体"/>
                <w:color w:val="000000"/>
                <w:kern w:val="0"/>
                <w:sz w:val="24"/>
                <w:szCs w:val="24"/>
              </w:rPr>
              <w:t>159997</w:t>
            </w:r>
          </w:p>
        </w:tc>
      </w:tr>
      <w:tr w:rsidR="00E73987">
        <w:trPr>
          <w:trHeight w:val="705"/>
        </w:trPr>
        <w:tc>
          <w:tcPr>
            <w:tcW w:w="441" w:type="pct"/>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vAlign w:val="center"/>
          </w:tcPr>
          <w:p w:rsidR="00E73987" w:rsidRDefault="00AB24E0">
            <w:pPr>
              <w:widowControl/>
              <w:spacing w:line="360" w:lineRule="auto"/>
              <w:jc w:val="center"/>
              <w:rPr>
                <w:rFonts w:ascii="仿宋" w:eastAsia="仿宋" w:hAnsi="仿宋" w:cs="宋体"/>
                <w:color w:val="000000"/>
                <w:kern w:val="0"/>
                <w:sz w:val="24"/>
                <w:szCs w:val="24"/>
              </w:rPr>
            </w:pPr>
            <w:r>
              <w:rPr>
                <w:rFonts w:ascii="仿宋" w:eastAsia="仿宋" w:hAnsi="仿宋" w:cs="宋体"/>
                <w:color w:val="000000"/>
                <w:kern w:val="0"/>
                <w:sz w:val="24"/>
                <w:szCs w:val="24"/>
              </w:rPr>
              <w:t>3</w:t>
            </w:r>
          </w:p>
        </w:tc>
        <w:tc>
          <w:tcPr>
            <w:tcW w:w="3645" w:type="pct"/>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vAlign w:val="center"/>
          </w:tcPr>
          <w:p w:rsidR="00E73987" w:rsidRDefault="00AB24E0">
            <w:pPr>
              <w:widowControl/>
              <w:spacing w:line="360" w:lineRule="auto"/>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天弘中证全指证券公司交易型开放式指数证券投资基金</w:t>
            </w:r>
          </w:p>
        </w:tc>
        <w:tc>
          <w:tcPr>
            <w:tcW w:w="914" w:type="pct"/>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vAlign w:val="center"/>
          </w:tcPr>
          <w:p w:rsidR="00E73987" w:rsidRDefault="00AB24E0">
            <w:pPr>
              <w:widowControl/>
              <w:spacing w:line="360" w:lineRule="auto"/>
              <w:jc w:val="center"/>
              <w:rPr>
                <w:rFonts w:ascii="仿宋" w:eastAsia="仿宋" w:hAnsi="仿宋" w:cs="宋体"/>
                <w:color w:val="000000"/>
                <w:kern w:val="0"/>
                <w:sz w:val="24"/>
                <w:szCs w:val="24"/>
              </w:rPr>
            </w:pPr>
            <w:r>
              <w:rPr>
                <w:rFonts w:ascii="仿宋" w:eastAsia="仿宋" w:hAnsi="仿宋" w:cs="宋体"/>
                <w:color w:val="000000"/>
                <w:kern w:val="0"/>
                <w:sz w:val="24"/>
                <w:szCs w:val="24"/>
              </w:rPr>
              <w:t>159841</w:t>
            </w:r>
          </w:p>
        </w:tc>
      </w:tr>
      <w:tr w:rsidR="00E73987">
        <w:trPr>
          <w:trHeight w:val="705"/>
        </w:trPr>
        <w:tc>
          <w:tcPr>
            <w:tcW w:w="441" w:type="pct"/>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vAlign w:val="center"/>
          </w:tcPr>
          <w:p w:rsidR="00E73987" w:rsidRDefault="00AB24E0">
            <w:pPr>
              <w:widowControl/>
              <w:spacing w:line="360" w:lineRule="auto"/>
              <w:jc w:val="center"/>
              <w:rPr>
                <w:rFonts w:ascii="仿宋" w:eastAsia="仿宋" w:hAnsi="仿宋" w:cs="宋体"/>
                <w:color w:val="000000"/>
                <w:kern w:val="0"/>
                <w:sz w:val="24"/>
                <w:szCs w:val="24"/>
              </w:rPr>
            </w:pPr>
            <w:r>
              <w:rPr>
                <w:rFonts w:ascii="仿宋" w:eastAsia="仿宋" w:hAnsi="仿宋" w:cs="宋体"/>
                <w:color w:val="000000"/>
                <w:kern w:val="0"/>
                <w:sz w:val="24"/>
                <w:szCs w:val="24"/>
              </w:rPr>
              <w:t>4</w:t>
            </w:r>
          </w:p>
        </w:tc>
        <w:tc>
          <w:tcPr>
            <w:tcW w:w="3645" w:type="pct"/>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vAlign w:val="center"/>
          </w:tcPr>
          <w:p w:rsidR="00E73987" w:rsidRDefault="00AB24E0">
            <w:pPr>
              <w:widowControl/>
              <w:spacing w:line="360" w:lineRule="auto"/>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天弘中证红利低波动</w:t>
            </w:r>
            <w:r>
              <w:rPr>
                <w:rFonts w:ascii="仿宋" w:eastAsia="仿宋" w:hAnsi="仿宋" w:cs="宋体"/>
                <w:color w:val="000000"/>
                <w:kern w:val="0"/>
                <w:sz w:val="24"/>
                <w:szCs w:val="24"/>
              </w:rPr>
              <w:t>100</w:t>
            </w:r>
            <w:r>
              <w:rPr>
                <w:rFonts w:ascii="仿宋" w:eastAsia="仿宋" w:hAnsi="仿宋" w:cs="宋体"/>
                <w:color w:val="000000"/>
                <w:kern w:val="0"/>
                <w:sz w:val="24"/>
                <w:szCs w:val="24"/>
              </w:rPr>
              <w:t>交易型开放式指数证券投资基金</w:t>
            </w:r>
          </w:p>
        </w:tc>
        <w:tc>
          <w:tcPr>
            <w:tcW w:w="914" w:type="pct"/>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vAlign w:val="center"/>
          </w:tcPr>
          <w:p w:rsidR="00E73987" w:rsidRDefault="00AB24E0">
            <w:pPr>
              <w:widowControl/>
              <w:spacing w:line="360" w:lineRule="auto"/>
              <w:jc w:val="center"/>
              <w:rPr>
                <w:rFonts w:ascii="仿宋" w:eastAsia="仿宋" w:hAnsi="仿宋" w:cs="宋体"/>
                <w:color w:val="000000"/>
                <w:kern w:val="0"/>
                <w:sz w:val="24"/>
                <w:szCs w:val="24"/>
              </w:rPr>
            </w:pPr>
            <w:r>
              <w:rPr>
                <w:rFonts w:ascii="仿宋" w:eastAsia="仿宋" w:hAnsi="仿宋" w:cs="宋体"/>
                <w:color w:val="000000"/>
                <w:kern w:val="0"/>
                <w:sz w:val="24"/>
                <w:szCs w:val="24"/>
              </w:rPr>
              <w:t>159549</w:t>
            </w:r>
          </w:p>
        </w:tc>
      </w:tr>
      <w:tr w:rsidR="00E73987">
        <w:trPr>
          <w:trHeight w:val="705"/>
        </w:trPr>
        <w:tc>
          <w:tcPr>
            <w:tcW w:w="441" w:type="pct"/>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vAlign w:val="center"/>
          </w:tcPr>
          <w:p w:rsidR="00E73987" w:rsidRDefault="00AB24E0">
            <w:pPr>
              <w:widowControl/>
              <w:spacing w:line="360" w:lineRule="auto"/>
              <w:jc w:val="center"/>
              <w:rPr>
                <w:rFonts w:ascii="仿宋" w:eastAsia="仿宋" w:hAnsi="仿宋" w:cs="宋体"/>
                <w:color w:val="000000"/>
                <w:kern w:val="0"/>
                <w:sz w:val="24"/>
                <w:szCs w:val="24"/>
              </w:rPr>
            </w:pPr>
            <w:r>
              <w:rPr>
                <w:rFonts w:ascii="仿宋" w:eastAsia="仿宋" w:hAnsi="仿宋" w:cs="宋体"/>
                <w:color w:val="000000"/>
                <w:kern w:val="0"/>
                <w:sz w:val="24"/>
                <w:szCs w:val="24"/>
              </w:rPr>
              <w:t>5</w:t>
            </w:r>
          </w:p>
        </w:tc>
        <w:tc>
          <w:tcPr>
            <w:tcW w:w="3645" w:type="pct"/>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vAlign w:val="center"/>
          </w:tcPr>
          <w:p w:rsidR="00E73987" w:rsidRDefault="00AB24E0">
            <w:pPr>
              <w:widowControl/>
              <w:spacing w:line="360" w:lineRule="auto"/>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天弘中证光伏产业交易型开放式指数证券投资基金</w:t>
            </w:r>
          </w:p>
        </w:tc>
        <w:tc>
          <w:tcPr>
            <w:tcW w:w="914" w:type="pct"/>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vAlign w:val="center"/>
          </w:tcPr>
          <w:p w:rsidR="00E73987" w:rsidRDefault="00AB24E0">
            <w:pPr>
              <w:widowControl/>
              <w:spacing w:line="360" w:lineRule="auto"/>
              <w:jc w:val="center"/>
              <w:rPr>
                <w:rFonts w:ascii="仿宋" w:eastAsia="仿宋" w:hAnsi="仿宋" w:cs="宋体"/>
                <w:color w:val="000000"/>
                <w:kern w:val="0"/>
                <w:sz w:val="24"/>
                <w:szCs w:val="24"/>
              </w:rPr>
            </w:pPr>
            <w:r>
              <w:rPr>
                <w:rFonts w:ascii="仿宋" w:eastAsia="仿宋" w:hAnsi="仿宋" w:cs="宋体"/>
                <w:color w:val="000000"/>
                <w:kern w:val="0"/>
                <w:sz w:val="24"/>
                <w:szCs w:val="24"/>
              </w:rPr>
              <w:t>159857</w:t>
            </w:r>
          </w:p>
        </w:tc>
      </w:tr>
      <w:tr w:rsidR="00E73987">
        <w:trPr>
          <w:trHeight w:val="705"/>
        </w:trPr>
        <w:tc>
          <w:tcPr>
            <w:tcW w:w="441" w:type="pct"/>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vAlign w:val="center"/>
          </w:tcPr>
          <w:p w:rsidR="00E73987" w:rsidRDefault="00AB24E0">
            <w:pPr>
              <w:widowControl/>
              <w:spacing w:line="360" w:lineRule="auto"/>
              <w:jc w:val="center"/>
              <w:rPr>
                <w:rFonts w:ascii="仿宋" w:eastAsia="仿宋" w:hAnsi="仿宋" w:cs="宋体"/>
                <w:color w:val="000000"/>
                <w:kern w:val="0"/>
                <w:sz w:val="24"/>
                <w:szCs w:val="24"/>
              </w:rPr>
            </w:pPr>
            <w:r>
              <w:rPr>
                <w:rFonts w:ascii="仿宋" w:eastAsia="仿宋" w:hAnsi="仿宋" w:cs="宋体"/>
                <w:color w:val="000000"/>
                <w:kern w:val="0"/>
                <w:sz w:val="24"/>
                <w:szCs w:val="24"/>
              </w:rPr>
              <w:t>6</w:t>
            </w:r>
          </w:p>
        </w:tc>
        <w:tc>
          <w:tcPr>
            <w:tcW w:w="3645" w:type="pct"/>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vAlign w:val="center"/>
          </w:tcPr>
          <w:p w:rsidR="00E73987" w:rsidRDefault="00AB24E0">
            <w:pPr>
              <w:widowControl/>
              <w:spacing w:line="360" w:lineRule="auto"/>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天弘中证食品饮料交易型开放式指数证券投资基金</w:t>
            </w:r>
          </w:p>
        </w:tc>
        <w:tc>
          <w:tcPr>
            <w:tcW w:w="914" w:type="pct"/>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vAlign w:val="center"/>
          </w:tcPr>
          <w:p w:rsidR="00E73987" w:rsidRDefault="00AB24E0">
            <w:pPr>
              <w:widowControl/>
              <w:spacing w:line="360" w:lineRule="auto"/>
              <w:jc w:val="center"/>
              <w:rPr>
                <w:rFonts w:ascii="仿宋" w:eastAsia="仿宋" w:hAnsi="仿宋" w:cs="宋体"/>
                <w:color w:val="000000"/>
                <w:kern w:val="0"/>
                <w:sz w:val="24"/>
                <w:szCs w:val="24"/>
              </w:rPr>
            </w:pPr>
            <w:r>
              <w:rPr>
                <w:rFonts w:ascii="仿宋" w:eastAsia="仿宋" w:hAnsi="仿宋" w:cs="宋体"/>
                <w:color w:val="000000"/>
                <w:kern w:val="0"/>
                <w:sz w:val="24"/>
                <w:szCs w:val="24"/>
              </w:rPr>
              <w:t>159736</w:t>
            </w:r>
          </w:p>
        </w:tc>
      </w:tr>
      <w:tr w:rsidR="00E73987">
        <w:trPr>
          <w:trHeight w:val="705"/>
        </w:trPr>
        <w:tc>
          <w:tcPr>
            <w:tcW w:w="441" w:type="pct"/>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vAlign w:val="center"/>
          </w:tcPr>
          <w:p w:rsidR="00E73987" w:rsidRDefault="00AB24E0">
            <w:pPr>
              <w:widowControl/>
              <w:spacing w:line="360" w:lineRule="auto"/>
              <w:jc w:val="center"/>
              <w:rPr>
                <w:rFonts w:ascii="仿宋" w:eastAsia="仿宋" w:hAnsi="仿宋" w:cs="宋体"/>
                <w:color w:val="000000"/>
                <w:kern w:val="0"/>
                <w:sz w:val="24"/>
                <w:szCs w:val="24"/>
              </w:rPr>
            </w:pPr>
            <w:r>
              <w:rPr>
                <w:rFonts w:ascii="仿宋" w:eastAsia="仿宋" w:hAnsi="仿宋" w:cs="宋体"/>
                <w:color w:val="000000"/>
                <w:kern w:val="0"/>
                <w:sz w:val="24"/>
                <w:szCs w:val="24"/>
              </w:rPr>
              <w:t>7</w:t>
            </w:r>
          </w:p>
        </w:tc>
        <w:tc>
          <w:tcPr>
            <w:tcW w:w="3645" w:type="pct"/>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vAlign w:val="center"/>
          </w:tcPr>
          <w:p w:rsidR="00E73987" w:rsidRDefault="00AB24E0">
            <w:pPr>
              <w:widowControl/>
              <w:spacing w:line="360" w:lineRule="auto"/>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天弘中证银行交易型开放式指数证券投资基金</w:t>
            </w:r>
          </w:p>
        </w:tc>
        <w:tc>
          <w:tcPr>
            <w:tcW w:w="914" w:type="pct"/>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vAlign w:val="center"/>
          </w:tcPr>
          <w:p w:rsidR="00E73987" w:rsidRDefault="00AB24E0">
            <w:pPr>
              <w:widowControl/>
              <w:spacing w:line="360" w:lineRule="auto"/>
              <w:jc w:val="center"/>
              <w:rPr>
                <w:rFonts w:ascii="仿宋" w:eastAsia="仿宋" w:hAnsi="仿宋" w:cs="宋体"/>
                <w:color w:val="000000"/>
                <w:kern w:val="0"/>
                <w:sz w:val="24"/>
                <w:szCs w:val="24"/>
              </w:rPr>
            </w:pPr>
            <w:r>
              <w:rPr>
                <w:rFonts w:ascii="仿宋" w:eastAsia="仿宋" w:hAnsi="仿宋" w:cs="宋体"/>
                <w:color w:val="000000"/>
                <w:kern w:val="0"/>
                <w:sz w:val="24"/>
                <w:szCs w:val="24"/>
              </w:rPr>
              <w:t>515290</w:t>
            </w:r>
          </w:p>
        </w:tc>
      </w:tr>
      <w:tr w:rsidR="00E73987">
        <w:trPr>
          <w:trHeight w:val="705"/>
        </w:trPr>
        <w:tc>
          <w:tcPr>
            <w:tcW w:w="441" w:type="pct"/>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vAlign w:val="center"/>
          </w:tcPr>
          <w:p w:rsidR="00E73987" w:rsidRDefault="00AB24E0">
            <w:pPr>
              <w:widowControl/>
              <w:spacing w:line="360" w:lineRule="auto"/>
              <w:jc w:val="center"/>
              <w:rPr>
                <w:rFonts w:ascii="仿宋" w:eastAsia="仿宋" w:hAnsi="仿宋" w:cs="宋体"/>
                <w:color w:val="000000"/>
                <w:kern w:val="0"/>
                <w:sz w:val="24"/>
                <w:szCs w:val="24"/>
              </w:rPr>
            </w:pPr>
            <w:r>
              <w:rPr>
                <w:rFonts w:ascii="仿宋" w:eastAsia="仿宋" w:hAnsi="仿宋" w:cs="宋体"/>
                <w:color w:val="000000"/>
                <w:kern w:val="0"/>
                <w:sz w:val="24"/>
                <w:szCs w:val="24"/>
              </w:rPr>
              <w:t>8</w:t>
            </w:r>
          </w:p>
        </w:tc>
        <w:tc>
          <w:tcPr>
            <w:tcW w:w="3645" w:type="pct"/>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vAlign w:val="center"/>
          </w:tcPr>
          <w:p w:rsidR="00E73987" w:rsidRDefault="00AB24E0">
            <w:pPr>
              <w:widowControl/>
              <w:spacing w:line="360" w:lineRule="auto"/>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天弘恒生沪深港创新药精选</w:t>
            </w:r>
            <w:r>
              <w:rPr>
                <w:rFonts w:ascii="仿宋" w:eastAsia="仿宋" w:hAnsi="仿宋" w:cs="宋体"/>
                <w:color w:val="000000"/>
                <w:kern w:val="0"/>
                <w:sz w:val="24"/>
                <w:szCs w:val="24"/>
              </w:rPr>
              <w:t>50</w:t>
            </w:r>
            <w:r>
              <w:rPr>
                <w:rFonts w:ascii="仿宋" w:eastAsia="仿宋" w:hAnsi="仿宋" w:cs="宋体"/>
                <w:color w:val="000000"/>
                <w:kern w:val="0"/>
                <w:sz w:val="24"/>
                <w:szCs w:val="24"/>
              </w:rPr>
              <w:t>交易型开放式指数证券投资基金</w:t>
            </w:r>
          </w:p>
        </w:tc>
        <w:tc>
          <w:tcPr>
            <w:tcW w:w="914" w:type="pct"/>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vAlign w:val="center"/>
          </w:tcPr>
          <w:p w:rsidR="00E73987" w:rsidRDefault="00AB24E0">
            <w:pPr>
              <w:widowControl/>
              <w:spacing w:line="360" w:lineRule="auto"/>
              <w:jc w:val="center"/>
              <w:rPr>
                <w:rFonts w:ascii="仿宋" w:eastAsia="仿宋" w:hAnsi="仿宋" w:cs="宋体"/>
                <w:color w:val="000000"/>
                <w:kern w:val="0"/>
                <w:sz w:val="24"/>
                <w:szCs w:val="24"/>
              </w:rPr>
            </w:pPr>
            <w:r>
              <w:rPr>
                <w:rFonts w:ascii="仿宋" w:eastAsia="仿宋" w:hAnsi="仿宋" w:cs="宋体"/>
                <w:color w:val="000000"/>
                <w:kern w:val="0"/>
                <w:sz w:val="24"/>
                <w:szCs w:val="24"/>
              </w:rPr>
              <w:t>517380</w:t>
            </w:r>
          </w:p>
        </w:tc>
      </w:tr>
      <w:tr w:rsidR="00E73987">
        <w:trPr>
          <w:trHeight w:val="705"/>
        </w:trPr>
        <w:tc>
          <w:tcPr>
            <w:tcW w:w="441" w:type="pct"/>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vAlign w:val="center"/>
          </w:tcPr>
          <w:p w:rsidR="00E73987" w:rsidRDefault="00AB24E0">
            <w:pPr>
              <w:widowControl/>
              <w:spacing w:line="360" w:lineRule="auto"/>
              <w:jc w:val="center"/>
              <w:rPr>
                <w:rFonts w:ascii="仿宋" w:eastAsia="仿宋" w:hAnsi="仿宋" w:cs="宋体"/>
                <w:color w:val="000000"/>
                <w:kern w:val="0"/>
                <w:sz w:val="24"/>
                <w:szCs w:val="24"/>
              </w:rPr>
            </w:pPr>
            <w:r>
              <w:rPr>
                <w:rFonts w:ascii="仿宋" w:eastAsia="仿宋" w:hAnsi="仿宋" w:cs="宋体"/>
                <w:color w:val="000000"/>
                <w:kern w:val="0"/>
                <w:sz w:val="24"/>
                <w:szCs w:val="24"/>
              </w:rPr>
              <w:t>9</w:t>
            </w:r>
          </w:p>
        </w:tc>
        <w:tc>
          <w:tcPr>
            <w:tcW w:w="3645" w:type="pct"/>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vAlign w:val="center"/>
          </w:tcPr>
          <w:p w:rsidR="00E73987" w:rsidRDefault="00AB24E0">
            <w:pPr>
              <w:widowControl/>
              <w:spacing w:line="360" w:lineRule="auto"/>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天弘中证</w:t>
            </w:r>
            <w:r>
              <w:rPr>
                <w:rFonts w:ascii="仿宋" w:eastAsia="仿宋" w:hAnsi="仿宋" w:cs="宋体"/>
                <w:color w:val="000000"/>
                <w:kern w:val="0"/>
                <w:sz w:val="24"/>
                <w:szCs w:val="24"/>
              </w:rPr>
              <w:t>A100</w:t>
            </w:r>
            <w:r>
              <w:rPr>
                <w:rFonts w:ascii="仿宋" w:eastAsia="仿宋" w:hAnsi="仿宋" w:cs="宋体"/>
                <w:color w:val="000000"/>
                <w:kern w:val="0"/>
                <w:sz w:val="24"/>
                <w:szCs w:val="24"/>
              </w:rPr>
              <w:t>交易型开放式指数证券投资基金</w:t>
            </w:r>
          </w:p>
        </w:tc>
        <w:tc>
          <w:tcPr>
            <w:tcW w:w="914" w:type="pct"/>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vAlign w:val="center"/>
          </w:tcPr>
          <w:p w:rsidR="00E73987" w:rsidRDefault="00AB24E0">
            <w:pPr>
              <w:widowControl/>
              <w:spacing w:line="360" w:lineRule="auto"/>
              <w:jc w:val="center"/>
              <w:rPr>
                <w:rFonts w:ascii="仿宋" w:eastAsia="仿宋" w:hAnsi="仿宋" w:cs="宋体"/>
                <w:color w:val="000000"/>
                <w:kern w:val="0"/>
                <w:sz w:val="24"/>
                <w:szCs w:val="24"/>
              </w:rPr>
            </w:pPr>
            <w:r>
              <w:rPr>
                <w:rFonts w:ascii="仿宋" w:eastAsia="仿宋" w:hAnsi="仿宋" w:cs="宋体"/>
                <w:color w:val="000000"/>
                <w:kern w:val="0"/>
                <w:sz w:val="24"/>
                <w:szCs w:val="24"/>
              </w:rPr>
              <w:t>512060</w:t>
            </w:r>
          </w:p>
        </w:tc>
      </w:tr>
      <w:tr w:rsidR="00E73987">
        <w:trPr>
          <w:trHeight w:val="705"/>
        </w:trPr>
        <w:tc>
          <w:tcPr>
            <w:tcW w:w="441" w:type="pct"/>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vAlign w:val="center"/>
          </w:tcPr>
          <w:p w:rsidR="00E73987" w:rsidRDefault="00AB24E0">
            <w:pPr>
              <w:widowControl/>
              <w:spacing w:line="360" w:lineRule="auto"/>
              <w:jc w:val="center"/>
              <w:rPr>
                <w:rFonts w:ascii="仿宋" w:eastAsia="仿宋" w:hAnsi="仿宋" w:cs="宋体"/>
                <w:color w:val="000000"/>
                <w:kern w:val="0"/>
                <w:sz w:val="24"/>
                <w:szCs w:val="24"/>
              </w:rPr>
            </w:pPr>
            <w:r>
              <w:rPr>
                <w:rFonts w:ascii="仿宋" w:eastAsia="仿宋" w:hAnsi="仿宋" w:cs="宋体"/>
                <w:color w:val="000000"/>
                <w:kern w:val="0"/>
                <w:sz w:val="24"/>
                <w:szCs w:val="24"/>
              </w:rPr>
              <w:t>10</w:t>
            </w:r>
          </w:p>
        </w:tc>
        <w:tc>
          <w:tcPr>
            <w:tcW w:w="3645" w:type="pct"/>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vAlign w:val="center"/>
          </w:tcPr>
          <w:p w:rsidR="00E73987" w:rsidRDefault="00AB24E0">
            <w:pPr>
              <w:widowControl/>
              <w:spacing w:line="360" w:lineRule="auto"/>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天弘中证港股通央企红利交易型开放式指数证券投资基金</w:t>
            </w:r>
          </w:p>
        </w:tc>
        <w:tc>
          <w:tcPr>
            <w:tcW w:w="914" w:type="pct"/>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vAlign w:val="center"/>
          </w:tcPr>
          <w:p w:rsidR="00E73987" w:rsidRDefault="00AB24E0">
            <w:pPr>
              <w:widowControl/>
              <w:spacing w:line="360" w:lineRule="auto"/>
              <w:jc w:val="center"/>
              <w:rPr>
                <w:rFonts w:ascii="仿宋" w:eastAsia="仿宋" w:hAnsi="仿宋" w:cs="宋体"/>
                <w:color w:val="000000"/>
                <w:kern w:val="0"/>
                <w:sz w:val="24"/>
                <w:szCs w:val="24"/>
              </w:rPr>
            </w:pPr>
            <w:r>
              <w:rPr>
                <w:rFonts w:ascii="仿宋" w:eastAsia="仿宋" w:hAnsi="仿宋" w:cs="宋体"/>
                <w:color w:val="000000"/>
                <w:kern w:val="0"/>
                <w:sz w:val="24"/>
                <w:szCs w:val="24"/>
              </w:rPr>
              <w:t>159281</w:t>
            </w:r>
          </w:p>
        </w:tc>
      </w:tr>
      <w:tr w:rsidR="00E73987">
        <w:trPr>
          <w:trHeight w:val="705"/>
        </w:trPr>
        <w:tc>
          <w:tcPr>
            <w:tcW w:w="441" w:type="pct"/>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vAlign w:val="center"/>
          </w:tcPr>
          <w:p w:rsidR="00E73987" w:rsidRDefault="00AB24E0">
            <w:pPr>
              <w:widowControl/>
              <w:spacing w:line="360" w:lineRule="auto"/>
              <w:jc w:val="center"/>
              <w:rPr>
                <w:rFonts w:ascii="仿宋" w:eastAsia="仿宋" w:hAnsi="仿宋" w:cs="宋体"/>
                <w:color w:val="000000"/>
                <w:kern w:val="0"/>
                <w:sz w:val="24"/>
                <w:szCs w:val="24"/>
              </w:rPr>
            </w:pPr>
            <w:r>
              <w:rPr>
                <w:rFonts w:ascii="仿宋" w:eastAsia="仿宋" w:hAnsi="仿宋" w:cs="宋体"/>
                <w:color w:val="000000"/>
                <w:kern w:val="0"/>
                <w:sz w:val="24"/>
                <w:szCs w:val="24"/>
              </w:rPr>
              <w:t>11</w:t>
            </w:r>
          </w:p>
        </w:tc>
        <w:tc>
          <w:tcPr>
            <w:tcW w:w="3645" w:type="pct"/>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vAlign w:val="center"/>
          </w:tcPr>
          <w:p w:rsidR="00E73987" w:rsidRDefault="00AB24E0">
            <w:pPr>
              <w:widowControl/>
              <w:spacing w:line="360" w:lineRule="auto"/>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天弘国证航天航空行业交易型开放式指数证券投资基金</w:t>
            </w:r>
          </w:p>
        </w:tc>
        <w:tc>
          <w:tcPr>
            <w:tcW w:w="914" w:type="pct"/>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vAlign w:val="center"/>
          </w:tcPr>
          <w:p w:rsidR="00E73987" w:rsidRDefault="00AB24E0">
            <w:pPr>
              <w:widowControl/>
              <w:spacing w:line="360" w:lineRule="auto"/>
              <w:jc w:val="center"/>
              <w:rPr>
                <w:rFonts w:ascii="仿宋" w:eastAsia="仿宋" w:hAnsi="仿宋" w:cs="宋体"/>
                <w:color w:val="000000"/>
                <w:kern w:val="0"/>
                <w:sz w:val="24"/>
                <w:szCs w:val="24"/>
              </w:rPr>
            </w:pPr>
            <w:r>
              <w:rPr>
                <w:rFonts w:ascii="仿宋" w:eastAsia="仿宋" w:hAnsi="仿宋" w:cs="宋体"/>
                <w:color w:val="000000"/>
                <w:kern w:val="0"/>
                <w:sz w:val="24"/>
                <w:szCs w:val="24"/>
              </w:rPr>
              <w:t>159241</w:t>
            </w:r>
          </w:p>
        </w:tc>
      </w:tr>
      <w:tr w:rsidR="00E73987">
        <w:trPr>
          <w:trHeight w:val="705"/>
        </w:trPr>
        <w:tc>
          <w:tcPr>
            <w:tcW w:w="441" w:type="pct"/>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vAlign w:val="center"/>
          </w:tcPr>
          <w:p w:rsidR="00E73987" w:rsidRDefault="00AB24E0">
            <w:pPr>
              <w:widowControl/>
              <w:spacing w:line="360" w:lineRule="auto"/>
              <w:jc w:val="center"/>
              <w:rPr>
                <w:rFonts w:ascii="仿宋" w:eastAsia="仿宋" w:hAnsi="仿宋" w:cs="宋体"/>
                <w:color w:val="000000"/>
                <w:kern w:val="0"/>
                <w:sz w:val="24"/>
                <w:szCs w:val="24"/>
              </w:rPr>
            </w:pPr>
            <w:r>
              <w:rPr>
                <w:rFonts w:ascii="仿宋" w:eastAsia="仿宋" w:hAnsi="仿宋" w:cs="宋体"/>
                <w:color w:val="000000"/>
                <w:kern w:val="0"/>
                <w:sz w:val="24"/>
                <w:szCs w:val="24"/>
              </w:rPr>
              <w:t>12</w:t>
            </w:r>
          </w:p>
        </w:tc>
        <w:tc>
          <w:tcPr>
            <w:tcW w:w="3645" w:type="pct"/>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vAlign w:val="center"/>
          </w:tcPr>
          <w:p w:rsidR="00E73987" w:rsidRDefault="00AB24E0">
            <w:pPr>
              <w:widowControl/>
              <w:spacing w:line="360" w:lineRule="auto"/>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天弘中证</w:t>
            </w:r>
            <w:r>
              <w:rPr>
                <w:rFonts w:ascii="仿宋" w:eastAsia="仿宋" w:hAnsi="仿宋" w:cs="宋体"/>
                <w:color w:val="000000"/>
                <w:kern w:val="0"/>
                <w:sz w:val="24"/>
                <w:szCs w:val="24"/>
              </w:rPr>
              <w:t>A500</w:t>
            </w:r>
            <w:r>
              <w:rPr>
                <w:rFonts w:ascii="仿宋" w:eastAsia="仿宋" w:hAnsi="仿宋" w:cs="宋体"/>
                <w:color w:val="000000"/>
                <w:kern w:val="0"/>
                <w:sz w:val="24"/>
                <w:szCs w:val="24"/>
              </w:rPr>
              <w:t>增强策略交易型开放式指数证券投资基金</w:t>
            </w:r>
          </w:p>
        </w:tc>
        <w:tc>
          <w:tcPr>
            <w:tcW w:w="914" w:type="pct"/>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vAlign w:val="center"/>
          </w:tcPr>
          <w:p w:rsidR="00E73987" w:rsidRDefault="00AB24E0">
            <w:pPr>
              <w:widowControl/>
              <w:spacing w:line="360" w:lineRule="auto"/>
              <w:jc w:val="center"/>
              <w:rPr>
                <w:rFonts w:ascii="仿宋" w:eastAsia="仿宋" w:hAnsi="仿宋" w:cs="宋体"/>
                <w:color w:val="000000"/>
                <w:kern w:val="0"/>
                <w:sz w:val="24"/>
                <w:szCs w:val="24"/>
              </w:rPr>
            </w:pPr>
            <w:r>
              <w:rPr>
                <w:rFonts w:ascii="仿宋" w:eastAsia="仿宋" w:hAnsi="仿宋" w:cs="宋体"/>
                <w:color w:val="000000"/>
                <w:kern w:val="0"/>
                <w:sz w:val="24"/>
                <w:szCs w:val="24"/>
              </w:rPr>
              <w:t>159240</w:t>
            </w:r>
          </w:p>
        </w:tc>
      </w:tr>
      <w:tr w:rsidR="00E73987">
        <w:trPr>
          <w:trHeight w:val="705"/>
        </w:trPr>
        <w:tc>
          <w:tcPr>
            <w:tcW w:w="441" w:type="pct"/>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vAlign w:val="center"/>
          </w:tcPr>
          <w:p w:rsidR="00E73987" w:rsidRDefault="00AB24E0">
            <w:pPr>
              <w:widowControl/>
              <w:spacing w:line="360" w:lineRule="auto"/>
              <w:jc w:val="center"/>
              <w:rPr>
                <w:rFonts w:ascii="仿宋" w:eastAsia="仿宋" w:hAnsi="仿宋" w:cs="宋体"/>
                <w:color w:val="000000"/>
                <w:kern w:val="0"/>
                <w:sz w:val="24"/>
                <w:szCs w:val="24"/>
              </w:rPr>
            </w:pPr>
            <w:r>
              <w:rPr>
                <w:rFonts w:ascii="仿宋" w:eastAsia="仿宋" w:hAnsi="仿宋" w:cs="宋体"/>
                <w:color w:val="000000"/>
                <w:kern w:val="0"/>
                <w:sz w:val="24"/>
                <w:szCs w:val="24"/>
              </w:rPr>
              <w:lastRenderedPageBreak/>
              <w:t>13</w:t>
            </w:r>
          </w:p>
        </w:tc>
        <w:tc>
          <w:tcPr>
            <w:tcW w:w="3645" w:type="pct"/>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vAlign w:val="center"/>
          </w:tcPr>
          <w:p w:rsidR="00E73987" w:rsidRDefault="00AB24E0">
            <w:pPr>
              <w:widowControl/>
              <w:spacing w:line="360" w:lineRule="auto"/>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天弘中证</w:t>
            </w:r>
            <w:r>
              <w:rPr>
                <w:rFonts w:ascii="仿宋" w:eastAsia="仿宋" w:hAnsi="仿宋" w:cs="宋体"/>
                <w:color w:val="000000"/>
                <w:kern w:val="0"/>
                <w:sz w:val="24"/>
                <w:szCs w:val="24"/>
              </w:rPr>
              <w:t>A500</w:t>
            </w:r>
            <w:r>
              <w:rPr>
                <w:rFonts w:ascii="仿宋" w:eastAsia="仿宋" w:hAnsi="仿宋" w:cs="宋体"/>
                <w:color w:val="000000"/>
                <w:kern w:val="0"/>
                <w:sz w:val="24"/>
                <w:szCs w:val="24"/>
              </w:rPr>
              <w:t>交易型开放式指数证券投资基金</w:t>
            </w:r>
          </w:p>
        </w:tc>
        <w:tc>
          <w:tcPr>
            <w:tcW w:w="914" w:type="pct"/>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vAlign w:val="center"/>
          </w:tcPr>
          <w:p w:rsidR="00E73987" w:rsidRDefault="00AB24E0">
            <w:pPr>
              <w:widowControl/>
              <w:spacing w:line="360" w:lineRule="auto"/>
              <w:jc w:val="center"/>
              <w:rPr>
                <w:rFonts w:ascii="仿宋" w:eastAsia="仿宋" w:hAnsi="仿宋" w:cs="宋体"/>
                <w:color w:val="000000"/>
                <w:kern w:val="0"/>
                <w:sz w:val="24"/>
                <w:szCs w:val="24"/>
              </w:rPr>
            </w:pPr>
            <w:r>
              <w:rPr>
                <w:rFonts w:ascii="仿宋" w:eastAsia="仿宋" w:hAnsi="仿宋" w:cs="宋体"/>
                <w:color w:val="000000"/>
                <w:kern w:val="0"/>
                <w:sz w:val="24"/>
                <w:szCs w:val="24"/>
              </w:rPr>
              <w:t>159360</w:t>
            </w:r>
          </w:p>
        </w:tc>
      </w:tr>
      <w:tr w:rsidR="00E73987">
        <w:trPr>
          <w:trHeight w:val="705"/>
        </w:trPr>
        <w:tc>
          <w:tcPr>
            <w:tcW w:w="441" w:type="pct"/>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vAlign w:val="center"/>
          </w:tcPr>
          <w:p w:rsidR="00E73987" w:rsidRDefault="00AB24E0">
            <w:pPr>
              <w:widowControl/>
              <w:spacing w:line="360" w:lineRule="auto"/>
              <w:jc w:val="center"/>
              <w:rPr>
                <w:rFonts w:ascii="仿宋" w:eastAsia="仿宋" w:hAnsi="仿宋" w:cs="宋体"/>
                <w:color w:val="000000"/>
                <w:kern w:val="0"/>
                <w:sz w:val="24"/>
                <w:szCs w:val="24"/>
              </w:rPr>
            </w:pPr>
            <w:r>
              <w:rPr>
                <w:rFonts w:ascii="仿宋" w:eastAsia="仿宋" w:hAnsi="仿宋" w:cs="宋体"/>
                <w:color w:val="000000"/>
                <w:kern w:val="0"/>
                <w:sz w:val="24"/>
                <w:szCs w:val="24"/>
              </w:rPr>
              <w:t>14</w:t>
            </w:r>
          </w:p>
        </w:tc>
        <w:tc>
          <w:tcPr>
            <w:tcW w:w="3645" w:type="pct"/>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vAlign w:val="center"/>
          </w:tcPr>
          <w:p w:rsidR="00E73987" w:rsidRDefault="00AB24E0">
            <w:pPr>
              <w:widowControl/>
              <w:spacing w:line="360" w:lineRule="auto"/>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天弘上证科创板综合交易型开放式指数证券投资基金</w:t>
            </w:r>
          </w:p>
        </w:tc>
        <w:tc>
          <w:tcPr>
            <w:tcW w:w="914" w:type="pct"/>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vAlign w:val="center"/>
          </w:tcPr>
          <w:p w:rsidR="00E73987" w:rsidRDefault="00AB24E0">
            <w:pPr>
              <w:widowControl/>
              <w:spacing w:line="360" w:lineRule="auto"/>
              <w:jc w:val="center"/>
              <w:rPr>
                <w:rFonts w:ascii="仿宋" w:eastAsia="仿宋" w:hAnsi="仿宋" w:cs="宋体"/>
                <w:color w:val="000000"/>
                <w:kern w:val="0"/>
                <w:sz w:val="24"/>
                <w:szCs w:val="24"/>
              </w:rPr>
            </w:pPr>
            <w:r>
              <w:rPr>
                <w:rFonts w:ascii="仿宋" w:eastAsia="仿宋" w:hAnsi="仿宋" w:cs="宋体"/>
                <w:color w:val="000000"/>
                <w:kern w:val="0"/>
                <w:sz w:val="24"/>
                <w:szCs w:val="24"/>
              </w:rPr>
              <w:t>589860</w:t>
            </w:r>
          </w:p>
        </w:tc>
      </w:tr>
      <w:tr w:rsidR="00E73987">
        <w:trPr>
          <w:trHeight w:val="705"/>
        </w:trPr>
        <w:tc>
          <w:tcPr>
            <w:tcW w:w="441" w:type="pct"/>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vAlign w:val="center"/>
          </w:tcPr>
          <w:p w:rsidR="00E73987" w:rsidRDefault="00AB24E0">
            <w:pPr>
              <w:widowControl/>
              <w:spacing w:line="360" w:lineRule="auto"/>
              <w:jc w:val="center"/>
              <w:rPr>
                <w:rFonts w:ascii="仿宋" w:eastAsia="仿宋" w:hAnsi="仿宋" w:cs="宋体"/>
                <w:color w:val="000000"/>
                <w:kern w:val="0"/>
                <w:sz w:val="24"/>
                <w:szCs w:val="24"/>
              </w:rPr>
            </w:pPr>
            <w:r>
              <w:rPr>
                <w:rFonts w:ascii="仿宋" w:eastAsia="仿宋" w:hAnsi="仿宋" w:cs="宋体"/>
                <w:color w:val="000000"/>
                <w:kern w:val="0"/>
                <w:sz w:val="24"/>
                <w:szCs w:val="24"/>
              </w:rPr>
              <w:t>15</w:t>
            </w:r>
          </w:p>
        </w:tc>
        <w:tc>
          <w:tcPr>
            <w:tcW w:w="3645" w:type="pct"/>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vAlign w:val="center"/>
          </w:tcPr>
          <w:p w:rsidR="00E73987" w:rsidRDefault="00AB24E0">
            <w:pPr>
              <w:widowControl/>
              <w:spacing w:line="360" w:lineRule="auto"/>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天弘深证基准做市信用债交易型开放式指数证券投资基金</w:t>
            </w:r>
          </w:p>
        </w:tc>
        <w:tc>
          <w:tcPr>
            <w:tcW w:w="914" w:type="pct"/>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vAlign w:val="center"/>
          </w:tcPr>
          <w:p w:rsidR="00E73987" w:rsidRDefault="00AB24E0">
            <w:pPr>
              <w:widowControl/>
              <w:spacing w:line="360" w:lineRule="auto"/>
              <w:jc w:val="center"/>
              <w:rPr>
                <w:rFonts w:ascii="仿宋" w:eastAsia="仿宋" w:hAnsi="仿宋" w:cs="宋体"/>
                <w:color w:val="000000"/>
                <w:kern w:val="0"/>
                <w:sz w:val="24"/>
                <w:szCs w:val="24"/>
              </w:rPr>
            </w:pPr>
            <w:r>
              <w:rPr>
                <w:rFonts w:ascii="仿宋" w:eastAsia="仿宋" w:hAnsi="仿宋" w:cs="宋体"/>
                <w:color w:val="000000"/>
                <w:kern w:val="0"/>
                <w:sz w:val="24"/>
                <w:szCs w:val="24"/>
              </w:rPr>
              <w:t>159398</w:t>
            </w:r>
          </w:p>
        </w:tc>
      </w:tr>
    </w:tbl>
    <w:bookmarkEnd w:id="0"/>
    <w:p w:rsidR="00E73987" w:rsidRDefault="00AB24E0">
      <w:pPr>
        <w:widowControl/>
        <w:shd w:val="clear" w:color="auto" w:fill="FFFFFF"/>
        <w:spacing w:line="360" w:lineRule="auto"/>
        <w:ind w:firstLine="360"/>
        <w:rPr>
          <w:rFonts w:ascii="仿宋" w:eastAsia="仿宋" w:hAnsi="仿宋" w:cs="宋体"/>
          <w:color w:val="666666"/>
          <w:kern w:val="0"/>
          <w:sz w:val="24"/>
          <w:szCs w:val="24"/>
        </w:rPr>
      </w:pPr>
      <w:r>
        <w:rPr>
          <w:rFonts w:ascii="仿宋" w:eastAsia="仿宋" w:hAnsi="仿宋" w:cs="宋体"/>
          <w:color w:val="000000"/>
          <w:kern w:val="0"/>
          <w:sz w:val="24"/>
          <w:szCs w:val="24"/>
        </w:rPr>
        <w:t>投资者可通过以下途径咨询有关事宜：</w:t>
      </w:r>
    </w:p>
    <w:p w:rsidR="00E73987" w:rsidRDefault="00AB24E0">
      <w:pPr>
        <w:widowControl/>
        <w:shd w:val="clear" w:color="auto" w:fill="FFFFFF"/>
        <w:spacing w:line="360" w:lineRule="auto"/>
        <w:ind w:firstLine="360"/>
        <w:rPr>
          <w:rFonts w:ascii="仿宋" w:eastAsia="仿宋" w:hAnsi="仿宋" w:cs="宋体"/>
          <w:color w:val="666666"/>
          <w:kern w:val="0"/>
          <w:sz w:val="24"/>
          <w:szCs w:val="24"/>
        </w:rPr>
      </w:pPr>
      <w:r>
        <w:rPr>
          <w:rFonts w:ascii="仿宋" w:eastAsia="仿宋" w:hAnsi="仿宋" w:cs="宋体"/>
          <w:color w:val="000000"/>
          <w:kern w:val="0"/>
          <w:sz w:val="24"/>
          <w:szCs w:val="24"/>
        </w:rPr>
        <w:t>1</w:t>
      </w:r>
      <w:r>
        <w:rPr>
          <w:rFonts w:ascii="仿宋" w:eastAsia="仿宋" w:hAnsi="仿宋" w:cs="宋体"/>
          <w:color w:val="000000"/>
          <w:kern w:val="0"/>
          <w:sz w:val="24"/>
          <w:szCs w:val="24"/>
        </w:rPr>
        <w:t>、天弘基金管理有限公司</w:t>
      </w:r>
    </w:p>
    <w:p w:rsidR="00E73987" w:rsidRDefault="00AB24E0">
      <w:pPr>
        <w:widowControl/>
        <w:shd w:val="clear" w:color="auto" w:fill="FFFFFF"/>
        <w:spacing w:line="360" w:lineRule="auto"/>
        <w:ind w:firstLine="360"/>
        <w:rPr>
          <w:rFonts w:ascii="仿宋" w:eastAsia="仿宋" w:hAnsi="仿宋" w:cs="宋体"/>
          <w:color w:val="666666"/>
          <w:kern w:val="0"/>
          <w:sz w:val="24"/>
          <w:szCs w:val="24"/>
        </w:rPr>
      </w:pPr>
      <w:r>
        <w:rPr>
          <w:rFonts w:ascii="仿宋" w:eastAsia="仿宋" w:hAnsi="仿宋" w:cs="宋体"/>
          <w:color w:val="000000"/>
          <w:kern w:val="0"/>
          <w:sz w:val="24"/>
          <w:szCs w:val="24"/>
        </w:rPr>
        <w:t>客服电话：</w:t>
      </w:r>
      <w:r>
        <w:rPr>
          <w:rFonts w:ascii="仿宋" w:eastAsia="仿宋" w:hAnsi="仿宋" w:cs="宋体"/>
          <w:color w:val="000000"/>
          <w:kern w:val="0"/>
          <w:sz w:val="24"/>
          <w:szCs w:val="24"/>
        </w:rPr>
        <w:t>95046</w:t>
      </w:r>
    </w:p>
    <w:p w:rsidR="00E73987" w:rsidRDefault="00AB24E0">
      <w:pPr>
        <w:widowControl/>
        <w:shd w:val="clear" w:color="auto" w:fill="FFFFFF"/>
        <w:spacing w:line="360" w:lineRule="auto"/>
        <w:ind w:firstLine="360"/>
        <w:rPr>
          <w:rFonts w:ascii="仿宋" w:eastAsia="仿宋" w:hAnsi="仿宋" w:cs="宋体"/>
          <w:color w:val="666666"/>
          <w:kern w:val="0"/>
          <w:sz w:val="24"/>
          <w:szCs w:val="24"/>
        </w:rPr>
      </w:pPr>
      <w:r>
        <w:rPr>
          <w:rFonts w:ascii="仿宋" w:eastAsia="仿宋" w:hAnsi="仿宋" w:cs="宋体"/>
          <w:color w:val="000000"/>
          <w:kern w:val="0"/>
          <w:sz w:val="24"/>
          <w:szCs w:val="24"/>
        </w:rPr>
        <w:t>网址：</w:t>
      </w:r>
      <w:r>
        <w:rPr>
          <w:rFonts w:ascii="仿宋" w:eastAsia="仿宋" w:hAnsi="仿宋" w:cs="宋体"/>
          <w:color w:val="000000"/>
          <w:kern w:val="0"/>
          <w:sz w:val="24"/>
          <w:szCs w:val="24"/>
        </w:rPr>
        <w:t>www.thfund.com.cn</w:t>
      </w:r>
    </w:p>
    <w:p w:rsidR="00E73987" w:rsidRDefault="00AB24E0">
      <w:pPr>
        <w:spacing w:line="360" w:lineRule="auto"/>
        <w:ind w:firstLine="360"/>
        <w:rPr>
          <w:rFonts w:ascii="仿宋" w:eastAsia="仿宋" w:hAnsi="仿宋"/>
          <w:kern w:val="0"/>
          <w:sz w:val="24"/>
          <w:szCs w:val="24"/>
        </w:rPr>
      </w:pPr>
      <w:r>
        <w:rPr>
          <w:rFonts w:ascii="仿宋" w:eastAsia="仿宋" w:hAnsi="仿宋"/>
          <w:kern w:val="0"/>
          <w:sz w:val="24"/>
          <w:szCs w:val="24"/>
        </w:rPr>
        <w:t>2</w:t>
      </w:r>
      <w:r>
        <w:rPr>
          <w:rFonts w:ascii="仿宋" w:eastAsia="仿宋" w:hAnsi="仿宋"/>
          <w:kern w:val="0"/>
          <w:sz w:val="24"/>
          <w:szCs w:val="24"/>
        </w:rPr>
        <w:t>、民生证券股份有限公司</w:t>
      </w:r>
    </w:p>
    <w:p w:rsidR="00E73987" w:rsidRDefault="00AB24E0">
      <w:pPr>
        <w:spacing w:line="360" w:lineRule="auto"/>
        <w:ind w:firstLine="360"/>
        <w:rPr>
          <w:rFonts w:ascii="仿宋" w:eastAsia="仿宋" w:hAnsi="仿宋"/>
          <w:kern w:val="0"/>
          <w:sz w:val="24"/>
          <w:szCs w:val="24"/>
        </w:rPr>
      </w:pPr>
      <w:r>
        <w:rPr>
          <w:rFonts w:ascii="仿宋" w:eastAsia="仿宋" w:hAnsi="仿宋" w:hint="eastAsia"/>
          <w:kern w:val="0"/>
          <w:sz w:val="24"/>
          <w:szCs w:val="24"/>
        </w:rPr>
        <w:t>客服电话：</w:t>
      </w:r>
      <w:bookmarkStart w:id="1" w:name="_GoBack"/>
      <w:r>
        <w:rPr>
          <w:rFonts w:ascii="宋体" w:eastAsia="宋体" w:hAnsi="宋体" w:cs="宋体"/>
          <w:sz w:val="24"/>
          <w:szCs w:val="24"/>
        </w:rPr>
        <w:t>95376</w:t>
      </w:r>
      <w:bookmarkEnd w:id="1"/>
    </w:p>
    <w:p w:rsidR="00E73987" w:rsidRDefault="00AB24E0">
      <w:pPr>
        <w:spacing w:line="360" w:lineRule="auto"/>
        <w:ind w:firstLine="360"/>
        <w:rPr>
          <w:rFonts w:ascii="仿宋" w:eastAsia="仿宋" w:hAnsi="仿宋"/>
          <w:kern w:val="0"/>
          <w:sz w:val="24"/>
          <w:szCs w:val="24"/>
        </w:rPr>
      </w:pPr>
      <w:r>
        <w:rPr>
          <w:rFonts w:ascii="仿宋" w:eastAsia="仿宋" w:hAnsi="仿宋" w:hint="eastAsia"/>
          <w:kern w:val="0"/>
          <w:sz w:val="24"/>
          <w:szCs w:val="24"/>
        </w:rPr>
        <w:t>网址：</w:t>
      </w:r>
      <w:r>
        <w:rPr>
          <w:rFonts w:ascii="仿宋" w:eastAsia="仿宋" w:hAnsi="仿宋"/>
          <w:kern w:val="0"/>
          <w:sz w:val="24"/>
          <w:szCs w:val="24"/>
        </w:rPr>
        <w:t>www.mszq.com</w:t>
      </w:r>
    </w:p>
    <w:p w:rsidR="00E73987" w:rsidRDefault="00E73987">
      <w:pPr>
        <w:spacing w:line="360" w:lineRule="auto"/>
        <w:ind w:firstLine="360"/>
        <w:rPr>
          <w:rFonts w:ascii="仿宋" w:eastAsia="仿宋" w:hAnsi="仿宋"/>
          <w:kern w:val="0"/>
          <w:sz w:val="24"/>
          <w:szCs w:val="24"/>
        </w:rPr>
      </w:pPr>
    </w:p>
    <w:p w:rsidR="00E73987" w:rsidRDefault="00E73987">
      <w:pPr>
        <w:spacing w:line="360" w:lineRule="auto"/>
        <w:ind w:firstLine="360"/>
        <w:rPr>
          <w:rFonts w:ascii="仿宋" w:eastAsia="仿宋" w:hAnsi="仿宋"/>
          <w:kern w:val="0"/>
          <w:sz w:val="24"/>
          <w:szCs w:val="24"/>
        </w:rPr>
      </w:pPr>
    </w:p>
    <w:p w:rsidR="00E73987" w:rsidRDefault="00AB24E0">
      <w:pPr>
        <w:widowControl/>
        <w:shd w:val="clear" w:color="auto" w:fill="FFFFFF"/>
        <w:spacing w:line="360" w:lineRule="auto"/>
        <w:ind w:firstLine="360"/>
        <w:rPr>
          <w:rFonts w:ascii="仿宋" w:eastAsia="仿宋" w:hAnsi="仿宋" w:cs="宋体"/>
          <w:color w:val="666666"/>
          <w:kern w:val="0"/>
          <w:sz w:val="24"/>
          <w:szCs w:val="24"/>
        </w:rPr>
      </w:pPr>
      <w:r>
        <w:rPr>
          <w:rFonts w:ascii="仿宋" w:eastAsia="仿宋" w:hAnsi="仿宋" w:cs="宋体"/>
          <w:color w:val="000000"/>
          <w:kern w:val="0"/>
          <w:sz w:val="24"/>
          <w:szCs w:val="24"/>
        </w:rPr>
        <w:t>特此公告。</w:t>
      </w:r>
    </w:p>
    <w:p w:rsidR="00E73987" w:rsidRDefault="00E73987">
      <w:pPr>
        <w:widowControl/>
        <w:shd w:val="clear" w:color="auto" w:fill="FFFFFF"/>
        <w:spacing w:line="360" w:lineRule="auto"/>
        <w:ind w:firstLine="360"/>
        <w:jc w:val="right"/>
        <w:rPr>
          <w:rFonts w:ascii="仿宋" w:eastAsia="仿宋" w:hAnsi="仿宋" w:cs="Calibri"/>
          <w:color w:val="000000"/>
          <w:kern w:val="0"/>
          <w:sz w:val="24"/>
          <w:szCs w:val="24"/>
        </w:rPr>
      </w:pPr>
    </w:p>
    <w:p w:rsidR="00E73987" w:rsidRDefault="00E73987">
      <w:pPr>
        <w:widowControl/>
        <w:shd w:val="clear" w:color="auto" w:fill="FFFFFF"/>
        <w:spacing w:line="360" w:lineRule="auto"/>
        <w:ind w:firstLine="360"/>
        <w:jc w:val="right"/>
        <w:rPr>
          <w:rFonts w:ascii="仿宋" w:eastAsia="仿宋" w:hAnsi="仿宋" w:cs="Calibri"/>
          <w:color w:val="000000"/>
          <w:kern w:val="0"/>
          <w:sz w:val="24"/>
          <w:szCs w:val="24"/>
        </w:rPr>
      </w:pPr>
    </w:p>
    <w:p w:rsidR="00E73987" w:rsidRDefault="00AB24E0">
      <w:pPr>
        <w:widowControl/>
        <w:shd w:val="clear" w:color="auto" w:fill="FFFFFF"/>
        <w:spacing w:line="360" w:lineRule="auto"/>
        <w:ind w:firstLine="360"/>
        <w:jc w:val="right"/>
        <w:rPr>
          <w:rFonts w:ascii="仿宋" w:eastAsia="仿宋" w:hAnsi="仿宋" w:cs="宋体"/>
          <w:color w:val="000000"/>
          <w:kern w:val="0"/>
          <w:sz w:val="24"/>
          <w:szCs w:val="24"/>
        </w:rPr>
      </w:pPr>
      <w:r>
        <w:rPr>
          <w:rFonts w:ascii="仿宋" w:eastAsia="仿宋" w:hAnsi="仿宋" w:cs="宋体"/>
          <w:color w:val="000000"/>
          <w:kern w:val="0"/>
          <w:sz w:val="24"/>
          <w:szCs w:val="24"/>
        </w:rPr>
        <w:t>天弘基金管理有限公司</w:t>
      </w:r>
    </w:p>
    <w:p w:rsidR="00E73987" w:rsidRDefault="00AB24E0">
      <w:pPr>
        <w:widowControl/>
        <w:shd w:val="clear" w:color="auto" w:fill="FFFFFF"/>
        <w:spacing w:line="360" w:lineRule="auto"/>
        <w:ind w:firstLine="360"/>
        <w:jc w:val="right"/>
        <w:rPr>
          <w:rFonts w:ascii="仿宋" w:eastAsia="仿宋" w:hAnsi="仿宋" w:cs="宋体"/>
          <w:color w:val="666666"/>
          <w:kern w:val="0"/>
          <w:sz w:val="24"/>
          <w:szCs w:val="24"/>
        </w:rPr>
      </w:pPr>
      <w:r>
        <w:rPr>
          <w:rFonts w:ascii="仿宋" w:eastAsia="仿宋" w:hAnsi="仿宋" w:hint="eastAsia"/>
          <w:kern w:val="0"/>
          <w:sz w:val="24"/>
          <w:szCs w:val="24"/>
        </w:rPr>
        <w:t>二〇二五年十月二十七日</w:t>
      </w:r>
    </w:p>
    <w:p w:rsidR="00E73987" w:rsidRDefault="00E73987"/>
    <w:sectPr w:rsidR="00E73987" w:rsidSect="00E7398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default"/>
    <w:sig w:usb0="00000000" w:usb1="00000000" w:usb2="00000016" w:usb3="00000000" w:csb0="0004000F"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default"/>
    <w:sig w:usb0="00000000" w:usb1="0000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等线 Light">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002592"/>
    <w:rsid w:val="00002592"/>
    <w:rsid w:val="00054567"/>
    <w:rsid w:val="000B726F"/>
    <w:rsid w:val="000C5CAA"/>
    <w:rsid w:val="00373B9D"/>
    <w:rsid w:val="005147E0"/>
    <w:rsid w:val="006D4CD5"/>
    <w:rsid w:val="008136D7"/>
    <w:rsid w:val="00A42873"/>
    <w:rsid w:val="00A771B2"/>
    <w:rsid w:val="00AB24E0"/>
    <w:rsid w:val="00AB65AA"/>
    <w:rsid w:val="00BC3571"/>
    <w:rsid w:val="00E73987"/>
    <w:rsid w:val="7FB97E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98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E73987"/>
    <w:pPr>
      <w:jc w:val="left"/>
    </w:pPr>
  </w:style>
  <w:style w:type="paragraph" w:styleId="a4">
    <w:name w:val="Balloon Text"/>
    <w:basedOn w:val="a"/>
    <w:link w:val="Char0"/>
    <w:uiPriority w:val="99"/>
    <w:semiHidden/>
    <w:unhideWhenUsed/>
    <w:rsid w:val="00E73987"/>
    <w:rPr>
      <w:sz w:val="18"/>
      <w:szCs w:val="18"/>
    </w:rPr>
  </w:style>
  <w:style w:type="paragraph" w:styleId="a5">
    <w:name w:val="footer"/>
    <w:basedOn w:val="a"/>
    <w:link w:val="Char1"/>
    <w:uiPriority w:val="99"/>
    <w:unhideWhenUsed/>
    <w:rsid w:val="00E73987"/>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E73987"/>
    <w:pPr>
      <w:pBdr>
        <w:bottom w:val="single" w:sz="6" w:space="1" w:color="auto"/>
      </w:pBdr>
      <w:tabs>
        <w:tab w:val="center" w:pos="4153"/>
        <w:tab w:val="right" w:pos="8306"/>
      </w:tabs>
      <w:snapToGrid w:val="0"/>
      <w:jc w:val="center"/>
    </w:pPr>
    <w:rPr>
      <w:sz w:val="18"/>
      <w:szCs w:val="18"/>
    </w:rPr>
  </w:style>
  <w:style w:type="character" w:styleId="a7">
    <w:name w:val="annotation reference"/>
    <w:basedOn w:val="a0"/>
    <w:uiPriority w:val="99"/>
    <w:semiHidden/>
    <w:unhideWhenUsed/>
    <w:rsid w:val="00E73987"/>
    <w:rPr>
      <w:sz w:val="21"/>
      <w:szCs w:val="21"/>
    </w:rPr>
  </w:style>
  <w:style w:type="character" w:customStyle="1" w:styleId="Char2">
    <w:name w:val="页眉 Char"/>
    <w:basedOn w:val="a0"/>
    <w:link w:val="a6"/>
    <w:uiPriority w:val="99"/>
    <w:rsid w:val="00E73987"/>
    <w:rPr>
      <w:sz w:val="18"/>
      <w:szCs w:val="18"/>
    </w:rPr>
  </w:style>
  <w:style w:type="character" w:customStyle="1" w:styleId="Char1">
    <w:name w:val="页脚 Char"/>
    <w:basedOn w:val="a0"/>
    <w:link w:val="a5"/>
    <w:uiPriority w:val="99"/>
    <w:rsid w:val="00E73987"/>
    <w:rPr>
      <w:sz w:val="18"/>
      <w:szCs w:val="18"/>
    </w:rPr>
  </w:style>
  <w:style w:type="character" w:customStyle="1" w:styleId="Char">
    <w:name w:val="批注文字 Char"/>
    <w:basedOn w:val="a0"/>
    <w:link w:val="a3"/>
    <w:uiPriority w:val="99"/>
    <w:semiHidden/>
    <w:rsid w:val="00E73987"/>
  </w:style>
  <w:style w:type="character" w:customStyle="1" w:styleId="Char0">
    <w:name w:val="批注框文本 Char"/>
    <w:basedOn w:val="a0"/>
    <w:link w:val="a4"/>
    <w:uiPriority w:val="99"/>
    <w:semiHidden/>
    <w:rsid w:val="00E73987"/>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691</Characters>
  <Application>Microsoft Office Word</Application>
  <DocSecurity>4</DocSecurity>
  <Lines>5</Lines>
  <Paragraphs>1</Paragraphs>
  <ScaleCrop>false</ScaleCrop>
  <Company>CNSTOCK</Company>
  <LinksUpToDate>false</LinksUpToDate>
  <CharactersWithSpaces>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兰静阳</dc:creator>
  <cp:lastModifiedBy>ZHONGM</cp:lastModifiedBy>
  <cp:revision>2</cp:revision>
  <dcterms:created xsi:type="dcterms:W3CDTF">2025-10-26T16:03:00Z</dcterms:created>
  <dcterms:modified xsi:type="dcterms:W3CDTF">2025-10-26T16:03:00Z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