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86D" w:rsidRDefault="0079125E">
      <w:pPr>
        <w:widowControl w:val="0"/>
        <w:spacing w:after="0" w:line="360" w:lineRule="auto"/>
        <w:ind w:left="0" w:right="0" w:firstLine="0"/>
        <w:jc w:val="center"/>
        <w:rPr>
          <w:rFonts w:ascii="Times New Roman" w:eastAsiaTheme="minorEastAsia" w:hAnsi="Times New Roman" w:cstheme="minorBidi"/>
          <w:b/>
          <w:color w:val="auto"/>
          <w:sz w:val="30"/>
          <w:szCs w:val="30"/>
        </w:rPr>
      </w:pPr>
      <w:r>
        <w:rPr>
          <w:rFonts w:ascii="Times New Roman" w:eastAsiaTheme="minorEastAsia" w:hAnsi="Times New Roman" w:cstheme="minorBidi" w:hint="eastAsia"/>
          <w:b/>
          <w:color w:val="auto"/>
          <w:sz w:val="30"/>
          <w:szCs w:val="30"/>
        </w:rPr>
        <w:t>富国基金管理有限公司关于旗下</w:t>
      </w:r>
      <w:r>
        <w:rPr>
          <w:rFonts w:ascii="Times New Roman" w:eastAsiaTheme="minorEastAsia" w:hAnsi="Times New Roman" w:cstheme="minorBidi" w:hint="eastAsia"/>
          <w:b/>
          <w:color w:val="auto"/>
          <w:sz w:val="30"/>
          <w:szCs w:val="30"/>
        </w:rPr>
        <w:t>部分</w:t>
      </w:r>
      <w:r>
        <w:rPr>
          <w:rFonts w:ascii="Times New Roman" w:eastAsiaTheme="minorEastAsia" w:hAnsi="Times New Roman" w:cstheme="minorBidi" w:hint="eastAsia"/>
          <w:b/>
          <w:color w:val="auto"/>
          <w:sz w:val="30"/>
          <w:szCs w:val="30"/>
        </w:rPr>
        <w:t>上交所</w:t>
      </w:r>
      <w:r>
        <w:rPr>
          <w:rFonts w:ascii="Times New Roman" w:eastAsiaTheme="minorEastAsia" w:hAnsi="Times New Roman" w:cstheme="minorBidi"/>
          <w:b/>
          <w:color w:val="auto"/>
          <w:sz w:val="30"/>
          <w:szCs w:val="30"/>
        </w:rPr>
        <w:t>ETF</w:t>
      </w:r>
      <w:r>
        <w:rPr>
          <w:rFonts w:ascii="Times New Roman" w:eastAsiaTheme="minorEastAsia" w:hAnsi="Times New Roman" w:cstheme="minorBidi"/>
          <w:b/>
          <w:color w:val="auto"/>
          <w:sz w:val="30"/>
          <w:szCs w:val="30"/>
        </w:rPr>
        <w:t>申购赎回清单版本更新的公告</w:t>
      </w:r>
    </w:p>
    <w:p w:rsidR="0007086D" w:rsidRDefault="0007086D">
      <w:pPr>
        <w:spacing w:after="0" w:line="240" w:lineRule="auto"/>
        <w:ind w:left="0" w:right="0" w:firstLine="0"/>
        <w:jc w:val="center"/>
        <w:rPr>
          <w:rFonts w:asciiTheme="majorEastAsia" w:eastAsiaTheme="majorEastAsia" w:hAnsiTheme="majorEastAsia"/>
          <w:sz w:val="36"/>
        </w:rPr>
      </w:pPr>
    </w:p>
    <w:p w:rsidR="0007086D" w:rsidRDefault="0079125E">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rPr>
        <w:t>根据上海证券交易所最新</w:t>
      </w:r>
      <w:r>
        <w:rPr>
          <w:rFonts w:ascii="Times New Roman" w:eastAsiaTheme="minorEastAsia" w:hAnsi="Times New Roman" w:cs="Times New Roman" w:hint="eastAsia"/>
          <w:bCs/>
          <w:color w:val="auto"/>
          <w:szCs w:val="20"/>
        </w:rPr>
        <w:t>ETF</w:t>
      </w:r>
      <w:r>
        <w:rPr>
          <w:rFonts w:ascii="Times New Roman" w:eastAsiaTheme="minorEastAsia" w:hAnsi="Times New Roman" w:cs="Times New Roman" w:hint="eastAsia"/>
          <w:bCs/>
          <w:color w:val="auto"/>
          <w:szCs w:val="20"/>
        </w:rPr>
        <w:t>申购赎回清单</w:t>
      </w:r>
      <w:r>
        <w:rPr>
          <w:rFonts w:ascii="Times New Roman" w:eastAsiaTheme="minorEastAsia" w:hAnsi="Times New Roman" w:cs="Times New Roman" w:hint="eastAsia"/>
          <w:bCs/>
          <w:color w:val="auto"/>
          <w:szCs w:val="20"/>
        </w:rPr>
        <w:t>格式规则，</w:t>
      </w:r>
      <w:r>
        <w:rPr>
          <w:rFonts w:ascii="Times New Roman" w:eastAsiaTheme="minorEastAsia" w:hAnsi="Times New Roman" w:cs="Times New Roman" w:hint="eastAsia"/>
          <w:bCs/>
          <w:color w:val="auto"/>
          <w:szCs w:val="20"/>
          <w:lang w:val="zh-CN"/>
        </w:rPr>
        <w:t>自</w:t>
      </w:r>
      <w:r>
        <w:rPr>
          <w:rFonts w:ascii="Times New Roman" w:eastAsiaTheme="minorEastAsia" w:hAnsi="Times New Roman" w:cs="Times New Roman" w:hint="eastAsia"/>
          <w:bCs/>
          <w:color w:val="auto"/>
          <w:szCs w:val="20"/>
          <w:lang w:val="zh-CN"/>
        </w:rPr>
        <w:t>2025</w:t>
      </w:r>
      <w:r>
        <w:rPr>
          <w:rFonts w:ascii="Times New Roman" w:eastAsiaTheme="minorEastAsia" w:hAnsi="Times New Roman" w:cs="Times New Roman" w:hint="eastAsia"/>
          <w:bCs/>
          <w:color w:val="auto"/>
          <w:szCs w:val="20"/>
          <w:lang w:val="zh-CN"/>
        </w:rPr>
        <w:t>年</w:t>
      </w:r>
      <w:r>
        <w:rPr>
          <w:rFonts w:ascii="Times New Roman" w:eastAsiaTheme="minorEastAsia" w:hAnsi="Times New Roman" w:cs="Times New Roman" w:hint="eastAsia"/>
          <w:bCs/>
          <w:color w:val="auto"/>
          <w:szCs w:val="20"/>
          <w:lang w:val="zh-CN"/>
        </w:rPr>
        <w:t>10</w:t>
      </w:r>
      <w:r>
        <w:rPr>
          <w:rFonts w:ascii="Times New Roman" w:eastAsiaTheme="minorEastAsia" w:hAnsi="Times New Roman" w:cs="Times New Roman" w:hint="eastAsia"/>
          <w:bCs/>
          <w:color w:val="auto"/>
          <w:szCs w:val="20"/>
          <w:lang w:val="zh-CN"/>
        </w:rPr>
        <w:t>月</w:t>
      </w:r>
      <w:r>
        <w:rPr>
          <w:rFonts w:ascii="Times New Roman" w:eastAsiaTheme="minorEastAsia" w:hAnsi="Times New Roman" w:cs="Times New Roman" w:hint="eastAsia"/>
          <w:bCs/>
          <w:color w:val="auto"/>
          <w:szCs w:val="20"/>
          <w:lang w:val="zh-CN"/>
        </w:rPr>
        <w:t>27</w:t>
      </w:r>
      <w:r>
        <w:rPr>
          <w:rFonts w:ascii="Times New Roman" w:eastAsiaTheme="minorEastAsia" w:hAnsi="Times New Roman" w:cs="Times New Roman" w:hint="eastAsia"/>
          <w:bCs/>
          <w:color w:val="auto"/>
          <w:szCs w:val="20"/>
          <w:lang w:val="zh-CN"/>
        </w:rPr>
        <w:t>日</w:t>
      </w:r>
      <w:r>
        <w:rPr>
          <w:rFonts w:ascii="Times New Roman" w:eastAsiaTheme="minorEastAsia" w:hAnsi="Times New Roman" w:cs="Times New Roman"/>
          <w:bCs/>
          <w:color w:val="auto"/>
          <w:szCs w:val="20"/>
          <w:lang w:val="zh-CN"/>
        </w:rPr>
        <w:t>起，</w:t>
      </w:r>
      <w:r>
        <w:rPr>
          <w:rFonts w:ascii="Times New Roman" w:eastAsiaTheme="minorEastAsia" w:hAnsi="Times New Roman" w:cs="Times New Roman" w:hint="eastAsia"/>
          <w:bCs/>
          <w:color w:val="auto"/>
          <w:szCs w:val="20"/>
          <w:lang w:val="zh-CN"/>
        </w:rPr>
        <w:t>富国基金管理有限公司</w:t>
      </w:r>
      <w:r>
        <w:rPr>
          <w:rFonts w:ascii="Times New Roman" w:eastAsiaTheme="minorEastAsia" w:hAnsi="Times New Roman" w:cs="Times New Roman"/>
          <w:bCs/>
          <w:color w:val="auto"/>
          <w:szCs w:val="20"/>
          <w:lang w:val="zh-CN"/>
        </w:rPr>
        <w:t>（以下简称</w:t>
      </w:r>
      <w:r>
        <w:rPr>
          <w:rFonts w:ascii="Times New Roman" w:eastAsiaTheme="minorEastAsia" w:hAnsi="Times New Roman" w:cs="Times New Roman"/>
          <w:bCs/>
          <w:color w:val="auto"/>
          <w:szCs w:val="20"/>
          <w:lang w:val="zh-CN"/>
        </w:rPr>
        <w:t>“</w:t>
      </w:r>
      <w:r>
        <w:rPr>
          <w:rFonts w:ascii="Times New Roman" w:eastAsiaTheme="minorEastAsia" w:hAnsi="Times New Roman" w:cs="Times New Roman"/>
          <w:bCs/>
          <w:color w:val="auto"/>
          <w:szCs w:val="20"/>
          <w:lang w:val="zh-CN"/>
        </w:rPr>
        <w:t>本公司</w:t>
      </w:r>
      <w:r>
        <w:rPr>
          <w:rFonts w:ascii="Times New Roman" w:eastAsiaTheme="minorEastAsia" w:hAnsi="Times New Roman" w:cs="Times New Roman"/>
          <w:bCs/>
          <w:color w:val="auto"/>
          <w:szCs w:val="20"/>
          <w:lang w:val="zh-CN"/>
        </w:rPr>
        <w:t>”</w:t>
      </w:r>
      <w:r>
        <w:rPr>
          <w:rFonts w:ascii="Times New Roman" w:eastAsiaTheme="minorEastAsia" w:hAnsi="Times New Roman" w:cs="Times New Roman"/>
          <w:bCs/>
          <w:color w:val="auto"/>
          <w:szCs w:val="20"/>
          <w:lang w:val="zh-CN"/>
        </w:rPr>
        <w:t>）对旗下部分上交所</w:t>
      </w:r>
      <w:r>
        <w:rPr>
          <w:rFonts w:ascii="Times New Roman" w:eastAsiaTheme="minorEastAsia" w:hAnsi="Times New Roman" w:cs="Times New Roman"/>
          <w:bCs/>
          <w:color w:val="auto"/>
          <w:szCs w:val="20"/>
          <w:lang w:val="zh-CN"/>
        </w:rPr>
        <w:t>ETF</w:t>
      </w:r>
      <w:r>
        <w:rPr>
          <w:rFonts w:ascii="Times New Roman" w:eastAsiaTheme="minorEastAsia" w:hAnsi="Times New Roman" w:cs="Times New Roman"/>
          <w:bCs/>
          <w:color w:val="auto"/>
          <w:szCs w:val="20"/>
          <w:lang w:val="zh-CN"/>
        </w:rPr>
        <w:t>申购赎回清单进行版本更新，</w:t>
      </w:r>
      <w:r>
        <w:rPr>
          <w:rFonts w:ascii="Times New Roman" w:eastAsiaTheme="minorEastAsia" w:hAnsi="Times New Roman" w:cs="Times New Roman" w:hint="eastAsia"/>
          <w:bCs/>
          <w:color w:val="auto"/>
          <w:szCs w:val="20"/>
        </w:rPr>
        <w:t>具体如下：</w:t>
      </w:r>
    </w:p>
    <w:p w:rsidR="0007086D" w:rsidRDefault="0007086D">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lang w:val="zh-CN"/>
        </w:rPr>
      </w:pPr>
    </w:p>
    <w:p w:rsidR="0007086D" w:rsidRDefault="0079125E">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lang w:val="zh-CN"/>
        </w:rPr>
      </w:pPr>
      <w:r>
        <w:rPr>
          <w:rFonts w:ascii="Times New Roman" w:eastAsiaTheme="minorEastAsia" w:hAnsi="Times New Roman" w:cs="Times New Roman"/>
          <w:bCs/>
          <w:color w:val="auto"/>
          <w:szCs w:val="20"/>
          <w:lang w:val="zh-CN"/>
        </w:rPr>
        <w:t>一</w:t>
      </w:r>
      <w:r>
        <w:rPr>
          <w:rFonts w:ascii="Times New Roman" w:eastAsiaTheme="minorEastAsia" w:hAnsi="Times New Roman" w:cs="Times New Roman" w:hint="eastAsia"/>
          <w:bCs/>
          <w:color w:val="auto"/>
          <w:szCs w:val="20"/>
          <w:lang w:val="zh-CN"/>
        </w:rPr>
        <w:t>、本公司旗下拟更新申购赎回清单版本的上交所</w:t>
      </w:r>
      <w:r>
        <w:rPr>
          <w:rFonts w:ascii="Times New Roman" w:eastAsiaTheme="minorEastAsia" w:hAnsi="Times New Roman" w:cs="Times New Roman"/>
          <w:bCs/>
          <w:color w:val="auto"/>
          <w:szCs w:val="20"/>
          <w:lang w:val="zh-CN"/>
        </w:rPr>
        <w:t>ETF</w:t>
      </w:r>
      <w:r>
        <w:rPr>
          <w:rFonts w:ascii="Times New Roman" w:eastAsiaTheme="minorEastAsia" w:hAnsi="Times New Roman" w:cs="Times New Roman"/>
          <w:bCs/>
          <w:color w:val="auto"/>
          <w:szCs w:val="20"/>
          <w:lang w:val="zh-CN"/>
        </w:rPr>
        <w:t>列表</w:t>
      </w:r>
    </w:p>
    <w:tbl>
      <w:tblPr>
        <w:tblW w:w="9923" w:type="dxa"/>
        <w:tblInd w:w="-861" w:type="dxa"/>
        <w:tblLayout w:type="fixed"/>
        <w:tblCellMar>
          <w:left w:w="0" w:type="dxa"/>
          <w:right w:w="0" w:type="dxa"/>
        </w:tblCellMar>
        <w:tblLook w:val="04A0"/>
      </w:tblPr>
      <w:tblGrid>
        <w:gridCol w:w="1350"/>
        <w:gridCol w:w="5406"/>
        <w:gridCol w:w="1434"/>
        <w:gridCol w:w="1733"/>
      </w:tblGrid>
      <w:tr w:rsidR="0007086D">
        <w:trPr>
          <w:trHeight w:val="345"/>
        </w:trPr>
        <w:tc>
          <w:tcPr>
            <w:tcW w:w="13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代码</w:t>
            </w:r>
          </w:p>
        </w:tc>
        <w:tc>
          <w:tcPr>
            <w:tcW w:w="540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rPr>
              <w:t>基金全称</w:t>
            </w:r>
          </w:p>
        </w:tc>
        <w:tc>
          <w:tcPr>
            <w:tcW w:w="14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场内简称</w:t>
            </w:r>
          </w:p>
        </w:tc>
        <w:tc>
          <w:tcPr>
            <w:tcW w:w="173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扩位简称</w:t>
            </w:r>
          </w:p>
        </w:tc>
      </w:tr>
      <w:tr w:rsidR="0007086D">
        <w:trPr>
          <w:trHeight w:val="345"/>
        </w:trPr>
        <w:tc>
          <w:tcPr>
            <w:tcW w:w="1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513350</w:t>
            </w:r>
          </w:p>
        </w:tc>
        <w:tc>
          <w:tcPr>
            <w:tcW w:w="54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富国标普石油天然气勘探及生产精选行业交易型开放式指数证券投资基金</w:t>
            </w:r>
            <w:r>
              <w:rPr>
                <w:rFonts w:ascii="Times New Roman" w:eastAsiaTheme="minorEastAsia" w:hAnsi="Times New Roman" w:cs="Times New Roman" w:hint="eastAsia"/>
                <w:bCs/>
                <w:color w:val="auto"/>
                <w:szCs w:val="20"/>
                <w:lang w:val="zh-CN"/>
              </w:rPr>
              <w:t>(QDII)</w:t>
            </w:r>
          </w:p>
        </w:tc>
        <w:tc>
          <w:tcPr>
            <w:tcW w:w="143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油气</w:t>
            </w:r>
            <w:r>
              <w:rPr>
                <w:rFonts w:ascii="Times New Roman" w:eastAsiaTheme="minorEastAsia" w:hAnsi="Times New Roman" w:cs="Times New Roman" w:hint="eastAsia"/>
                <w:bCs/>
                <w:color w:val="auto"/>
                <w:szCs w:val="20"/>
                <w:lang w:val="zh-CN"/>
              </w:rPr>
              <w:t>ETF</w:t>
            </w:r>
          </w:p>
        </w:tc>
        <w:tc>
          <w:tcPr>
            <w:tcW w:w="173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标普油气</w:t>
            </w:r>
            <w:r>
              <w:rPr>
                <w:rFonts w:ascii="Times New Roman" w:eastAsiaTheme="minorEastAsia" w:hAnsi="Times New Roman" w:cs="Times New Roman" w:hint="eastAsia"/>
                <w:bCs/>
                <w:color w:val="auto"/>
                <w:szCs w:val="20"/>
                <w:lang w:val="zh-CN"/>
              </w:rPr>
              <w:t>ETF</w:t>
            </w:r>
          </w:p>
        </w:tc>
      </w:tr>
      <w:tr w:rsidR="0007086D">
        <w:trPr>
          <w:trHeight w:val="345"/>
        </w:trPr>
        <w:tc>
          <w:tcPr>
            <w:tcW w:w="1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517100</w:t>
            </w:r>
          </w:p>
        </w:tc>
        <w:tc>
          <w:tcPr>
            <w:tcW w:w="54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富国中证沪港深</w:t>
            </w:r>
            <w:r>
              <w:rPr>
                <w:rFonts w:ascii="Times New Roman" w:eastAsiaTheme="minorEastAsia" w:hAnsi="Times New Roman" w:cs="Times New Roman" w:hint="eastAsia"/>
                <w:bCs/>
                <w:color w:val="auto"/>
                <w:szCs w:val="20"/>
                <w:lang w:val="zh-CN"/>
              </w:rPr>
              <w:t>500</w:t>
            </w:r>
            <w:r>
              <w:rPr>
                <w:rFonts w:ascii="Times New Roman" w:eastAsiaTheme="minorEastAsia" w:hAnsi="Times New Roman" w:cs="Times New Roman" w:hint="eastAsia"/>
                <w:bCs/>
                <w:color w:val="auto"/>
                <w:szCs w:val="20"/>
                <w:lang w:val="zh-CN"/>
              </w:rPr>
              <w:t>交易型开放式指数证券投资基金</w:t>
            </w:r>
          </w:p>
        </w:tc>
        <w:tc>
          <w:tcPr>
            <w:tcW w:w="143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AH500ETF</w:t>
            </w:r>
          </w:p>
        </w:tc>
        <w:tc>
          <w:tcPr>
            <w:tcW w:w="173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AH500ETF</w:t>
            </w:r>
          </w:p>
        </w:tc>
      </w:tr>
      <w:tr w:rsidR="0007086D">
        <w:trPr>
          <w:trHeight w:val="345"/>
        </w:trPr>
        <w:tc>
          <w:tcPr>
            <w:tcW w:w="1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561180</w:t>
            </w:r>
          </w:p>
        </w:tc>
        <w:tc>
          <w:tcPr>
            <w:tcW w:w="54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富国中证</w:t>
            </w:r>
            <w:r>
              <w:rPr>
                <w:rFonts w:ascii="Times New Roman" w:eastAsiaTheme="minorEastAsia" w:hAnsi="Times New Roman" w:cs="Times New Roman" w:hint="eastAsia"/>
                <w:bCs/>
                <w:color w:val="auto"/>
                <w:szCs w:val="20"/>
                <w:lang w:val="zh-CN"/>
              </w:rPr>
              <w:t>A100</w:t>
            </w:r>
            <w:r>
              <w:rPr>
                <w:rFonts w:ascii="Times New Roman" w:eastAsiaTheme="minorEastAsia" w:hAnsi="Times New Roman" w:cs="Times New Roman" w:hint="eastAsia"/>
                <w:bCs/>
                <w:color w:val="auto"/>
                <w:szCs w:val="20"/>
                <w:lang w:val="zh-CN"/>
              </w:rPr>
              <w:t>交易型开放式指数证券投资基金</w:t>
            </w:r>
          </w:p>
        </w:tc>
        <w:tc>
          <w:tcPr>
            <w:tcW w:w="143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A100ETF</w:t>
            </w:r>
          </w:p>
        </w:tc>
        <w:tc>
          <w:tcPr>
            <w:tcW w:w="173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A100ETF</w:t>
            </w:r>
          </w:p>
        </w:tc>
      </w:tr>
      <w:tr w:rsidR="0007086D">
        <w:trPr>
          <w:trHeight w:val="345"/>
        </w:trPr>
        <w:tc>
          <w:tcPr>
            <w:tcW w:w="13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589600</w:t>
            </w:r>
          </w:p>
        </w:tc>
        <w:tc>
          <w:tcPr>
            <w:tcW w:w="540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富国上证科创板综合价格交易型开放式指数证券投资基金</w:t>
            </w:r>
          </w:p>
        </w:tc>
        <w:tc>
          <w:tcPr>
            <w:tcW w:w="143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富国科综</w:t>
            </w:r>
          </w:p>
        </w:tc>
        <w:tc>
          <w:tcPr>
            <w:tcW w:w="173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7086D" w:rsidRDefault="0079125E">
            <w:pPr>
              <w:spacing w:after="0" w:line="240" w:lineRule="auto"/>
              <w:ind w:left="0" w:right="0" w:firstLine="0"/>
              <w:jc w:val="center"/>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科创综指</w:t>
            </w:r>
            <w:r>
              <w:rPr>
                <w:rFonts w:ascii="Times New Roman" w:eastAsiaTheme="minorEastAsia" w:hAnsi="Times New Roman" w:cs="Times New Roman" w:hint="eastAsia"/>
                <w:bCs/>
                <w:color w:val="auto"/>
                <w:szCs w:val="20"/>
                <w:lang w:val="zh-CN"/>
              </w:rPr>
              <w:t>ETF</w:t>
            </w:r>
            <w:r>
              <w:rPr>
                <w:rFonts w:ascii="Times New Roman" w:eastAsiaTheme="minorEastAsia" w:hAnsi="Times New Roman" w:cs="Times New Roman" w:hint="eastAsia"/>
                <w:bCs/>
                <w:color w:val="auto"/>
                <w:szCs w:val="20"/>
                <w:lang w:val="zh-CN"/>
              </w:rPr>
              <w:t>富国</w:t>
            </w:r>
          </w:p>
        </w:tc>
      </w:tr>
    </w:tbl>
    <w:p w:rsidR="0007086D" w:rsidRDefault="0007086D" w:rsidP="0079125E">
      <w:pPr>
        <w:adjustRightInd w:val="0"/>
        <w:snapToGrid w:val="0"/>
        <w:spacing w:after="0" w:line="360" w:lineRule="auto"/>
        <w:ind w:left="0" w:right="0" w:firstLineChars="189" w:firstLine="454"/>
        <w:jc w:val="both"/>
        <w:rPr>
          <w:rFonts w:ascii="Times New Roman" w:eastAsiaTheme="minorEastAsia" w:hAnsi="Times New Roman" w:cs="Times New Roman"/>
          <w:bCs/>
          <w:color w:val="auto"/>
          <w:szCs w:val="20"/>
          <w:lang w:val="zh-CN"/>
        </w:rPr>
      </w:pPr>
    </w:p>
    <w:p w:rsidR="0007086D" w:rsidRDefault="0079125E">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二、修订情况说明</w:t>
      </w:r>
    </w:p>
    <w:p w:rsidR="0007086D" w:rsidRDefault="0079125E">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rPr>
      </w:pPr>
      <w:r>
        <w:rPr>
          <w:rFonts w:ascii="Times New Roman" w:eastAsiaTheme="minorEastAsia" w:hAnsi="Times New Roman" w:cs="Times New Roman" w:hint="eastAsia"/>
          <w:bCs/>
          <w:color w:val="auto"/>
          <w:szCs w:val="20"/>
          <w:lang w:val="zh-CN"/>
        </w:rPr>
        <w:t>上交所</w:t>
      </w:r>
      <w:r>
        <w:rPr>
          <w:rFonts w:ascii="Times New Roman" w:eastAsiaTheme="minorEastAsia" w:hAnsi="Times New Roman" w:cs="Times New Roman"/>
          <w:bCs/>
          <w:color w:val="auto"/>
          <w:szCs w:val="20"/>
          <w:lang w:val="zh-CN"/>
        </w:rPr>
        <w:t>ETF</w:t>
      </w:r>
      <w:r>
        <w:rPr>
          <w:rFonts w:ascii="Times New Roman" w:eastAsiaTheme="minorEastAsia" w:hAnsi="Times New Roman" w:cs="Times New Roman"/>
          <w:bCs/>
          <w:color w:val="auto"/>
          <w:szCs w:val="20"/>
          <w:lang w:val="zh-CN"/>
        </w:rPr>
        <w:t>新版申购赎回清单</w:t>
      </w:r>
      <w:r>
        <w:rPr>
          <w:rFonts w:ascii="Times New Roman" w:eastAsiaTheme="minorEastAsia" w:hAnsi="Times New Roman" w:cs="Times New Roman" w:hint="eastAsia"/>
          <w:bCs/>
          <w:color w:val="auto"/>
          <w:szCs w:val="20"/>
        </w:rPr>
        <w:t>格式修订如下：</w:t>
      </w:r>
      <w:bookmarkStart w:id="0" w:name="_GoBack"/>
      <w:bookmarkEnd w:id="0"/>
    </w:p>
    <w:p w:rsidR="0007086D" w:rsidRDefault="0079125E">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rPr>
      </w:pPr>
      <w:r>
        <w:rPr>
          <w:rFonts w:ascii="Times New Roman" w:eastAsiaTheme="minorEastAsia" w:hAnsi="Times New Roman" w:cs="Times New Roman" w:hint="eastAsia"/>
          <w:bCs/>
          <w:color w:val="auto"/>
          <w:szCs w:val="20"/>
        </w:rPr>
        <w:t>（</w:t>
      </w:r>
      <w:r>
        <w:rPr>
          <w:rFonts w:ascii="Times New Roman" w:eastAsiaTheme="minorEastAsia" w:hAnsi="Times New Roman" w:cs="Times New Roman" w:hint="eastAsia"/>
          <w:bCs/>
          <w:color w:val="auto"/>
          <w:szCs w:val="20"/>
        </w:rPr>
        <w:t>1</w:t>
      </w:r>
      <w:r>
        <w:rPr>
          <w:rFonts w:ascii="Times New Roman" w:eastAsiaTheme="minorEastAsia" w:hAnsi="Times New Roman" w:cs="Times New Roman" w:hint="eastAsia"/>
          <w:bCs/>
          <w:color w:val="auto"/>
          <w:szCs w:val="20"/>
        </w:rPr>
        <w:t>）原“申购上限”、“赎回上限”字段调整为“当日累计可申购的基金份额上限”、“当日累计可赎回的基金份额上限”字段，并新增“当日净申购的基金份额上限”、“</w:t>
      </w:r>
      <w:r>
        <w:rPr>
          <w:rFonts w:ascii="Times New Roman" w:eastAsiaTheme="minorEastAsia" w:hAnsi="Times New Roman" w:cs="Times New Roman" w:hint="eastAsia"/>
          <w:bCs/>
          <w:color w:val="auto"/>
          <w:szCs w:val="20"/>
        </w:rPr>
        <w:t>当日净赎回的基金份额上限</w:t>
      </w:r>
      <w:r>
        <w:rPr>
          <w:rFonts w:ascii="Times New Roman" w:eastAsiaTheme="minorEastAsia" w:hAnsi="Times New Roman" w:cs="Times New Roman" w:hint="eastAsia"/>
          <w:bCs/>
          <w:color w:val="auto"/>
          <w:szCs w:val="20"/>
        </w:rPr>
        <w:t>”、“单个证券账户当日净申购</w:t>
      </w:r>
      <w:r>
        <w:rPr>
          <w:rFonts w:ascii="Segoe UI" w:eastAsia="Segoe UI" w:hAnsi="Segoe UI" w:cs="Segoe UI"/>
          <w:color w:val="333333"/>
          <w:szCs w:val="24"/>
          <w:shd w:val="clear" w:color="auto" w:fill="FFFFFF"/>
        </w:rPr>
        <w:t>的基金份额上限</w:t>
      </w:r>
      <w:r>
        <w:rPr>
          <w:rFonts w:ascii="Times New Roman" w:eastAsiaTheme="minorEastAsia" w:hAnsi="Times New Roman" w:cs="Times New Roman" w:hint="eastAsia"/>
          <w:bCs/>
          <w:color w:val="auto"/>
          <w:szCs w:val="20"/>
        </w:rPr>
        <w:t>”、“单个证券账户当日净赎回的基金份额上限”、“</w:t>
      </w:r>
      <w:r>
        <w:rPr>
          <w:rFonts w:ascii="Times New Roman" w:eastAsiaTheme="minorEastAsia" w:hAnsi="Times New Roman" w:cs="Times New Roman" w:hint="eastAsia"/>
          <w:bCs/>
          <w:color w:val="auto"/>
          <w:szCs w:val="20"/>
        </w:rPr>
        <w:t>单个证券账户当日累计可申购的基金份额上限</w:t>
      </w:r>
      <w:r>
        <w:rPr>
          <w:rFonts w:ascii="Times New Roman" w:eastAsiaTheme="minorEastAsia" w:hAnsi="Times New Roman" w:cs="Times New Roman" w:hint="eastAsia"/>
          <w:bCs/>
          <w:color w:val="auto"/>
          <w:szCs w:val="20"/>
        </w:rPr>
        <w:t>”、“</w:t>
      </w:r>
      <w:r>
        <w:rPr>
          <w:rFonts w:ascii="Times New Roman" w:eastAsiaTheme="minorEastAsia" w:hAnsi="Times New Roman" w:cs="Times New Roman" w:hint="eastAsia"/>
          <w:bCs/>
          <w:color w:val="auto"/>
          <w:szCs w:val="20"/>
        </w:rPr>
        <w:t>单个证券账户当日累计可赎回的基金份额上限</w:t>
      </w:r>
      <w:r>
        <w:rPr>
          <w:rFonts w:ascii="Times New Roman" w:eastAsiaTheme="minorEastAsia" w:hAnsi="Times New Roman" w:cs="Times New Roman" w:hint="eastAsia"/>
          <w:bCs/>
          <w:color w:val="auto"/>
          <w:szCs w:val="20"/>
        </w:rPr>
        <w:t>”字段；</w:t>
      </w:r>
    </w:p>
    <w:p w:rsidR="0007086D" w:rsidRDefault="0079125E">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rPr>
      </w:pPr>
      <w:r>
        <w:rPr>
          <w:rFonts w:ascii="Times New Roman" w:eastAsiaTheme="minorEastAsia" w:hAnsi="Times New Roman" w:cs="Times New Roman" w:hint="eastAsia"/>
          <w:bCs/>
          <w:color w:val="auto"/>
          <w:szCs w:val="20"/>
        </w:rPr>
        <w:t>（</w:t>
      </w:r>
      <w:r>
        <w:rPr>
          <w:rFonts w:ascii="Times New Roman" w:eastAsiaTheme="minorEastAsia" w:hAnsi="Times New Roman" w:cs="Times New Roman" w:hint="eastAsia"/>
          <w:bCs/>
          <w:color w:val="auto"/>
          <w:szCs w:val="20"/>
        </w:rPr>
        <w:t>2</w:t>
      </w:r>
      <w:r>
        <w:rPr>
          <w:rFonts w:ascii="Times New Roman" w:eastAsiaTheme="minorEastAsia" w:hAnsi="Times New Roman" w:cs="Times New Roman" w:hint="eastAsia"/>
          <w:bCs/>
          <w:color w:val="auto"/>
          <w:szCs w:val="20"/>
        </w:rPr>
        <w:t>）新增“申购赎回模式”字段；</w:t>
      </w:r>
    </w:p>
    <w:p w:rsidR="0007086D" w:rsidRDefault="0079125E">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rPr>
      </w:pPr>
      <w:r>
        <w:rPr>
          <w:rFonts w:ascii="Times New Roman" w:eastAsiaTheme="minorEastAsia" w:hAnsi="Times New Roman" w:cs="Times New Roman" w:hint="eastAsia"/>
          <w:bCs/>
          <w:color w:val="auto"/>
          <w:szCs w:val="20"/>
        </w:rPr>
        <w:t>（</w:t>
      </w:r>
      <w:r>
        <w:rPr>
          <w:rFonts w:ascii="Times New Roman" w:eastAsiaTheme="minorEastAsia" w:hAnsi="Times New Roman" w:cs="Times New Roman" w:hint="eastAsia"/>
          <w:bCs/>
          <w:color w:val="auto"/>
          <w:szCs w:val="20"/>
        </w:rPr>
        <w:t>3</w:t>
      </w:r>
      <w:r>
        <w:rPr>
          <w:rFonts w:ascii="Times New Roman" w:eastAsiaTheme="minorEastAsia" w:hAnsi="Times New Roman" w:cs="Times New Roman" w:hint="eastAsia"/>
          <w:bCs/>
          <w:color w:val="auto"/>
          <w:szCs w:val="20"/>
        </w:rPr>
        <w:t>）新增“挂牌市场”标识；</w:t>
      </w:r>
    </w:p>
    <w:p w:rsidR="0007086D" w:rsidRDefault="0079125E">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rPr>
      </w:pPr>
      <w:r>
        <w:rPr>
          <w:rFonts w:ascii="Times New Roman" w:eastAsiaTheme="minorEastAsia" w:hAnsi="Times New Roman" w:cs="Times New Roman" w:hint="eastAsia"/>
          <w:bCs/>
          <w:color w:val="auto"/>
          <w:szCs w:val="20"/>
        </w:rPr>
        <w:t>（</w:t>
      </w:r>
      <w:r>
        <w:rPr>
          <w:rFonts w:ascii="Times New Roman" w:eastAsiaTheme="minorEastAsia" w:hAnsi="Times New Roman" w:cs="Times New Roman" w:hint="eastAsia"/>
          <w:bCs/>
          <w:color w:val="auto"/>
          <w:szCs w:val="20"/>
        </w:rPr>
        <w:t>4</w:t>
      </w:r>
      <w:r>
        <w:rPr>
          <w:rFonts w:ascii="Times New Roman" w:eastAsiaTheme="minorEastAsia" w:hAnsi="Times New Roman" w:cs="Times New Roman" w:hint="eastAsia"/>
          <w:bCs/>
          <w:color w:val="auto"/>
          <w:szCs w:val="20"/>
        </w:rPr>
        <w:t>）调整“现金替代标志”字段描述：</w:t>
      </w:r>
    </w:p>
    <w:p w:rsidR="0007086D" w:rsidRDefault="0079125E">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rPr>
      </w:pPr>
      <w:r>
        <w:rPr>
          <w:rFonts w:ascii="Times New Roman" w:eastAsiaTheme="minorEastAsia" w:hAnsi="Times New Roman" w:cs="Times New Roman" w:hint="eastAsia"/>
          <w:bCs/>
          <w:color w:val="auto"/>
          <w:szCs w:val="20"/>
        </w:rPr>
        <w:t>①若</w:t>
      </w:r>
      <w:r>
        <w:rPr>
          <w:rFonts w:ascii="Times New Roman" w:eastAsiaTheme="minorEastAsia" w:hAnsi="Times New Roman" w:cs="Times New Roman" w:hint="eastAsia"/>
          <w:bCs/>
          <w:color w:val="auto"/>
          <w:szCs w:val="20"/>
        </w:rPr>
        <w:t>ETF</w:t>
      </w:r>
      <w:r>
        <w:rPr>
          <w:rFonts w:ascii="Times New Roman" w:eastAsiaTheme="minorEastAsia" w:hAnsi="Times New Roman" w:cs="Times New Roman" w:hint="eastAsia"/>
          <w:bCs/>
          <w:color w:val="auto"/>
          <w:szCs w:val="20"/>
        </w:rPr>
        <w:t>采用实物申赎模式，对于沪市成份证券，“允许现金替代”标志表示申购基金份额优先使用成份券，成份券不足时差额部分用现金替代，赎回基金</w:t>
      </w:r>
      <w:r>
        <w:rPr>
          <w:rFonts w:ascii="Times New Roman" w:eastAsiaTheme="minorEastAsia" w:hAnsi="Times New Roman" w:cs="Times New Roman" w:hint="eastAsia"/>
          <w:bCs/>
          <w:color w:val="auto"/>
          <w:szCs w:val="20"/>
        </w:rPr>
        <w:lastRenderedPageBreak/>
        <w:t>份额时该成份券不允许使用现金作为替代；对于非沪市成份证券，在申购赎回基金份额时，该成份券只能使用现金作为替代，根据基金管理人代买卖情况，与投资者进行退款或补款。</w:t>
      </w:r>
    </w:p>
    <w:p w:rsidR="0007086D" w:rsidRDefault="0079125E">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rPr>
      </w:pPr>
      <w:r>
        <w:rPr>
          <w:rFonts w:ascii="Times New Roman" w:eastAsiaTheme="minorEastAsia" w:hAnsi="Times New Roman" w:cs="Times New Roman" w:hint="eastAsia"/>
          <w:bCs/>
          <w:color w:val="auto"/>
          <w:szCs w:val="20"/>
        </w:rPr>
        <w:t>②若</w:t>
      </w:r>
      <w:r>
        <w:rPr>
          <w:rFonts w:ascii="Times New Roman" w:eastAsiaTheme="minorEastAsia" w:hAnsi="Times New Roman" w:cs="Times New Roman" w:hint="eastAsia"/>
          <w:bCs/>
          <w:color w:val="auto"/>
          <w:szCs w:val="20"/>
        </w:rPr>
        <w:t>ETF</w:t>
      </w:r>
      <w:r>
        <w:rPr>
          <w:rFonts w:ascii="Times New Roman" w:eastAsiaTheme="minorEastAsia" w:hAnsi="Times New Roman" w:cs="Times New Roman" w:hint="eastAsia"/>
          <w:bCs/>
          <w:color w:val="auto"/>
          <w:szCs w:val="20"/>
        </w:rPr>
        <w:t>采用现金申赎模式，“允许现金替代”标志表示</w:t>
      </w:r>
      <w:r>
        <w:rPr>
          <w:rFonts w:ascii="Times New Roman" w:eastAsiaTheme="minorEastAsia" w:hAnsi="Times New Roman" w:cs="Times New Roman" w:hint="eastAsia"/>
          <w:bCs/>
          <w:color w:val="auto"/>
          <w:szCs w:val="20"/>
        </w:rPr>
        <w:t>在申购赎回基金份额时，该</w:t>
      </w:r>
      <w:r>
        <w:rPr>
          <w:rFonts w:ascii="Times New Roman" w:eastAsiaTheme="minorEastAsia" w:hAnsi="Times New Roman" w:cs="Times New Roman" w:hint="eastAsia"/>
          <w:bCs/>
          <w:color w:val="auto"/>
          <w:szCs w:val="20"/>
        </w:rPr>
        <w:t>成份券</w:t>
      </w:r>
      <w:r>
        <w:rPr>
          <w:rFonts w:ascii="Times New Roman" w:eastAsiaTheme="minorEastAsia" w:hAnsi="Times New Roman" w:cs="Times New Roman" w:hint="eastAsia"/>
          <w:bCs/>
          <w:color w:val="auto"/>
          <w:szCs w:val="20"/>
        </w:rPr>
        <w:t>只能使用现金作为替代，根据基金管理人代买卖情况，与投资者进行退款或补款。</w:t>
      </w:r>
    </w:p>
    <w:p w:rsidR="0007086D" w:rsidRDefault="0079125E">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自</w:t>
      </w:r>
      <w:r>
        <w:rPr>
          <w:rFonts w:ascii="Times New Roman" w:eastAsiaTheme="minorEastAsia" w:hAnsi="Times New Roman" w:cs="Times New Roman" w:hint="eastAsia"/>
          <w:bCs/>
          <w:color w:val="auto"/>
          <w:szCs w:val="20"/>
          <w:lang w:val="zh-CN"/>
        </w:rPr>
        <w:t>2025</w:t>
      </w:r>
      <w:r>
        <w:rPr>
          <w:rFonts w:ascii="Times New Roman" w:eastAsiaTheme="minorEastAsia" w:hAnsi="Times New Roman" w:cs="Times New Roman" w:hint="eastAsia"/>
          <w:bCs/>
          <w:color w:val="auto"/>
          <w:szCs w:val="20"/>
          <w:lang w:val="zh-CN"/>
        </w:rPr>
        <w:t>年</w:t>
      </w:r>
      <w:r>
        <w:rPr>
          <w:rFonts w:ascii="Times New Roman" w:eastAsiaTheme="minorEastAsia" w:hAnsi="Times New Roman" w:cs="Times New Roman" w:hint="eastAsia"/>
          <w:bCs/>
          <w:color w:val="auto"/>
          <w:szCs w:val="20"/>
          <w:lang w:val="zh-CN"/>
        </w:rPr>
        <w:t>10</w:t>
      </w:r>
      <w:r>
        <w:rPr>
          <w:rFonts w:ascii="Times New Roman" w:eastAsiaTheme="minorEastAsia" w:hAnsi="Times New Roman" w:cs="Times New Roman" w:hint="eastAsia"/>
          <w:bCs/>
          <w:color w:val="auto"/>
          <w:szCs w:val="20"/>
          <w:lang w:val="zh-CN"/>
        </w:rPr>
        <w:t>月</w:t>
      </w:r>
      <w:r>
        <w:rPr>
          <w:rFonts w:ascii="Times New Roman" w:eastAsiaTheme="minorEastAsia" w:hAnsi="Times New Roman" w:cs="Times New Roman" w:hint="eastAsia"/>
          <w:bCs/>
          <w:color w:val="auto"/>
          <w:szCs w:val="20"/>
          <w:lang w:val="zh-CN"/>
        </w:rPr>
        <w:t>27</w:t>
      </w:r>
      <w:r>
        <w:rPr>
          <w:rFonts w:ascii="Times New Roman" w:eastAsiaTheme="minorEastAsia" w:hAnsi="Times New Roman" w:cs="Times New Roman" w:hint="eastAsia"/>
          <w:bCs/>
          <w:color w:val="auto"/>
          <w:szCs w:val="20"/>
          <w:lang w:val="zh-CN"/>
        </w:rPr>
        <w:t>日</w:t>
      </w:r>
      <w:r>
        <w:rPr>
          <w:rFonts w:ascii="Times New Roman" w:eastAsiaTheme="minorEastAsia" w:hAnsi="Times New Roman" w:cs="Times New Roman"/>
          <w:bCs/>
          <w:color w:val="auto"/>
          <w:szCs w:val="20"/>
          <w:lang w:val="zh-CN"/>
        </w:rPr>
        <w:t>起，本公司旗下上述上交所</w:t>
      </w:r>
      <w:r>
        <w:rPr>
          <w:rFonts w:ascii="Times New Roman" w:eastAsiaTheme="minorEastAsia" w:hAnsi="Times New Roman" w:cs="Times New Roman"/>
          <w:bCs/>
          <w:color w:val="auto"/>
          <w:szCs w:val="20"/>
          <w:lang w:val="zh-CN"/>
        </w:rPr>
        <w:t>ETF</w:t>
      </w:r>
      <w:r>
        <w:rPr>
          <w:rFonts w:ascii="Times New Roman" w:eastAsiaTheme="minorEastAsia" w:hAnsi="Times New Roman" w:cs="Times New Roman"/>
          <w:bCs/>
          <w:color w:val="auto"/>
          <w:szCs w:val="20"/>
          <w:lang w:val="zh-CN"/>
        </w:rPr>
        <w:t>将</w:t>
      </w:r>
      <w:r>
        <w:rPr>
          <w:rFonts w:ascii="Times New Roman" w:eastAsiaTheme="minorEastAsia" w:hAnsi="Times New Roman" w:cs="Times New Roman"/>
          <w:bCs/>
          <w:color w:val="auto"/>
          <w:szCs w:val="20"/>
          <w:lang w:val="zh-CN"/>
        </w:rPr>
        <w:t>采用新版申购赎回清单。</w:t>
      </w:r>
      <w:r>
        <w:rPr>
          <w:rFonts w:ascii="Times New Roman" w:eastAsiaTheme="minorEastAsia" w:hAnsi="Times New Roman" w:cs="Times New Roman" w:hint="eastAsia"/>
          <w:bCs/>
          <w:color w:val="auto"/>
          <w:szCs w:val="20"/>
        </w:rPr>
        <w:t>相应</w:t>
      </w:r>
      <w:r>
        <w:rPr>
          <w:rFonts w:ascii="Times New Roman" w:eastAsiaTheme="minorEastAsia" w:hAnsi="Times New Roman" w:cs="Times New Roman"/>
          <w:bCs/>
          <w:color w:val="auto"/>
          <w:szCs w:val="20"/>
          <w:lang w:val="zh-CN"/>
        </w:rPr>
        <w:t>基金</w:t>
      </w:r>
      <w:r>
        <w:rPr>
          <w:rFonts w:ascii="Times New Roman" w:eastAsiaTheme="minorEastAsia" w:hAnsi="Times New Roman" w:cs="Times New Roman" w:hint="eastAsia"/>
          <w:bCs/>
          <w:color w:val="auto"/>
          <w:szCs w:val="20"/>
          <w:lang w:val="zh-CN"/>
        </w:rPr>
        <w:t>的招募说明书也将根据实际情况进行必要修改</w:t>
      </w:r>
      <w:r>
        <w:rPr>
          <w:rFonts w:ascii="Times New Roman" w:eastAsiaTheme="minorEastAsia" w:hAnsi="Times New Roman" w:cs="Times New Roman"/>
          <w:bCs/>
          <w:color w:val="auto"/>
          <w:szCs w:val="20"/>
          <w:lang w:val="zh-CN"/>
        </w:rPr>
        <w:t>。</w:t>
      </w:r>
    </w:p>
    <w:p w:rsidR="0007086D" w:rsidRDefault="0007086D">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lang w:val="zh-CN"/>
        </w:rPr>
      </w:pPr>
    </w:p>
    <w:p w:rsidR="0007086D" w:rsidRDefault="0079125E">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lang w:val="zh-CN"/>
        </w:rPr>
      </w:pPr>
      <w:r>
        <w:rPr>
          <w:rFonts w:ascii="Times New Roman" w:eastAsiaTheme="minorEastAsia" w:hAnsi="Times New Roman" w:cs="Times New Roman"/>
          <w:bCs/>
          <w:color w:val="auto"/>
          <w:szCs w:val="20"/>
          <w:lang w:val="zh-CN"/>
        </w:rPr>
        <w:t>三</w:t>
      </w:r>
      <w:r>
        <w:rPr>
          <w:rFonts w:ascii="Times New Roman" w:eastAsiaTheme="minorEastAsia" w:hAnsi="Times New Roman" w:cs="Times New Roman" w:hint="eastAsia"/>
          <w:bCs/>
          <w:color w:val="auto"/>
          <w:szCs w:val="20"/>
          <w:lang w:val="zh-CN"/>
        </w:rPr>
        <w:t>、</w:t>
      </w:r>
      <w:r>
        <w:rPr>
          <w:rFonts w:ascii="Times New Roman" w:eastAsiaTheme="minorEastAsia" w:hAnsi="Times New Roman" w:cs="Times New Roman"/>
          <w:bCs/>
          <w:color w:val="auto"/>
          <w:szCs w:val="20"/>
          <w:lang w:val="zh-CN"/>
        </w:rPr>
        <w:t>重要提示</w:t>
      </w:r>
    </w:p>
    <w:p w:rsidR="0007086D" w:rsidRDefault="0079125E">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本公告仅对本公司旗下部分上交所</w:t>
      </w:r>
      <w:r>
        <w:rPr>
          <w:rFonts w:ascii="Times New Roman" w:eastAsiaTheme="minorEastAsia" w:hAnsi="Times New Roman" w:cs="Times New Roman"/>
          <w:bCs/>
          <w:color w:val="auto"/>
          <w:szCs w:val="20"/>
          <w:lang w:val="zh-CN"/>
        </w:rPr>
        <w:t>ETF</w:t>
      </w:r>
      <w:r>
        <w:rPr>
          <w:rFonts w:ascii="Times New Roman" w:eastAsiaTheme="minorEastAsia" w:hAnsi="Times New Roman" w:cs="Times New Roman"/>
          <w:bCs/>
          <w:color w:val="auto"/>
          <w:szCs w:val="20"/>
          <w:lang w:val="zh-CN"/>
        </w:rPr>
        <w:t>申购赎回清单版本更新并相应修改招募说明书</w:t>
      </w:r>
      <w:r>
        <w:rPr>
          <w:rFonts w:ascii="Times New Roman" w:eastAsiaTheme="minorEastAsia" w:hAnsi="Times New Roman" w:cs="Times New Roman" w:hint="eastAsia"/>
          <w:bCs/>
          <w:color w:val="auto"/>
          <w:szCs w:val="20"/>
          <w:lang w:val="zh-CN"/>
        </w:rPr>
        <w:t>的事项进行说明。本公司旗下</w:t>
      </w:r>
      <w:r>
        <w:rPr>
          <w:rFonts w:ascii="Times New Roman" w:eastAsiaTheme="minorEastAsia" w:hAnsi="Times New Roman" w:cs="Times New Roman"/>
          <w:bCs/>
          <w:color w:val="auto"/>
          <w:szCs w:val="20"/>
          <w:lang w:val="zh-CN"/>
        </w:rPr>
        <w:t>ETF</w:t>
      </w:r>
      <w:r>
        <w:rPr>
          <w:rFonts w:ascii="Times New Roman" w:eastAsiaTheme="minorEastAsia" w:hAnsi="Times New Roman" w:cs="Times New Roman"/>
          <w:bCs/>
          <w:color w:val="auto"/>
          <w:szCs w:val="20"/>
          <w:lang w:val="zh-CN"/>
        </w:rPr>
        <w:t>申购赎回清单以证券交易所实际公布的为准，投资者可登</w:t>
      </w:r>
      <w:r>
        <w:rPr>
          <w:rFonts w:ascii="Times New Roman" w:eastAsiaTheme="minorEastAsia" w:hAnsi="Times New Roman" w:cs="Times New Roman" w:hint="eastAsia"/>
          <w:bCs/>
          <w:color w:val="auto"/>
          <w:szCs w:val="20"/>
          <w:lang w:val="zh-CN"/>
        </w:rPr>
        <w:t>录本公司网站进行查询。</w:t>
      </w:r>
    </w:p>
    <w:p w:rsidR="0007086D" w:rsidRDefault="0079125E">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投资人可以登录本基金管理人网站（</w:t>
      </w:r>
      <w:r>
        <w:rPr>
          <w:rFonts w:ascii="Times New Roman" w:eastAsiaTheme="minorEastAsia" w:hAnsi="Times New Roman" w:cs="Times New Roman"/>
          <w:bCs/>
          <w:color w:val="auto"/>
          <w:szCs w:val="20"/>
          <w:lang w:val="zh-CN"/>
        </w:rPr>
        <w:t>www.fullgoal.com.cn</w:t>
      </w:r>
      <w:r>
        <w:rPr>
          <w:rFonts w:ascii="Times New Roman" w:eastAsiaTheme="minorEastAsia" w:hAnsi="Times New Roman" w:cs="Times New Roman"/>
          <w:bCs/>
          <w:color w:val="auto"/>
          <w:szCs w:val="20"/>
          <w:lang w:val="zh-CN"/>
        </w:rPr>
        <w:t>）或拨打本基金管理人的客户服务电话（</w:t>
      </w:r>
      <w:r>
        <w:rPr>
          <w:rFonts w:ascii="Times New Roman" w:eastAsiaTheme="minorEastAsia" w:hAnsi="Times New Roman" w:cs="Times New Roman"/>
          <w:bCs/>
          <w:color w:val="auto"/>
          <w:szCs w:val="20"/>
          <w:lang w:val="zh-CN"/>
        </w:rPr>
        <w:t>95105686</w:t>
      </w:r>
      <w:r>
        <w:rPr>
          <w:rFonts w:ascii="Times New Roman" w:eastAsiaTheme="minorEastAsia" w:hAnsi="Times New Roman" w:cs="Times New Roman"/>
          <w:bCs/>
          <w:color w:val="auto"/>
          <w:szCs w:val="20"/>
          <w:lang w:val="zh-CN"/>
        </w:rPr>
        <w:t>、</w:t>
      </w:r>
      <w:r>
        <w:rPr>
          <w:rFonts w:ascii="Times New Roman" w:eastAsiaTheme="minorEastAsia" w:hAnsi="Times New Roman" w:cs="Times New Roman"/>
          <w:bCs/>
          <w:color w:val="auto"/>
          <w:szCs w:val="20"/>
          <w:lang w:val="zh-CN"/>
        </w:rPr>
        <w:t>400-888-0688</w:t>
      </w:r>
      <w:r>
        <w:rPr>
          <w:rFonts w:ascii="Times New Roman" w:eastAsiaTheme="minorEastAsia" w:hAnsi="Times New Roman" w:cs="Times New Roman"/>
          <w:bCs/>
          <w:color w:val="auto"/>
          <w:szCs w:val="20"/>
          <w:lang w:val="zh-CN"/>
        </w:rPr>
        <w:t>），咨询有关详情。</w:t>
      </w:r>
    </w:p>
    <w:p w:rsidR="0007086D" w:rsidRDefault="0007086D">
      <w:pPr>
        <w:adjustRightInd w:val="0"/>
        <w:snapToGrid w:val="0"/>
        <w:spacing w:after="0" w:line="360" w:lineRule="auto"/>
        <w:ind w:left="0" w:right="0" w:firstLineChars="200" w:firstLine="480"/>
        <w:rPr>
          <w:rFonts w:ascii="Times New Roman" w:hAnsi="Times New Roman" w:cs="Times New Roman"/>
          <w:bCs/>
          <w:color w:val="auto"/>
          <w:szCs w:val="20"/>
          <w:lang w:val="zh-CN"/>
        </w:rPr>
      </w:pPr>
    </w:p>
    <w:p w:rsidR="0007086D" w:rsidRDefault="0079125E">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lang w:val="zh-CN"/>
        </w:rPr>
      </w:pPr>
      <w:r>
        <w:rPr>
          <w:rFonts w:ascii="Times New Roman" w:eastAsiaTheme="minorEastAsia" w:hAnsi="Times New Roman" w:cs="Times New Roman" w:hint="eastAsia"/>
          <w:bCs/>
          <w:color w:val="auto"/>
          <w:szCs w:val="20"/>
          <w:lang w:val="zh-CN"/>
        </w:rPr>
        <w:t>风险提示：本公司承诺以诚实信用、勤勉尽责的原则管理和运用基金资产，但不保证基金一定盈利，也不保证最低收益。投资人应认真阅读基金的相关法律文件，了解所投资基金的风险收益特征，并根据自身情况购买与风险承受能力相匹配的产品。</w:t>
      </w:r>
    </w:p>
    <w:p w:rsidR="0007086D" w:rsidRDefault="0007086D">
      <w:pPr>
        <w:adjustRightInd w:val="0"/>
        <w:snapToGrid w:val="0"/>
        <w:spacing w:after="0" w:line="360" w:lineRule="auto"/>
        <w:ind w:left="0" w:right="0" w:firstLineChars="200" w:firstLine="480"/>
        <w:jc w:val="both"/>
        <w:rPr>
          <w:rFonts w:ascii="Times New Roman" w:eastAsiaTheme="minorEastAsia" w:hAnsi="Times New Roman" w:cs="Times New Roman"/>
          <w:bCs/>
          <w:color w:val="auto"/>
          <w:szCs w:val="20"/>
          <w:lang w:val="zh-CN"/>
        </w:rPr>
      </w:pPr>
    </w:p>
    <w:p w:rsidR="0007086D" w:rsidRDefault="0079125E">
      <w:pPr>
        <w:adjustRightInd w:val="0"/>
        <w:snapToGrid w:val="0"/>
        <w:spacing w:after="0" w:line="360" w:lineRule="auto"/>
        <w:ind w:left="0" w:right="0" w:firstLineChars="200" w:firstLine="480"/>
        <w:jc w:val="both"/>
        <w:rPr>
          <w:rFonts w:ascii="Times New Roman" w:hAnsi="Times New Roman" w:cs="Times New Roman"/>
          <w:bCs/>
          <w:color w:val="auto"/>
          <w:szCs w:val="20"/>
          <w:lang w:val="zh-CN"/>
        </w:rPr>
      </w:pPr>
      <w:r>
        <w:rPr>
          <w:rFonts w:ascii="Times New Roman" w:eastAsiaTheme="minorEastAsia" w:hAnsi="Times New Roman" w:cs="Times New Roman" w:hint="eastAsia"/>
          <w:bCs/>
          <w:color w:val="auto"/>
          <w:szCs w:val="20"/>
          <w:lang w:val="zh-CN"/>
        </w:rPr>
        <w:t>特此公告。</w:t>
      </w:r>
    </w:p>
    <w:p w:rsidR="0007086D" w:rsidRDefault="0007086D">
      <w:pPr>
        <w:adjustRightInd w:val="0"/>
        <w:snapToGrid w:val="0"/>
        <w:spacing w:after="0" w:line="360" w:lineRule="auto"/>
        <w:ind w:left="0" w:right="0" w:firstLine="200"/>
        <w:rPr>
          <w:rFonts w:ascii="Times New Roman" w:hAnsi="Times New Roman" w:cs="Times New Roman"/>
          <w:bCs/>
          <w:color w:val="auto"/>
          <w:szCs w:val="20"/>
          <w:lang w:val="zh-CN"/>
        </w:rPr>
      </w:pPr>
    </w:p>
    <w:p w:rsidR="0007086D" w:rsidRDefault="0079125E">
      <w:pPr>
        <w:adjustRightInd w:val="0"/>
        <w:snapToGrid w:val="0"/>
        <w:spacing w:after="0" w:line="360" w:lineRule="auto"/>
        <w:ind w:left="0" w:right="0" w:firstLine="200"/>
        <w:jc w:val="right"/>
        <w:rPr>
          <w:rFonts w:ascii="Times New Roman" w:hAnsi="Times New Roman" w:cs="Times New Roman"/>
          <w:bCs/>
          <w:color w:val="auto"/>
          <w:szCs w:val="20"/>
          <w:lang w:val="zh-CN"/>
        </w:rPr>
      </w:pPr>
      <w:r>
        <w:rPr>
          <w:rFonts w:ascii="Times New Roman" w:hAnsi="Times New Roman" w:cs="Times New Roman" w:hint="eastAsia"/>
          <w:bCs/>
          <w:color w:val="auto"/>
          <w:szCs w:val="20"/>
          <w:lang w:val="zh-CN"/>
        </w:rPr>
        <w:t>富国</w:t>
      </w:r>
      <w:r>
        <w:rPr>
          <w:rFonts w:ascii="Times New Roman" w:hAnsi="Times New Roman" w:cs="Times New Roman"/>
          <w:bCs/>
          <w:color w:val="auto"/>
          <w:szCs w:val="20"/>
          <w:lang w:val="zh-CN"/>
        </w:rPr>
        <w:t>基金管理有限公司</w:t>
      </w:r>
    </w:p>
    <w:p w:rsidR="0007086D" w:rsidRDefault="0079125E">
      <w:pPr>
        <w:adjustRightInd w:val="0"/>
        <w:snapToGrid w:val="0"/>
        <w:spacing w:after="0" w:line="360" w:lineRule="auto"/>
        <w:ind w:left="0" w:right="0" w:firstLine="200"/>
        <w:jc w:val="right"/>
        <w:rPr>
          <w:rFonts w:ascii="Times New Roman" w:hAnsi="Times New Roman" w:cs="Times New Roman"/>
          <w:bCs/>
          <w:color w:val="auto"/>
          <w:szCs w:val="20"/>
          <w:lang w:val="zh-CN"/>
        </w:rPr>
      </w:pPr>
      <w:r>
        <w:rPr>
          <w:rFonts w:ascii="Times New Roman" w:hAnsi="Times New Roman" w:cs="Times New Roman"/>
          <w:bCs/>
          <w:color w:val="auto"/>
          <w:szCs w:val="20"/>
          <w:lang w:val="zh-CN"/>
        </w:rPr>
        <w:t>202</w:t>
      </w:r>
      <w:r>
        <w:rPr>
          <w:rFonts w:ascii="Times New Roman" w:hAnsi="Times New Roman" w:cs="Times New Roman" w:hint="eastAsia"/>
          <w:bCs/>
          <w:color w:val="auto"/>
          <w:szCs w:val="20"/>
        </w:rPr>
        <w:t>5</w:t>
      </w:r>
      <w:r>
        <w:rPr>
          <w:rFonts w:ascii="Times New Roman" w:hAnsi="Times New Roman" w:cs="Times New Roman"/>
          <w:bCs/>
          <w:color w:val="auto"/>
          <w:szCs w:val="20"/>
          <w:lang w:val="zh-CN"/>
        </w:rPr>
        <w:t>年</w:t>
      </w:r>
      <w:r>
        <w:rPr>
          <w:rFonts w:ascii="Times New Roman" w:hAnsi="Times New Roman" w:cs="Times New Roman" w:hint="eastAsia"/>
          <w:bCs/>
          <w:color w:val="auto"/>
          <w:szCs w:val="20"/>
        </w:rPr>
        <w:t>10</w:t>
      </w:r>
      <w:r>
        <w:rPr>
          <w:rFonts w:ascii="Times New Roman" w:hAnsi="Times New Roman" w:cs="Times New Roman"/>
          <w:bCs/>
          <w:color w:val="auto"/>
          <w:szCs w:val="20"/>
          <w:lang w:val="zh-CN"/>
        </w:rPr>
        <w:t>月</w:t>
      </w:r>
      <w:r>
        <w:rPr>
          <w:rFonts w:ascii="Times New Roman" w:hAnsi="Times New Roman" w:cs="Times New Roman" w:hint="eastAsia"/>
          <w:bCs/>
          <w:color w:val="auto"/>
          <w:szCs w:val="20"/>
        </w:rPr>
        <w:t>27</w:t>
      </w:r>
      <w:r>
        <w:rPr>
          <w:rFonts w:ascii="Times New Roman" w:hAnsi="Times New Roman" w:cs="Times New Roman"/>
          <w:bCs/>
          <w:color w:val="auto"/>
          <w:szCs w:val="20"/>
          <w:lang w:val="zh-CN"/>
        </w:rPr>
        <w:t>日</w:t>
      </w:r>
    </w:p>
    <w:sectPr w:rsidR="0007086D" w:rsidSect="0007086D">
      <w:pgSz w:w="11906" w:h="16838"/>
      <w:pgMar w:top="1555" w:right="1560" w:bottom="1937"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86D" w:rsidRDefault="0079125E">
      <w:pPr>
        <w:spacing w:line="240" w:lineRule="auto"/>
      </w:pPr>
      <w:r>
        <w:separator/>
      </w:r>
    </w:p>
  </w:endnote>
  <w:endnote w:type="continuationSeparator" w:id="0">
    <w:p w:rsidR="0007086D" w:rsidRDefault="007912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86D" w:rsidRDefault="0079125E">
      <w:pPr>
        <w:spacing w:after="0"/>
      </w:pPr>
      <w:r>
        <w:separator/>
      </w:r>
    </w:p>
  </w:footnote>
  <w:footnote w:type="continuationSeparator" w:id="0">
    <w:p w:rsidR="0007086D" w:rsidRDefault="0079125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1954E2"/>
    <w:rsid w:val="000328E0"/>
    <w:rsid w:val="0007086D"/>
    <w:rsid w:val="000E3B7F"/>
    <w:rsid w:val="00135729"/>
    <w:rsid w:val="001954E2"/>
    <w:rsid w:val="001D4425"/>
    <w:rsid w:val="002305EE"/>
    <w:rsid w:val="00266518"/>
    <w:rsid w:val="0028237C"/>
    <w:rsid w:val="002C72FD"/>
    <w:rsid w:val="00335793"/>
    <w:rsid w:val="00370027"/>
    <w:rsid w:val="003F3408"/>
    <w:rsid w:val="00427707"/>
    <w:rsid w:val="005542C3"/>
    <w:rsid w:val="0063714D"/>
    <w:rsid w:val="0067085D"/>
    <w:rsid w:val="00675D0C"/>
    <w:rsid w:val="006D2F27"/>
    <w:rsid w:val="007574F5"/>
    <w:rsid w:val="0079125E"/>
    <w:rsid w:val="007F0366"/>
    <w:rsid w:val="007F390E"/>
    <w:rsid w:val="008A1E69"/>
    <w:rsid w:val="00922BDA"/>
    <w:rsid w:val="009B0435"/>
    <w:rsid w:val="00A75C19"/>
    <w:rsid w:val="00AA58B2"/>
    <w:rsid w:val="00AE3000"/>
    <w:rsid w:val="00AF0E21"/>
    <w:rsid w:val="00B72F89"/>
    <w:rsid w:val="00B760B5"/>
    <w:rsid w:val="00C01DB7"/>
    <w:rsid w:val="00D609E4"/>
    <w:rsid w:val="00D66E29"/>
    <w:rsid w:val="00D7420C"/>
    <w:rsid w:val="00D8009D"/>
    <w:rsid w:val="00DD6FB7"/>
    <w:rsid w:val="00E26A5B"/>
    <w:rsid w:val="00E5754F"/>
    <w:rsid w:val="00E93BFD"/>
    <w:rsid w:val="00FA4EA2"/>
    <w:rsid w:val="07BD03E2"/>
    <w:rsid w:val="152F114F"/>
    <w:rsid w:val="33B909A8"/>
    <w:rsid w:val="39AB2B82"/>
    <w:rsid w:val="4BD674C0"/>
    <w:rsid w:val="4CD81D83"/>
    <w:rsid w:val="522608C9"/>
    <w:rsid w:val="6AAF5950"/>
    <w:rsid w:val="723B7459"/>
    <w:rsid w:val="728C1D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86D"/>
    <w:pPr>
      <w:spacing w:after="212" w:line="397" w:lineRule="auto"/>
      <w:ind w:left="-15" w:right="-15" w:firstLine="470"/>
    </w:pPr>
    <w:rPr>
      <w:rFonts w:ascii="宋体" w:hAnsi="宋体" w:cs="宋体"/>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07086D"/>
  </w:style>
  <w:style w:type="paragraph" w:styleId="a4">
    <w:name w:val="Balloon Text"/>
    <w:basedOn w:val="a"/>
    <w:link w:val="Char"/>
    <w:uiPriority w:val="99"/>
    <w:semiHidden/>
    <w:unhideWhenUsed/>
    <w:qFormat/>
    <w:rsid w:val="0007086D"/>
    <w:pPr>
      <w:spacing w:after="0" w:line="240" w:lineRule="auto"/>
    </w:pPr>
    <w:rPr>
      <w:sz w:val="18"/>
      <w:szCs w:val="18"/>
    </w:rPr>
  </w:style>
  <w:style w:type="paragraph" w:styleId="a5">
    <w:name w:val="footer"/>
    <w:basedOn w:val="a"/>
    <w:link w:val="Char0"/>
    <w:uiPriority w:val="99"/>
    <w:unhideWhenUsed/>
    <w:qFormat/>
    <w:rsid w:val="0007086D"/>
    <w:pPr>
      <w:tabs>
        <w:tab w:val="center" w:pos="4153"/>
        <w:tab w:val="right" w:pos="8306"/>
      </w:tabs>
      <w:snapToGrid w:val="0"/>
      <w:spacing w:line="240" w:lineRule="auto"/>
    </w:pPr>
    <w:rPr>
      <w:sz w:val="18"/>
      <w:szCs w:val="18"/>
    </w:rPr>
  </w:style>
  <w:style w:type="paragraph" w:styleId="a6">
    <w:name w:val="header"/>
    <w:basedOn w:val="a"/>
    <w:link w:val="Char1"/>
    <w:uiPriority w:val="99"/>
    <w:unhideWhenUsed/>
    <w:qFormat/>
    <w:rsid w:val="0007086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07086D"/>
    <w:rPr>
      <w:rFonts w:ascii="宋体" w:eastAsia="宋体" w:hAnsi="宋体" w:cs="宋体"/>
      <w:color w:val="000000"/>
      <w:sz w:val="18"/>
      <w:szCs w:val="18"/>
    </w:rPr>
  </w:style>
  <w:style w:type="character" w:customStyle="1" w:styleId="Char0">
    <w:name w:val="页脚 Char"/>
    <w:basedOn w:val="a0"/>
    <w:link w:val="a5"/>
    <w:uiPriority w:val="99"/>
    <w:qFormat/>
    <w:rsid w:val="0007086D"/>
    <w:rPr>
      <w:rFonts w:ascii="宋体" w:eastAsia="宋体" w:hAnsi="宋体" w:cs="宋体"/>
      <w:color w:val="000000"/>
      <w:sz w:val="18"/>
      <w:szCs w:val="18"/>
    </w:rPr>
  </w:style>
  <w:style w:type="paragraph" w:styleId="a7">
    <w:name w:val="List Paragraph"/>
    <w:basedOn w:val="a"/>
    <w:uiPriority w:val="34"/>
    <w:qFormat/>
    <w:rsid w:val="0007086D"/>
    <w:pPr>
      <w:ind w:firstLineChars="200" w:firstLine="420"/>
    </w:pPr>
  </w:style>
  <w:style w:type="paragraph" w:customStyle="1" w:styleId="Default">
    <w:name w:val="Default"/>
    <w:qFormat/>
    <w:rsid w:val="0007086D"/>
    <w:pPr>
      <w:widowControl w:val="0"/>
      <w:autoSpaceDE w:val="0"/>
      <w:autoSpaceDN w:val="0"/>
      <w:adjustRightInd w:val="0"/>
    </w:pPr>
    <w:rPr>
      <w:rFonts w:ascii="宋体" w:hAnsiTheme="minorHAnsi" w:cs="宋体"/>
      <w:color w:val="000000"/>
      <w:sz w:val="24"/>
      <w:szCs w:val="24"/>
    </w:rPr>
  </w:style>
  <w:style w:type="character" w:customStyle="1" w:styleId="Char">
    <w:name w:val="批注框文本 Char"/>
    <w:basedOn w:val="a0"/>
    <w:link w:val="a4"/>
    <w:uiPriority w:val="99"/>
    <w:semiHidden/>
    <w:qFormat/>
    <w:rsid w:val="0007086D"/>
    <w:rPr>
      <w:rFonts w:ascii="宋体" w:eastAsia="宋体" w:hAnsi="宋体" w:cs="宋体"/>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1078</Characters>
  <Application>Microsoft Office Word</Application>
  <DocSecurity>4</DocSecurity>
  <Lines>8</Lines>
  <Paragraphs>2</Paragraphs>
  <ScaleCrop>false</ScaleCrop>
  <Company>CNSTOCK</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冯晓蕾</dc:creator>
  <cp:lastModifiedBy>ZHONGM</cp:lastModifiedBy>
  <cp:revision>2</cp:revision>
  <dcterms:created xsi:type="dcterms:W3CDTF">2025-10-26T16:02:00Z</dcterms:created>
  <dcterms:modified xsi:type="dcterms:W3CDTF">2025-10-26T16:02:00Z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BA431787F9194667B256D74C1EAE385F</vt:lpwstr>
  </property>
</Properties>
</file>