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65" w:rsidRPr="005A4F65" w:rsidRDefault="00B64F0F" w:rsidP="00E1564B">
      <w:pPr>
        <w:widowControl/>
        <w:shd w:val="clear" w:color="auto" w:fill="FFFFFF"/>
        <w:spacing w:line="360" w:lineRule="auto"/>
        <w:jc w:val="center"/>
        <w:rPr>
          <w:rFonts w:asciiTheme="minorEastAsia" w:hAnsiTheme="minorEastAsia" w:cs="宋体"/>
          <w:b/>
          <w:bCs/>
          <w:kern w:val="0"/>
          <w:sz w:val="28"/>
          <w:szCs w:val="28"/>
        </w:rPr>
      </w:pPr>
      <w:r w:rsidRPr="00EA2009">
        <w:rPr>
          <w:rFonts w:asciiTheme="minorEastAsia" w:hAnsiTheme="minorEastAsia" w:cs="宋体" w:hint="eastAsia"/>
          <w:b/>
          <w:kern w:val="0"/>
          <w:sz w:val="28"/>
          <w:szCs w:val="28"/>
        </w:rPr>
        <w:t>关于</w:t>
      </w:r>
      <w:r w:rsidR="002019B3" w:rsidRPr="002019B3">
        <w:rPr>
          <w:rFonts w:asciiTheme="minorEastAsia" w:hAnsiTheme="minorEastAsia" w:cs="宋体" w:hint="eastAsia"/>
          <w:b/>
          <w:bCs/>
          <w:kern w:val="0"/>
          <w:sz w:val="28"/>
          <w:szCs w:val="28"/>
        </w:rPr>
        <w:t>浦银安盛港股通央企红利混合型证券投资基金</w:t>
      </w:r>
    </w:p>
    <w:p w:rsidR="004F7E35" w:rsidRPr="00EA2009" w:rsidRDefault="009D17DD" w:rsidP="00E1564B">
      <w:pPr>
        <w:widowControl/>
        <w:shd w:val="clear" w:color="auto" w:fill="FFFFFF"/>
        <w:spacing w:line="360" w:lineRule="auto"/>
        <w:jc w:val="center"/>
        <w:rPr>
          <w:rFonts w:asciiTheme="minorEastAsia" w:hAnsiTheme="minorEastAsia" w:cs="宋体"/>
          <w:b/>
          <w:kern w:val="0"/>
          <w:sz w:val="28"/>
          <w:szCs w:val="28"/>
        </w:rPr>
      </w:pPr>
      <w:r w:rsidRPr="00EA2009">
        <w:rPr>
          <w:rFonts w:asciiTheme="minorEastAsia" w:hAnsiTheme="minorEastAsia" w:cs="宋体" w:hint="eastAsia"/>
          <w:b/>
          <w:kern w:val="0"/>
          <w:sz w:val="28"/>
          <w:szCs w:val="28"/>
        </w:rPr>
        <w:t>暂停申购、赎回和</w:t>
      </w:r>
      <w:r w:rsidR="00D80505" w:rsidRPr="00EA2009">
        <w:rPr>
          <w:rFonts w:asciiTheme="minorEastAsia" w:hAnsiTheme="minorEastAsia" w:cs="宋体" w:hint="eastAsia"/>
          <w:b/>
          <w:kern w:val="0"/>
          <w:sz w:val="28"/>
          <w:szCs w:val="28"/>
        </w:rPr>
        <w:t>定期定额投资</w:t>
      </w:r>
      <w:r w:rsidRPr="00EA2009">
        <w:rPr>
          <w:rFonts w:asciiTheme="minorEastAsia" w:hAnsiTheme="minorEastAsia" w:cs="宋体" w:hint="eastAsia"/>
          <w:b/>
          <w:kern w:val="0"/>
          <w:sz w:val="28"/>
          <w:szCs w:val="28"/>
        </w:rPr>
        <w:t>业务的公告</w:t>
      </w:r>
    </w:p>
    <w:p w:rsidR="009D17DD" w:rsidRPr="00E73D9A" w:rsidRDefault="009D17DD" w:rsidP="009D17DD">
      <w:pPr>
        <w:spacing w:line="360" w:lineRule="auto"/>
        <w:jc w:val="center"/>
        <w:rPr>
          <w:rFonts w:asciiTheme="minorEastAsia" w:hAnsiTheme="minorEastAsia"/>
          <w:sz w:val="24"/>
          <w:szCs w:val="24"/>
        </w:rPr>
      </w:pPr>
      <w:r w:rsidRPr="00E73D9A">
        <w:rPr>
          <w:rFonts w:asciiTheme="minorEastAsia" w:hAnsiTheme="minorEastAsia"/>
          <w:sz w:val="24"/>
          <w:szCs w:val="24"/>
        </w:rPr>
        <w:t>公告送出日期：</w:t>
      </w:r>
      <w:r w:rsidR="00245EE8" w:rsidRPr="00245EE8">
        <w:rPr>
          <w:rFonts w:asciiTheme="minorEastAsia" w:hAnsiTheme="minorEastAsia" w:hint="eastAsia"/>
          <w:sz w:val="24"/>
          <w:szCs w:val="24"/>
        </w:rPr>
        <w:t>2025年10月2</w:t>
      </w:r>
      <w:r w:rsidR="00245EE8">
        <w:rPr>
          <w:rFonts w:asciiTheme="minorEastAsia" w:hAnsiTheme="minorEastAsia"/>
          <w:sz w:val="24"/>
          <w:szCs w:val="24"/>
        </w:rPr>
        <w:t>7</w:t>
      </w:r>
      <w:r w:rsidR="00245EE8" w:rsidRPr="00245EE8">
        <w:rPr>
          <w:rFonts w:asciiTheme="minorEastAsia" w:hAnsiTheme="minorEastAsia" w:hint="eastAsia"/>
          <w:sz w:val="24"/>
          <w:szCs w:val="24"/>
        </w:rPr>
        <w:t>日</w:t>
      </w: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1</w:t>
      </w:r>
      <w:r w:rsidRPr="00EA2009">
        <w:rPr>
          <w:rFonts w:asciiTheme="minorEastAsia" w:hAnsiTheme="minorEastAsia" w:cs="宋体"/>
          <w:b/>
          <w:kern w:val="0"/>
          <w:sz w:val="24"/>
          <w:szCs w:val="24"/>
        </w:rPr>
        <w:t>公告基本信息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551"/>
        <w:gridCol w:w="2435"/>
        <w:gridCol w:w="2435"/>
      </w:tblGrid>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基金名称</w:t>
            </w:r>
          </w:p>
        </w:tc>
        <w:tc>
          <w:tcPr>
            <w:tcW w:w="4870" w:type="dxa"/>
            <w:gridSpan w:val="2"/>
          </w:tcPr>
          <w:p w:rsidR="003E5CF9" w:rsidRPr="00E73D9A" w:rsidRDefault="002019B3" w:rsidP="00B57D58">
            <w:pPr>
              <w:spacing w:line="360" w:lineRule="auto"/>
              <w:rPr>
                <w:rFonts w:asciiTheme="minorEastAsia" w:hAnsiTheme="minorEastAsia"/>
                <w:szCs w:val="21"/>
              </w:rPr>
            </w:pPr>
            <w:r w:rsidRPr="002019B3">
              <w:rPr>
                <w:rFonts w:asciiTheme="minorEastAsia" w:hAnsiTheme="minorEastAsia" w:hint="eastAsia"/>
                <w:kern w:val="0"/>
                <w:szCs w:val="21"/>
              </w:rPr>
              <w:t>浦银安盛港股通央企红利混合型证券投资基金</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基金简称</w:t>
            </w:r>
          </w:p>
        </w:tc>
        <w:tc>
          <w:tcPr>
            <w:tcW w:w="4870" w:type="dxa"/>
            <w:gridSpan w:val="2"/>
          </w:tcPr>
          <w:p w:rsidR="003E5CF9" w:rsidRPr="00E73D9A" w:rsidRDefault="002019B3" w:rsidP="00B57D58">
            <w:pPr>
              <w:spacing w:line="360" w:lineRule="auto"/>
              <w:rPr>
                <w:rFonts w:asciiTheme="minorEastAsia" w:hAnsiTheme="minorEastAsia"/>
                <w:kern w:val="0"/>
                <w:szCs w:val="21"/>
              </w:rPr>
            </w:pPr>
            <w:r w:rsidRPr="002019B3">
              <w:rPr>
                <w:rFonts w:asciiTheme="minorEastAsia" w:hAnsiTheme="minorEastAsia" w:hint="eastAsia"/>
                <w:kern w:val="0"/>
                <w:szCs w:val="21"/>
              </w:rPr>
              <w:t>浦银安盛港股通央企红利混合</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基金主代码</w:t>
            </w:r>
          </w:p>
        </w:tc>
        <w:tc>
          <w:tcPr>
            <w:tcW w:w="4870" w:type="dxa"/>
            <w:gridSpan w:val="2"/>
          </w:tcPr>
          <w:p w:rsidR="003E5CF9" w:rsidRPr="00E73D9A" w:rsidRDefault="002019B3" w:rsidP="00B57D58">
            <w:pPr>
              <w:spacing w:line="360" w:lineRule="auto"/>
              <w:rPr>
                <w:rFonts w:asciiTheme="minorEastAsia" w:hAnsiTheme="minorEastAsia"/>
                <w:kern w:val="0"/>
                <w:szCs w:val="21"/>
              </w:rPr>
            </w:pPr>
            <w:r w:rsidRPr="002019B3">
              <w:rPr>
                <w:rFonts w:asciiTheme="minorEastAsia" w:hAnsiTheme="minorEastAsia"/>
                <w:kern w:val="0"/>
                <w:szCs w:val="21"/>
              </w:rPr>
              <w:t>024398</w:t>
            </w:r>
          </w:p>
        </w:tc>
      </w:tr>
      <w:tr w:rsidR="003E5CF9" w:rsidRPr="00EA2009"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基金管理人名称</w:t>
            </w:r>
          </w:p>
        </w:tc>
        <w:tc>
          <w:tcPr>
            <w:tcW w:w="4870" w:type="dxa"/>
            <w:gridSpan w:val="2"/>
          </w:tcPr>
          <w:p w:rsidR="003E5CF9" w:rsidRPr="00E73D9A" w:rsidRDefault="003E5CF9" w:rsidP="00B57D58">
            <w:pPr>
              <w:spacing w:line="360" w:lineRule="auto"/>
              <w:rPr>
                <w:rFonts w:asciiTheme="minorEastAsia" w:hAnsiTheme="minorEastAsia"/>
                <w:kern w:val="0"/>
                <w:szCs w:val="21"/>
              </w:rPr>
            </w:pPr>
            <w:r w:rsidRPr="00E73D9A">
              <w:rPr>
                <w:rFonts w:asciiTheme="minorEastAsia" w:hAnsiTheme="minorEastAsia" w:hint="eastAsia"/>
                <w:kern w:val="0"/>
                <w:szCs w:val="21"/>
              </w:rPr>
              <w:t>浦银安盛基金管理有限公司</w:t>
            </w:r>
          </w:p>
        </w:tc>
      </w:tr>
      <w:tr w:rsidR="003E5CF9" w:rsidRPr="002019B3" w:rsidTr="00EF6AFD">
        <w:trPr>
          <w:jc w:val="center"/>
        </w:trPr>
        <w:tc>
          <w:tcPr>
            <w:tcW w:w="3652" w:type="dxa"/>
            <w:gridSpan w:val="2"/>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szCs w:val="21"/>
              </w:rPr>
              <w:t>公告依据</w:t>
            </w:r>
          </w:p>
        </w:tc>
        <w:tc>
          <w:tcPr>
            <w:tcW w:w="4870" w:type="dxa"/>
            <w:gridSpan w:val="2"/>
          </w:tcPr>
          <w:p w:rsidR="003E5CF9" w:rsidRPr="00E73D9A" w:rsidRDefault="003E5CF9" w:rsidP="00411D5E">
            <w:pPr>
              <w:spacing w:line="360" w:lineRule="auto"/>
              <w:rPr>
                <w:rFonts w:asciiTheme="minorEastAsia" w:hAnsiTheme="minorEastAsia"/>
                <w:kern w:val="0"/>
                <w:szCs w:val="21"/>
              </w:rPr>
            </w:pPr>
            <w:r w:rsidRPr="00E73D9A">
              <w:rPr>
                <w:rFonts w:asciiTheme="minorEastAsia" w:hAnsiTheme="minorEastAsia"/>
                <w:kern w:val="0"/>
                <w:szCs w:val="21"/>
              </w:rPr>
              <w:t>《中华人民共和国证券投资基金法》、《</w:t>
            </w:r>
            <w:r w:rsidR="00411D5E">
              <w:rPr>
                <w:rFonts w:asciiTheme="minorEastAsia" w:hAnsiTheme="minorEastAsia" w:hint="eastAsia"/>
                <w:kern w:val="0"/>
                <w:szCs w:val="21"/>
              </w:rPr>
              <w:t>公开募集</w:t>
            </w:r>
            <w:r w:rsidRPr="00E73D9A">
              <w:rPr>
                <w:rFonts w:asciiTheme="minorEastAsia" w:hAnsiTheme="minorEastAsia"/>
                <w:kern w:val="0"/>
                <w:szCs w:val="21"/>
              </w:rPr>
              <w:t>证券投资基金信息披露管理办法》（以下简称“《信息披露办法》”）、《公开募集证券投资基金运作管理办法》、</w:t>
            </w:r>
            <w:r w:rsidRPr="00E73D9A">
              <w:rPr>
                <w:rFonts w:asciiTheme="minorEastAsia" w:hAnsiTheme="minorEastAsia" w:hint="eastAsia"/>
                <w:kern w:val="0"/>
                <w:szCs w:val="21"/>
              </w:rPr>
              <w:t>《</w:t>
            </w:r>
            <w:r w:rsidR="002019B3" w:rsidRPr="002019B3">
              <w:rPr>
                <w:rFonts w:asciiTheme="minorEastAsia" w:hAnsiTheme="minorEastAsia" w:hint="eastAsia"/>
                <w:kern w:val="0"/>
                <w:szCs w:val="21"/>
              </w:rPr>
              <w:t>浦银安盛港股通央企红利混合型证券投资基金</w:t>
            </w:r>
            <w:r w:rsidRPr="00E73D9A">
              <w:rPr>
                <w:rFonts w:asciiTheme="minorEastAsia" w:hAnsiTheme="minorEastAsia" w:hint="eastAsia"/>
                <w:kern w:val="0"/>
                <w:szCs w:val="21"/>
              </w:rPr>
              <w:t>基金合同》（以下简称“基金合同”）、《</w:t>
            </w:r>
            <w:r w:rsidR="002019B3" w:rsidRPr="002019B3">
              <w:rPr>
                <w:rFonts w:asciiTheme="minorEastAsia" w:hAnsiTheme="minorEastAsia" w:hint="eastAsia"/>
                <w:kern w:val="0"/>
                <w:szCs w:val="21"/>
              </w:rPr>
              <w:t>浦银安盛港股通央企红利混合型证券投资基金</w:t>
            </w:r>
            <w:r w:rsidRPr="00E73D9A">
              <w:rPr>
                <w:rFonts w:asciiTheme="minorEastAsia" w:hAnsiTheme="minorEastAsia" w:hint="eastAsia"/>
                <w:kern w:val="0"/>
                <w:szCs w:val="21"/>
              </w:rPr>
              <w:t>招募说明书》（以下简称“招募说明书”）等有关规定</w:t>
            </w:r>
          </w:p>
        </w:tc>
      </w:tr>
      <w:tr w:rsidR="003E5CF9" w:rsidRPr="00EA2009" w:rsidTr="00EF6AFD">
        <w:trPr>
          <w:jc w:val="center"/>
        </w:trPr>
        <w:tc>
          <w:tcPr>
            <w:tcW w:w="1101" w:type="dxa"/>
            <w:vMerge w:val="restart"/>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暂停相关业务的起始日及原因说明</w:t>
            </w:r>
          </w:p>
        </w:tc>
        <w:tc>
          <w:tcPr>
            <w:tcW w:w="2551" w:type="dxa"/>
          </w:tcPr>
          <w:p w:rsidR="003E5CF9" w:rsidRPr="00E73D9A" w:rsidRDefault="003E5CF9" w:rsidP="00B57D58">
            <w:pPr>
              <w:spacing w:line="360" w:lineRule="auto"/>
              <w:rPr>
                <w:rFonts w:asciiTheme="minorEastAsia" w:hAnsiTheme="minorEastAsia"/>
                <w:szCs w:val="21"/>
              </w:rPr>
            </w:pPr>
            <w:r w:rsidRPr="00E73D9A">
              <w:rPr>
                <w:rFonts w:asciiTheme="minorEastAsia" w:hAnsiTheme="minorEastAsia" w:hint="eastAsia"/>
                <w:szCs w:val="21"/>
              </w:rPr>
              <w:t>暂停申购起始日</w:t>
            </w:r>
          </w:p>
        </w:tc>
        <w:tc>
          <w:tcPr>
            <w:tcW w:w="4870" w:type="dxa"/>
            <w:gridSpan w:val="2"/>
          </w:tcPr>
          <w:p w:rsidR="003E5CF9" w:rsidRPr="00E73D9A" w:rsidRDefault="00CC4BCA" w:rsidP="00245EE8">
            <w:pPr>
              <w:spacing w:line="360" w:lineRule="auto"/>
              <w:rPr>
                <w:rFonts w:asciiTheme="minorEastAsia" w:hAnsiTheme="minorEastAsia"/>
                <w:kern w:val="0"/>
                <w:szCs w:val="21"/>
              </w:rPr>
            </w:pPr>
            <w:r w:rsidRPr="00CC4BCA">
              <w:rPr>
                <w:rFonts w:asciiTheme="minorEastAsia" w:hAnsiTheme="minorEastAsia" w:hint="eastAsia"/>
                <w:kern w:val="0"/>
                <w:szCs w:val="21"/>
              </w:rPr>
              <w:t>2025年</w:t>
            </w:r>
            <w:r w:rsidR="00245EE8">
              <w:rPr>
                <w:rFonts w:asciiTheme="minorEastAsia" w:hAnsiTheme="minorEastAsia"/>
                <w:kern w:val="0"/>
                <w:szCs w:val="21"/>
              </w:rPr>
              <w:t>10</w:t>
            </w:r>
            <w:r w:rsidRPr="00CC4BCA">
              <w:rPr>
                <w:rFonts w:asciiTheme="minorEastAsia" w:hAnsiTheme="minorEastAsia" w:hint="eastAsia"/>
                <w:kern w:val="0"/>
                <w:szCs w:val="21"/>
              </w:rPr>
              <w:t>月</w:t>
            </w:r>
            <w:r w:rsidR="00245EE8">
              <w:rPr>
                <w:rFonts w:asciiTheme="minorEastAsia" w:hAnsiTheme="minorEastAsia"/>
                <w:kern w:val="0"/>
                <w:szCs w:val="21"/>
              </w:rPr>
              <w:t>29</w:t>
            </w:r>
            <w:r w:rsidRPr="00CC4BCA">
              <w:rPr>
                <w:rFonts w:asciiTheme="minorEastAsia" w:hAnsiTheme="minorEastAsia" w:hint="eastAsia"/>
                <w:kern w:val="0"/>
                <w:szCs w:val="21"/>
              </w:rPr>
              <w:t>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暂停赎回起始日</w:t>
            </w:r>
          </w:p>
        </w:tc>
        <w:tc>
          <w:tcPr>
            <w:tcW w:w="4870" w:type="dxa"/>
            <w:gridSpan w:val="2"/>
          </w:tcPr>
          <w:p w:rsidR="00EF6AFD" w:rsidRPr="00E73D9A" w:rsidRDefault="00245EE8" w:rsidP="00EF6AFD">
            <w:pPr>
              <w:spacing w:line="360" w:lineRule="auto"/>
              <w:rPr>
                <w:rFonts w:asciiTheme="minorEastAsia" w:hAnsiTheme="minorEastAsia"/>
                <w:kern w:val="0"/>
                <w:szCs w:val="21"/>
              </w:rPr>
            </w:pPr>
            <w:r w:rsidRPr="00245EE8">
              <w:rPr>
                <w:rFonts w:asciiTheme="minorEastAsia" w:hAnsiTheme="minorEastAsia" w:hint="eastAsia"/>
                <w:kern w:val="0"/>
                <w:szCs w:val="21"/>
              </w:rPr>
              <w:t>2025年10月29日</w:t>
            </w:r>
          </w:p>
        </w:tc>
      </w:tr>
      <w:tr w:rsidR="00EF6AFD" w:rsidRPr="00EA2009" w:rsidTr="00520EC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EF6AFD">
            <w:pPr>
              <w:spacing w:line="360" w:lineRule="auto"/>
              <w:rPr>
                <w:rFonts w:asciiTheme="minorEastAsia" w:hAnsiTheme="minorEastAsia"/>
                <w:szCs w:val="21"/>
              </w:rPr>
            </w:pPr>
            <w:r w:rsidRPr="00E73D9A">
              <w:rPr>
                <w:rFonts w:asciiTheme="minorEastAsia" w:hAnsiTheme="minorEastAsia" w:hint="eastAsia"/>
                <w:szCs w:val="21"/>
              </w:rPr>
              <w:t>暂停定期定额投资起始日</w:t>
            </w:r>
          </w:p>
        </w:tc>
        <w:tc>
          <w:tcPr>
            <w:tcW w:w="4870" w:type="dxa"/>
            <w:gridSpan w:val="2"/>
          </w:tcPr>
          <w:p w:rsidR="00EF6AFD" w:rsidRPr="00E73D9A" w:rsidRDefault="00245EE8" w:rsidP="00EF6AFD">
            <w:pPr>
              <w:spacing w:line="360" w:lineRule="auto"/>
              <w:rPr>
                <w:rFonts w:asciiTheme="minorEastAsia" w:hAnsiTheme="minorEastAsia"/>
                <w:kern w:val="0"/>
                <w:szCs w:val="21"/>
              </w:rPr>
            </w:pPr>
            <w:r w:rsidRPr="00245EE8">
              <w:rPr>
                <w:rFonts w:asciiTheme="minorEastAsia" w:hAnsiTheme="minorEastAsia" w:hint="eastAsia"/>
                <w:kern w:val="0"/>
                <w:szCs w:val="21"/>
              </w:rPr>
              <w:t>2025年10月29日</w:t>
            </w:r>
          </w:p>
        </w:tc>
      </w:tr>
      <w:tr w:rsidR="00EF6AFD" w:rsidRPr="00EA2009" w:rsidTr="00EF6AFD">
        <w:trPr>
          <w:jc w:val="center"/>
        </w:trPr>
        <w:tc>
          <w:tcPr>
            <w:tcW w:w="1101" w:type="dxa"/>
            <w:vMerge/>
          </w:tcPr>
          <w:p w:rsidR="00EF6AFD" w:rsidRPr="00E73D9A" w:rsidRDefault="00EF6AFD" w:rsidP="00EF6AFD">
            <w:pPr>
              <w:spacing w:line="360" w:lineRule="auto"/>
              <w:rPr>
                <w:rFonts w:asciiTheme="minorEastAsia" w:hAnsiTheme="minorEastAsia"/>
                <w:szCs w:val="21"/>
              </w:rPr>
            </w:pPr>
          </w:p>
        </w:tc>
        <w:tc>
          <w:tcPr>
            <w:tcW w:w="2551" w:type="dxa"/>
          </w:tcPr>
          <w:p w:rsidR="00EF6AFD" w:rsidRPr="00E73D9A" w:rsidRDefault="00EF6AFD" w:rsidP="002019B3">
            <w:pPr>
              <w:spacing w:line="360" w:lineRule="auto"/>
              <w:rPr>
                <w:rFonts w:asciiTheme="minorEastAsia" w:hAnsiTheme="minorEastAsia"/>
                <w:szCs w:val="21"/>
              </w:rPr>
            </w:pPr>
            <w:r w:rsidRPr="00E73D9A">
              <w:rPr>
                <w:rFonts w:asciiTheme="minorEastAsia" w:hAnsiTheme="minorEastAsia" w:hint="eastAsia"/>
                <w:szCs w:val="21"/>
              </w:rPr>
              <w:t>暂停申购、赎回</w:t>
            </w:r>
            <w:r>
              <w:rPr>
                <w:rFonts w:asciiTheme="minorEastAsia" w:hAnsiTheme="minorEastAsia" w:hint="eastAsia"/>
                <w:szCs w:val="21"/>
              </w:rPr>
              <w:t>、</w:t>
            </w:r>
            <w:r w:rsidRPr="00E73D9A">
              <w:rPr>
                <w:rFonts w:asciiTheme="minorEastAsia" w:hAnsiTheme="minorEastAsia" w:hint="eastAsia"/>
                <w:szCs w:val="21"/>
              </w:rPr>
              <w:t>定期定额投资的原因说明</w:t>
            </w:r>
          </w:p>
        </w:tc>
        <w:tc>
          <w:tcPr>
            <w:tcW w:w="4870" w:type="dxa"/>
            <w:gridSpan w:val="2"/>
          </w:tcPr>
          <w:p w:rsidR="00EF6AFD" w:rsidRPr="00E73D9A" w:rsidRDefault="00EF6AFD" w:rsidP="00EF6AFD">
            <w:pPr>
              <w:spacing w:line="360" w:lineRule="auto"/>
              <w:rPr>
                <w:rFonts w:asciiTheme="minorEastAsia" w:hAnsiTheme="minorEastAsia"/>
                <w:kern w:val="0"/>
                <w:szCs w:val="21"/>
              </w:rPr>
            </w:pPr>
            <w:r w:rsidRPr="00E73D9A">
              <w:rPr>
                <w:rFonts w:asciiTheme="minorEastAsia" w:hAnsiTheme="minorEastAsia" w:hint="eastAsia"/>
                <w:kern w:val="0"/>
                <w:szCs w:val="21"/>
              </w:rPr>
              <w:t>非港股通交易日</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下属分级基金的基金简称</w:t>
            </w:r>
          </w:p>
        </w:tc>
        <w:tc>
          <w:tcPr>
            <w:tcW w:w="2435" w:type="dxa"/>
            <w:vAlign w:val="center"/>
          </w:tcPr>
          <w:p w:rsidR="00EF6AFD" w:rsidRPr="00E73D9A" w:rsidRDefault="002019B3" w:rsidP="00EF6AFD">
            <w:pPr>
              <w:spacing w:line="360" w:lineRule="auto"/>
              <w:rPr>
                <w:rFonts w:asciiTheme="minorEastAsia" w:hAnsiTheme="minorEastAsia"/>
                <w:kern w:val="0"/>
                <w:szCs w:val="21"/>
              </w:rPr>
            </w:pPr>
            <w:r w:rsidRPr="002019B3">
              <w:rPr>
                <w:rFonts w:asciiTheme="minorEastAsia" w:hAnsiTheme="minorEastAsia" w:hint="eastAsia"/>
                <w:szCs w:val="21"/>
              </w:rPr>
              <w:t>浦银安盛港股通央企红利混合</w:t>
            </w:r>
            <w:r w:rsidR="00EF6AFD" w:rsidRPr="002823F0">
              <w:rPr>
                <w:rFonts w:asciiTheme="minorEastAsia" w:hAnsiTheme="minorEastAsia" w:hint="eastAsia"/>
                <w:szCs w:val="21"/>
              </w:rPr>
              <w:t>A</w:t>
            </w:r>
          </w:p>
        </w:tc>
        <w:tc>
          <w:tcPr>
            <w:tcW w:w="2435" w:type="dxa"/>
            <w:vAlign w:val="center"/>
          </w:tcPr>
          <w:p w:rsidR="00EF6AFD" w:rsidRPr="00E73D9A" w:rsidRDefault="002019B3" w:rsidP="00EF6AFD">
            <w:pPr>
              <w:spacing w:line="360" w:lineRule="auto"/>
              <w:rPr>
                <w:rFonts w:asciiTheme="minorEastAsia" w:hAnsiTheme="minorEastAsia"/>
                <w:kern w:val="0"/>
                <w:szCs w:val="21"/>
              </w:rPr>
            </w:pPr>
            <w:r w:rsidRPr="002019B3">
              <w:rPr>
                <w:rFonts w:asciiTheme="minorEastAsia" w:hAnsiTheme="minorEastAsia" w:hint="eastAsia"/>
                <w:szCs w:val="21"/>
              </w:rPr>
              <w:t>浦银安盛港股通央企红利混合</w:t>
            </w:r>
            <w:r w:rsidR="00EF6AFD" w:rsidRPr="002823F0">
              <w:rPr>
                <w:rFonts w:asciiTheme="minorEastAsia" w:hAnsiTheme="minorEastAsia" w:hint="eastAsia"/>
                <w:szCs w:val="21"/>
              </w:rPr>
              <w:t xml:space="preserve">C </w:t>
            </w:r>
          </w:p>
        </w:tc>
      </w:tr>
      <w:tr w:rsidR="00EF6AFD" w:rsidRPr="00EA2009" w:rsidTr="00EF6AFD">
        <w:trPr>
          <w:jc w:val="center"/>
        </w:trPr>
        <w:tc>
          <w:tcPr>
            <w:tcW w:w="3652" w:type="dxa"/>
            <w:gridSpan w:val="2"/>
            <w:vAlign w:val="center"/>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下属分级基金的交易代码</w:t>
            </w:r>
          </w:p>
        </w:tc>
        <w:tc>
          <w:tcPr>
            <w:tcW w:w="2435" w:type="dxa"/>
          </w:tcPr>
          <w:p w:rsidR="00EF6AFD" w:rsidRPr="00E73D9A" w:rsidRDefault="002019B3" w:rsidP="00EF6AFD">
            <w:pPr>
              <w:spacing w:line="360" w:lineRule="auto"/>
              <w:rPr>
                <w:rFonts w:asciiTheme="minorEastAsia" w:hAnsiTheme="minorEastAsia"/>
                <w:kern w:val="0"/>
                <w:szCs w:val="21"/>
              </w:rPr>
            </w:pPr>
            <w:r w:rsidRPr="002019B3">
              <w:rPr>
                <w:rFonts w:asciiTheme="minorEastAsia" w:hAnsiTheme="minorEastAsia"/>
                <w:kern w:val="0"/>
                <w:szCs w:val="21"/>
              </w:rPr>
              <w:t>024398</w:t>
            </w:r>
          </w:p>
        </w:tc>
        <w:tc>
          <w:tcPr>
            <w:tcW w:w="2435" w:type="dxa"/>
          </w:tcPr>
          <w:p w:rsidR="00EF6AFD" w:rsidRPr="00E73D9A" w:rsidRDefault="002019B3" w:rsidP="00EF6AFD">
            <w:pPr>
              <w:spacing w:line="360" w:lineRule="auto"/>
              <w:rPr>
                <w:rFonts w:asciiTheme="minorEastAsia" w:hAnsiTheme="minorEastAsia"/>
                <w:kern w:val="0"/>
                <w:szCs w:val="21"/>
              </w:rPr>
            </w:pPr>
            <w:r w:rsidRPr="002019B3">
              <w:rPr>
                <w:rFonts w:asciiTheme="minorEastAsia" w:hAnsiTheme="minorEastAsia"/>
                <w:kern w:val="0"/>
                <w:szCs w:val="21"/>
              </w:rPr>
              <w:t>024399</w:t>
            </w:r>
          </w:p>
        </w:tc>
      </w:tr>
      <w:tr w:rsidR="00EF6AFD" w:rsidRPr="00EA2009" w:rsidTr="00EF6AFD">
        <w:trPr>
          <w:jc w:val="center"/>
        </w:trPr>
        <w:tc>
          <w:tcPr>
            <w:tcW w:w="3652" w:type="dxa"/>
            <w:gridSpan w:val="2"/>
          </w:tcPr>
          <w:p w:rsidR="00EF6AFD" w:rsidRPr="00E73D9A" w:rsidRDefault="00EF6AFD" w:rsidP="00EF6AFD">
            <w:pPr>
              <w:spacing w:line="360" w:lineRule="auto"/>
              <w:rPr>
                <w:rFonts w:asciiTheme="minorEastAsia" w:hAnsiTheme="minorEastAsia"/>
                <w:szCs w:val="21"/>
              </w:rPr>
            </w:pPr>
            <w:r w:rsidRPr="002823F0">
              <w:rPr>
                <w:rFonts w:asciiTheme="minorEastAsia" w:hAnsiTheme="minorEastAsia" w:hint="eastAsia"/>
                <w:szCs w:val="21"/>
              </w:rPr>
              <w:t>该分级基金是否暂停申购、赎回、转换、定期定额投资</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是</w:t>
            </w:r>
          </w:p>
        </w:tc>
        <w:tc>
          <w:tcPr>
            <w:tcW w:w="2435" w:type="dxa"/>
            <w:vAlign w:val="center"/>
          </w:tcPr>
          <w:p w:rsidR="00EF6AFD" w:rsidRPr="00E73D9A" w:rsidRDefault="00EF6AFD" w:rsidP="00EF6AFD">
            <w:pPr>
              <w:spacing w:line="360" w:lineRule="auto"/>
              <w:rPr>
                <w:rFonts w:asciiTheme="minorEastAsia" w:hAnsiTheme="minorEastAsia"/>
                <w:kern w:val="0"/>
                <w:szCs w:val="21"/>
              </w:rPr>
            </w:pPr>
            <w:r w:rsidRPr="002823F0">
              <w:rPr>
                <w:rFonts w:asciiTheme="minorEastAsia" w:hAnsiTheme="minorEastAsia" w:hint="eastAsia"/>
                <w:kern w:val="0"/>
                <w:szCs w:val="21"/>
              </w:rPr>
              <w:t>是</w:t>
            </w:r>
          </w:p>
        </w:tc>
      </w:tr>
    </w:tbl>
    <w:p w:rsidR="00B64F0F" w:rsidRPr="00EA2009" w:rsidRDefault="00B64F0F" w:rsidP="003E5CF9">
      <w:pPr>
        <w:widowControl/>
        <w:shd w:val="clear" w:color="auto" w:fill="FFFFFF"/>
        <w:spacing w:line="360" w:lineRule="auto"/>
        <w:rPr>
          <w:rFonts w:asciiTheme="minorEastAsia" w:hAnsiTheme="minorEastAsia" w:cs="宋体"/>
          <w:kern w:val="0"/>
          <w:szCs w:val="21"/>
        </w:rPr>
      </w:pPr>
    </w:p>
    <w:p w:rsidR="003E5CF9" w:rsidRPr="00EA2009" w:rsidRDefault="003E5CF9" w:rsidP="003E5CF9">
      <w:pPr>
        <w:widowControl/>
        <w:shd w:val="clear" w:color="auto" w:fill="FFFFFF"/>
        <w:spacing w:line="360" w:lineRule="auto"/>
        <w:rPr>
          <w:rFonts w:asciiTheme="minorEastAsia" w:hAnsiTheme="minorEastAsia" w:cs="宋体"/>
          <w:b/>
          <w:kern w:val="0"/>
          <w:sz w:val="24"/>
          <w:szCs w:val="24"/>
        </w:rPr>
      </w:pPr>
      <w:r w:rsidRPr="00EA2009">
        <w:rPr>
          <w:rFonts w:asciiTheme="minorEastAsia" w:hAnsiTheme="minorEastAsia" w:cs="宋体" w:hint="eastAsia"/>
          <w:b/>
          <w:kern w:val="0"/>
          <w:sz w:val="24"/>
          <w:szCs w:val="24"/>
        </w:rPr>
        <w:t>2</w:t>
      </w:r>
      <w:r w:rsidRPr="00EA2009">
        <w:rPr>
          <w:rFonts w:asciiTheme="minorEastAsia" w:hAnsiTheme="minorEastAsia" w:cs="宋体"/>
          <w:b/>
          <w:kern w:val="0"/>
          <w:sz w:val="24"/>
          <w:szCs w:val="24"/>
        </w:rPr>
        <w:t>其他需要提示的事项</w:t>
      </w:r>
    </w:p>
    <w:p w:rsidR="002019B3" w:rsidRPr="002019B3" w:rsidRDefault="004F7E35" w:rsidP="002019B3">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lastRenderedPageBreak/>
        <w:t>根</w:t>
      </w:r>
      <w:r w:rsidRPr="00E73D9A">
        <w:rPr>
          <w:rFonts w:asciiTheme="minorEastAsia" w:hAnsiTheme="minorEastAsia" w:cs="宋体" w:hint="eastAsia"/>
          <w:kern w:val="0"/>
          <w:szCs w:val="21"/>
        </w:rPr>
        <w:t>据</w:t>
      </w:r>
      <w:r w:rsidR="00474309" w:rsidRPr="00E73D9A">
        <w:rPr>
          <w:rFonts w:asciiTheme="minorEastAsia" w:hAnsiTheme="minorEastAsia" w:cs="宋体" w:hint="eastAsia"/>
          <w:kern w:val="0"/>
          <w:szCs w:val="21"/>
        </w:rPr>
        <w:t>基金合同、招募说明书</w:t>
      </w:r>
      <w:r w:rsidRPr="00E73D9A">
        <w:rPr>
          <w:rFonts w:asciiTheme="minorEastAsia" w:hAnsiTheme="minorEastAsia" w:cs="宋体" w:hint="eastAsia"/>
          <w:kern w:val="0"/>
          <w:szCs w:val="21"/>
        </w:rPr>
        <w:t>的相关规定，</w:t>
      </w:r>
      <w:r w:rsidR="002019B3" w:rsidRPr="002019B3">
        <w:rPr>
          <w:rFonts w:asciiTheme="minorEastAsia" w:hAnsiTheme="minorEastAsia" w:cs="宋体" w:hint="eastAsia"/>
          <w:kern w:val="0"/>
          <w:szCs w:val="21"/>
        </w:rPr>
        <w:t>浦银安盛港股通央企红利混合型证券投资基金</w:t>
      </w:r>
      <w:r w:rsidRPr="00E73D9A">
        <w:rPr>
          <w:rFonts w:asciiTheme="minorEastAsia" w:hAnsiTheme="minorEastAsia" w:cs="宋体" w:hint="eastAsia"/>
          <w:kern w:val="0"/>
          <w:szCs w:val="21"/>
        </w:rPr>
        <w:t>（以下简称“本基金”）</w:t>
      </w:r>
      <w:r w:rsidR="002019B3">
        <w:rPr>
          <w:rFonts w:asciiTheme="minorEastAsia" w:hAnsiTheme="minorEastAsia" w:cs="宋体" w:hint="eastAsia"/>
          <w:kern w:val="0"/>
          <w:szCs w:val="21"/>
        </w:rPr>
        <w:t>在</w:t>
      </w:r>
      <w:r w:rsidR="002019B3" w:rsidRPr="002019B3">
        <w:rPr>
          <w:rFonts w:asciiTheme="minorEastAsia" w:hAnsiTheme="minorEastAsia" w:cs="宋体" w:hint="eastAsia"/>
          <w:kern w:val="0"/>
          <w:szCs w:val="21"/>
        </w:rPr>
        <w:t>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及转换业务），但基金管理人根据法律法规、中国证监会的要求或基金合同的规定公告暂停申购、赎回时除外。</w:t>
      </w:r>
      <w:bookmarkStart w:id="0" w:name="_GoBack"/>
      <w:bookmarkEnd w:id="0"/>
    </w:p>
    <w:p w:rsidR="006607F1" w:rsidRPr="004F0F62" w:rsidRDefault="006607F1" w:rsidP="00245EE8">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4F0F62">
        <w:rPr>
          <w:rFonts w:asciiTheme="minorEastAsia" w:hAnsiTheme="minorEastAsia" w:cs="宋体" w:hint="eastAsia"/>
          <w:kern w:val="0"/>
          <w:szCs w:val="21"/>
        </w:rPr>
        <w:t>鉴于</w:t>
      </w:r>
      <w:r w:rsidR="00245EE8" w:rsidRPr="00245EE8">
        <w:rPr>
          <w:rFonts w:asciiTheme="minorEastAsia" w:hAnsiTheme="minorEastAsia" w:cs="宋体" w:hint="eastAsia"/>
          <w:kern w:val="0"/>
          <w:szCs w:val="21"/>
        </w:rPr>
        <w:t>2025年10月29日</w:t>
      </w:r>
      <w:r w:rsidR="00906B2C" w:rsidRPr="00906B2C">
        <w:rPr>
          <w:rFonts w:asciiTheme="minorEastAsia" w:hAnsiTheme="minorEastAsia" w:cs="宋体" w:hint="eastAsia"/>
          <w:kern w:val="0"/>
          <w:szCs w:val="21"/>
        </w:rPr>
        <w:t>为非港股通交易日</w:t>
      </w:r>
      <w:r w:rsidRPr="004F0F62">
        <w:rPr>
          <w:rFonts w:asciiTheme="minorEastAsia" w:hAnsiTheme="minorEastAsia" w:cs="宋体" w:hint="eastAsia"/>
          <w:kern w:val="0"/>
          <w:szCs w:val="21"/>
        </w:rPr>
        <w:t>，本基金</w:t>
      </w:r>
      <w:r w:rsidR="00906B2C" w:rsidRPr="00906B2C">
        <w:rPr>
          <w:rFonts w:asciiTheme="minorEastAsia" w:hAnsiTheme="minorEastAsia" w:cs="宋体" w:hint="eastAsia"/>
          <w:kern w:val="0"/>
          <w:szCs w:val="21"/>
        </w:rPr>
        <w:t>将于</w:t>
      </w:r>
      <w:r w:rsidR="00245EE8" w:rsidRPr="00245EE8">
        <w:rPr>
          <w:rFonts w:asciiTheme="minorEastAsia" w:hAnsiTheme="minorEastAsia" w:cs="宋体" w:hint="eastAsia"/>
          <w:kern w:val="0"/>
          <w:szCs w:val="21"/>
        </w:rPr>
        <w:t>2025年10月29日</w:t>
      </w:r>
      <w:r w:rsidRPr="004F0F62">
        <w:rPr>
          <w:rFonts w:asciiTheme="minorEastAsia" w:hAnsiTheme="minorEastAsia" w:cs="宋体" w:hint="eastAsia"/>
          <w:kern w:val="0"/>
          <w:szCs w:val="21"/>
        </w:rPr>
        <w:t>暂停申购、赎回</w:t>
      </w:r>
      <w:r w:rsidR="00113E84">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和定投业务，并于</w:t>
      </w:r>
      <w:r w:rsidR="00245EE8" w:rsidRPr="00245EE8">
        <w:rPr>
          <w:rFonts w:asciiTheme="minorEastAsia" w:hAnsiTheme="minorEastAsia" w:cs="宋体" w:hint="eastAsia"/>
          <w:kern w:val="0"/>
          <w:szCs w:val="21"/>
        </w:rPr>
        <w:t>2025年10月</w:t>
      </w:r>
      <w:r w:rsidR="00245EE8">
        <w:rPr>
          <w:rFonts w:asciiTheme="minorEastAsia" w:hAnsiTheme="minorEastAsia" w:cs="宋体"/>
          <w:kern w:val="0"/>
          <w:szCs w:val="21"/>
        </w:rPr>
        <w:t>30</w:t>
      </w:r>
      <w:r w:rsidR="00245EE8" w:rsidRPr="00245EE8">
        <w:rPr>
          <w:rFonts w:asciiTheme="minorEastAsia" w:hAnsiTheme="minorEastAsia" w:cs="宋体" w:hint="eastAsia"/>
          <w:kern w:val="0"/>
          <w:szCs w:val="21"/>
        </w:rPr>
        <w:t>日</w:t>
      </w:r>
      <w:r w:rsidRPr="004F0F62">
        <w:rPr>
          <w:rFonts w:asciiTheme="minorEastAsia" w:hAnsiTheme="minorEastAsia" w:cs="宋体" w:hint="eastAsia"/>
          <w:kern w:val="0"/>
          <w:szCs w:val="21"/>
        </w:rPr>
        <w:t>起恢复日常申购、赎回</w:t>
      </w:r>
      <w:r w:rsidR="0070451D">
        <w:rPr>
          <w:rFonts w:asciiTheme="minorEastAsia" w:hAnsiTheme="minorEastAsia" w:cs="宋体" w:hint="eastAsia"/>
          <w:kern w:val="0"/>
          <w:szCs w:val="21"/>
        </w:rPr>
        <w:t>、转换</w:t>
      </w:r>
      <w:r w:rsidRPr="004F0F62">
        <w:rPr>
          <w:rFonts w:asciiTheme="minorEastAsia" w:hAnsiTheme="minorEastAsia" w:cs="宋体" w:hint="eastAsia"/>
          <w:kern w:val="0"/>
          <w:szCs w:val="21"/>
        </w:rPr>
        <w:t>和定投业务</w:t>
      </w:r>
      <w:r w:rsidR="009B2585">
        <w:rPr>
          <w:rFonts w:asciiTheme="minorEastAsia" w:hAnsiTheme="minorEastAsia" w:cs="宋体" w:hint="eastAsia"/>
          <w:kern w:val="0"/>
          <w:szCs w:val="21"/>
        </w:rPr>
        <w:t>，</w:t>
      </w:r>
      <w:r w:rsidRPr="004F0F62">
        <w:rPr>
          <w:rFonts w:asciiTheme="minorEastAsia" w:hAnsiTheme="minorEastAsia" w:cs="宋体" w:hint="eastAsia"/>
          <w:kern w:val="0"/>
          <w:szCs w:val="21"/>
        </w:rPr>
        <w:t>届时本基金管理人不再另行公告。</w:t>
      </w:r>
    </w:p>
    <w:p w:rsidR="00B64F0F" w:rsidRPr="00EA2009" w:rsidRDefault="004F7E35"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cs="宋体" w:hint="eastAsia"/>
          <w:kern w:val="0"/>
          <w:szCs w:val="21"/>
        </w:rPr>
        <w:t>敬请投资者及早做好交易安排，避免因假期原因带来不便。</w:t>
      </w:r>
    </w:p>
    <w:p w:rsidR="004C22D7" w:rsidRPr="00EA2009" w:rsidRDefault="004C22D7" w:rsidP="00B64F0F">
      <w:pPr>
        <w:pStyle w:val="a7"/>
        <w:widowControl/>
        <w:numPr>
          <w:ilvl w:val="0"/>
          <w:numId w:val="1"/>
        </w:numPr>
        <w:shd w:val="clear" w:color="auto" w:fill="FFFFFF"/>
        <w:spacing w:line="360" w:lineRule="auto"/>
        <w:ind w:firstLineChars="0"/>
        <w:rPr>
          <w:rFonts w:asciiTheme="minorEastAsia" w:hAnsiTheme="minorEastAsia" w:cs="宋体"/>
          <w:kern w:val="0"/>
          <w:szCs w:val="21"/>
        </w:rPr>
      </w:pPr>
      <w:r w:rsidRPr="00EA2009">
        <w:rPr>
          <w:rFonts w:asciiTheme="minorEastAsia" w:hAnsiTheme="minorEastAsia" w:hint="eastAsia"/>
          <w:szCs w:val="21"/>
        </w:rPr>
        <w:t>投资者可通过以下途径咨询详情：</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hint="eastAsia"/>
          <w:szCs w:val="21"/>
        </w:rPr>
        <w:t>浦银安盛</w:t>
      </w:r>
      <w:r w:rsidRPr="00EA2009">
        <w:rPr>
          <w:rFonts w:asciiTheme="minorEastAsia" w:hAnsiTheme="minorEastAsia"/>
          <w:szCs w:val="21"/>
        </w:rPr>
        <w:t>基金管理有限公司</w:t>
      </w:r>
    </w:p>
    <w:p w:rsidR="00A343C3" w:rsidRDefault="004C22D7" w:rsidP="00B64F0F">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szCs w:val="21"/>
        </w:rPr>
        <w:t>客户服务热线：400</w:t>
      </w:r>
      <w:r w:rsidRPr="00EA2009">
        <w:rPr>
          <w:rFonts w:asciiTheme="minorEastAsia" w:hAnsiTheme="minorEastAsia" w:hint="eastAsia"/>
          <w:szCs w:val="21"/>
        </w:rPr>
        <w:t>8828999、021-33079999；</w:t>
      </w:r>
    </w:p>
    <w:p w:rsidR="004C22D7" w:rsidRPr="00EA2009" w:rsidRDefault="004C22D7" w:rsidP="00B64F0F">
      <w:pPr>
        <w:widowControl/>
        <w:shd w:val="clear" w:color="auto" w:fill="FFFFFF"/>
        <w:spacing w:line="360" w:lineRule="auto"/>
        <w:ind w:left="240" w:firstLine="480"/>
        <w:rPr>
          <w:rFonts w:asciiTheme="minorEastAsia" w:hAnsiTheme="minorEastAsia" w:cs="宋体"/>
          <w:kern w:val="0"/>
          <w:szCs w:val="21"/>
        </w:rPr>
      </w:pPr>
      <w:r w:rsidRPr="00EA2009">
        <w:rPr>
          <w:rFonts w:asciiTheme="minorEastAsia" w:hAnsiTheme="minorEastAsia"/>
          <w:szCs w:val="21"/>
        </w:rPr>
        <w:t>公司网址</w:t>
      </w:r>
      <w:r w:rsidRPr="00EA2009">
        <w:rPr>
          <w:rFonts w:asciiTheme="minorEastAsia" w:hAnsiTheme="minorEastAsia" w:hint="eastAsia"/>
          <w:szCs w:val="21"/>
        </w:rPr>
        <w:t>：</w:t>
      </w:r>
      <w:hyperlink r:id="rId7" w:history="1">
        <w:r w:rsidR="008D73D6" w:rsidRPr="00EA2009">
          <w:rPr>
            <w:rStyle w:val="a4"/>
            <w:rFonts w:asciiTheme="minorEastAsia" w:hAnsiTheme="minorEastAsia" w:hint="eastAsia"/>
            <w:color w:val="auto"/>
            <w:szCs w:val="21"/>
          </w:rPr>
          <w:t>www.py-axa.com</w:t>
        </w:r>
      </w:hyperlink>
      <w:r w:rsidRPr="00EA2009">
        <w:rPr>
          <w:rFonts w:asciiTheme="minorEastAsia" w:hAnsiTheme="minorEastAsia" w:hint="eastAsia"/>
          <w:szCs w:val="21"/>
        </w:rPr>
        <w:t>；</w:t>
      </w:r>
    </w:p>
    <w:p w:rsidR="004C22D7" w:rsidRDefault="004C22D7" w:rsidP="00E73D9A">
      <w:pPr>
        <w:widowControl/>
        <w:shd w:val="clear" w:color="auto" w:fill="FFFFFF"/>
        <w:spacing w:line="360" w:lineRule="auto"/>
        <w:ind w:left="240" w:firstLine="480"/>
        <w:rPr>
          <w:rFonts w:asciiTheme="minorEastAsia" w:hAnsiTheme="minorEastAsia"/>
          <w:szCs w:val="21"/>
        </w:rPr>
      </w:pPr>
      <w:r w:rsidRPr="00EA2009">
        <w:rPr>
          <w:rFonts w:asciiTheme="minorEastAsia" w:hAnsiTheme="minorEastAsia" w:hint="eastAsia"/>
          <w:szCs w:val="21"/>
        </w:rPr>
        <w:t>公司微信公众号：浦银安盛基金（AXASPDB</w:t>
      </w:r>
      <w:r w:rsidRPr="00EA2009">
        <w:rPr>
          <w:rFonts w:asciiTheme="minorEastAsia" w:hAnsiTheme="minorEastAsia"/>
          <w:szCs w:val="21"/>
        </w:rPr>
        <w:t>）</w:t>
      </w:r>
      <w:r w:rsidRPr="00EA2009">
        <w:rPr>
          <w:rFonts w:asciiTheme="minorEastAsia" w:hAnsiTheme="minorEastAsia" w:hint="eastAsia"/>
          <w:szCs w:val="21"/>
        </w:rPr>
        <w:t>，浦银安盛微理财（AXASPDB-E</w:t>
      </w:r>
      <w:r w:rsidRPr="00EA2009">
        <w:rPr>
          <w:rFonts w:asciiTheme="minorEastAsia" w:hAnsiTheme="minorEastAsia"/>
          <w:szCs w:val="21"/>
        </w:rPr>
        <w:t>）。</w:t>
      </w:r>
    </w:p>
    <w:p w:rsidR="004E7EFC" w:rsidRPr="00E73D9A" w:rsidRDefault="004E7EFC" w:rsidP="00E73D9A">
      <w:pPr>
        <w:widowControl/>
        <w:shd w:val="clear" w:color="auto" w:fill="FFFFFF"/>
        <w:spacing w:line="360" w:lineRule="auto"/>
        <w:ind w:left="240" w:firstLine="480"/>
        <w:rPr>
          <w:rFonts w:asciiTheme="minorEastAsia" w:hAnsiTheme="minorEastAsia" w:cs="宋体"/>
          <w:kern w:val="0"/>
          <w:szCs w:val="21"/>
        </w:rPr>
      </w:pPr>
    </w:p>
    <w:p w:rsidR="004F7E35" w:rsidRPr="00EA2009" w:rsidRDefault="00435CF2" w:rsidP="004F7E35">
      <w:pPr>
        <w:widowControl/>
        <w:shd w:val="clear" w:color="auto" w:fill="FFFFFF"/>
        <w:spacing w:line="360" w:lineRule="auto"/>
        <w:ind w:firstLine="480"/>
        <w:rPr>
          <w:rFonts w:asciiTheme="minorEastAsia" w:hAnsiTheme="minorEastAsia" w:cs="宋体"/>
          <w:kern w:val="0"/>
          <w:szCs w:val="21"/>
        </w:rPr>
      </w:pPr>
      <w:r w:rsidRPr="00424DB5">
        <w:rPr>
          <w:rFonts w:asciiTheme="minorEastAsia" w:hAnsiTheme="minorEastAsia" w:cs="宋体" w:hint="eastAsia"/>
          <w:b/>
          <w:kern w:val="0"/>
          <w:szCs w:val="21"/>
        </w:rPr>
        <w:t>风险提示：</w:t>
      </w:r>
      <w:r w:rsidRPr="00EA2009">
        <w:rPr>
          <w:rFonts w:asciiTheme="minorEastAsia" w:hAnsiTheme="minorEastAsia" w:cs="宋体" w:hint="eastAsia"/>
          <w:kern w:val="0"/>
          <w:szCs w:val="21"/>
        </w:rPr>
        <w:t>本基金管理人承诺以诚实信用、勤勉尽责的原则管理和运用基金财产，但不保证基金一定盈利，也不保证最低收益。投资者在投资本基金前请务必认真阅读基金合同和招募说明书等法律文件。</w:t>
      </w:r>
      <w:r w:rsidR="00DB6E43">
        <w:rPr>
          <w:rFonts w:asciiTheme="minorEastAsia" w:hAnsiTheme="minorEastAsia" w:cs="宋体" w:hint="eastAsia"/>
          <w:kern w:val="0"/>
          <w:szCs w:val="21"/>
        </w:rPr>
        <w:t>敬请投资者注意风险，并选择适合自身风险承受能力的投资品种进行投资。</w:t>
      </w:r>
    </w:p>
    <w:p w:rsidR="00E73D9A" w:rsidRPr="00583EFE" w:rsidRDefault="004C22D7" w:rsidP="000D55CA">
      <w:pPr>
        <w:spacing w:line="360" w:lineRule="auto"/>
        <w:ind w:firstLineChars="200" w:firstLine="420"/>
        <w:rPr>
          <w:rFonts w:asciiTheme="minorEastAsia" w:hAnsiTheme="minorEastAsia" w:cs="宋体"/>
          <w:kern w:val="0"/>
          <w:szCs w:val="21"/>
        </w:rPr>
      </w:pPr>
      <w:r w:rsidRPr="00EA2009">
        <w:rPr>
          <w:rFonts w:asciiTheme="minorEastAsia" w:hAnsiTheme="minorEastAsia" w:cs="宋体" w:hint="eastAsia"/>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者获得收益，也不是替代储蓄的等效理财方式。</w:t>
      </w:r>
    </w:p>
    <w:p w:rsidR="004C22D7" w:rsidRPr="00E1564B" w:rsidRDefault="004C22D7" w:rsidP="004C22D7">
      <w:pPr>
        <w:pStyle w:val="HTML"/>
        <w:tabs>
          <w:tab w:val="clear" w:pos="916"/>
          <w:tab w:val="left" w:pos="495"/>
        </w:tabs>
        <w:spacing w:line="360" w:lineRule="auto"/>
        <w:jc w:val="both"/>
        <w:rPr>
          <w:rFonts w:asciiTheme="minorEastAsia" w:eastAsiaTheme="minorEastAsia" w:hAnsiTheme="minorEastAsia"/>
          <w:color w:val="auto"/>
          <w:sz w:val="22"/>
        </w:rPr>
      </w:pPr>
      <w:r w:rsidRPr="00E1564B">
        <w:rPr>
          <w:rFonts w:asciiTheme="minorEastAsia" w:eastAsiaTheme="minorEastAsia" w:hAnsiTheme="minorEastAsia" w:cs="Times New Roman" w:hint="eastAsia"/>
          <w:color w:val="auto"/>
          <w:sz w:val="20"/>
          <w:szCs w:val="21"/>
        </w:rPr>
        <w:tab/>
      </w:r>
      <w:r w:rsidRPr="00E1564B">
        <w:rPr>
          <w:rFonts w:asciiTheme="minorEastAsia" w:eastAsiaTheme="minorEastAsia" w:hAnsiTheme="minorEastAsia"/>
          <w:color w:val="auto"/>
          <w:sz w:val="22"/>
        </w:rPr>
        <w:t>特此公告。</w:t>
      </w:r>
    </w:p>
    <w:p w:rsidR="004C22D7" w:rsidRPr="00EA2009" w:rsidRDefault="004C22D7" w:rsidP="004C22D7">
      <w:pPr>
        <w:pStyle w:val="HTML"/>
        <w:spacing w:line="360" w:lineRule="auto"/>
        <w:ind w:firstLineChars="200" w:firstLine="482"/>
        <w:jc w:val="right"/>
        <w:rPr>
          <w:rFonts w:asciiTheme="minorEastAsia" w:eastAsiaTheme="minorEastAsia" w:hAnsiTheme="minorEastAsia"/>
          <w:b/>
          <w:color w:val="auto"/>
        </w:rPr>
      </w:pPr>
      <w:r w:rsidRPr="00EA2009">
        <w:rPr>
          <w:rFonts w:asciiTheme="minorEastAsia" w:eastAsiaTheme="minorEastAsia" w:hAnsiTheme="minorEastAsia"/>
          <w:b/>
          <w:color w:val="auto"/>
        </w:rPr>
        <w:t>浦银安盛基金管理有限公司</w:t>
      </w:r>
    </w:p>
    <w:p w:rsidR="000E2A8A" w:rsidRPr="00EA2009" w:rsidRDefault="00245EE8" w:rsidP="00245EE8">
      <w:pPr>
        <w:pStyle w:val="HTML"/>
        <w:spacing w:line="360" w:lineRule="auto"/>
        <w:ind w:firstLineChars="200" w:firstLine="482"/>
        <w:jc w:val="right"/>
        <w:rPr>
          <w:rFonts w:asciiTheme="minorEastAsia" w:eastAsiaTheme="minorEastAsia" w:hAnsiTheme="minorEastAsia"/>
          <w:color w:val="auto"/>
        </w:rPr>
      </w:pPr>
      <w:r w:rsidRPr="00245EE8">
        <w:rPr>
          <w:rFonts w:asciiTheme="minorEastAsia" w:eastAsiaTheme="minorEastAsia" w:hAnsiTheme="minorEastAsia" w:hint="eastAsia"/>
          <w:b/>
          <w:color w:val="auto"/>
        </w:rPr>
        <w:t>2025年10月27日</w:t>
      </w:r>
    </w:p>
    <w:sectPr w:rsidR="000E2A8A" w:rsidRPr="00EA2009" w:rsidSect="003E0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3BD" w:rsidRDefault="000823BD" w:rsidP="00200296">
      <w:r>
        <w:separator/>
      </w:r>
    </w:p>
  </w:endnote>
  <w:endnote w:type="continuationSeparator" w:id="0">
    <w:p w:rsidR="000823BD" w:rsidRDefault="000823BD" w:rsidP="00200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3BD" w:rsidRDefault="000823BD" w:rsidP="00200296">
      <w:r>
        <w:separator/>
      </w:r>
    </w:p>
  </w:footnote>
  <w:footnote w:type="continuationSeparator" w:id="0">
    <w:p w:rsidR="000823BD" w:rsidRDefault="000823BD" w:rsidP="00200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661FA"/>
    <w:multiLevelType w:val="hybridMultilevel"/>
    <w:tmpl w:val="D8526150"/>
    <w:lvl w:ilvl="0" w:tplc="9B5A665A">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E35"/>
    <w:rsid w:val="00003B68"/>
    <w:rsid w:val="0001031B"/>
    <w:rsid w:val="00011CD8"/>
    <w:rsid w:val="000178E5"/>
    <w:rsid w:val="00020BA9"/>
    <w:rsid w:val="000262DA"/>
    <w:rsid w:val="00027960"/>
    <w:rsid w:val="00041A48"/>
    <w:rsid w:val="00043FCA"/>
    <w:rsid w:val="000641FD"/>
    <w:rsid w:val="0007261A"/>
    <w:rsid w:val="00072E62"/>
    <w:rsid w:val="00080C3D"/>
    <w:rsid w:val="000823BD"/>
    <w:rsid w:val="00084ED2"/>
    <w:rsid w:val="00092735"/>
    <w:rsid w:val="000A0C19"/>
    <w:rsid w:val="000A7B95"/>
    <w:rsid w:val="000D55CA"/>
    <w:rsid w:val="00101A29"/>
    <w:rsid w:val="00104DFD"/>
    <w:rsid w:val="001070FC"/>
    <w:rsid w:val="00113E84"/>
    <w:rsid w:val="00140BA6"/>
    <w:rsid w:val="001445CD"/>
    <w:rsid w:val="00146E05"/>
    <w:rsid w:val="00147ACF"/>
    <w:rsid w:val="001A0CFA"/>
    <w:rsid w:val="001A380D"/>
    <w:rsid w:val="001C094D"/>
    <w:rsid w:val="001D0B51"/>
    <w:rsid w:val="00200296"/>
    <w:rsid w:val="002019B3"/>
    <w:rsid w:val="002038AD"/>
    <w:rsid w:val="00204FBE"/>
    <w:rsid w:val="002268AB"/>
    <w:rsid w:val="00245EE8"/>
    <w:rsid w:val="002B0DCA"/>
    <w:rsid w:val="002B3796"/>
    <w:rsid w:val="002B5557"/>
    <w:rsid w:val="0030763B"/>
    <w:rsid w:val="00311A61"/>
    <w:rsid w:val="00321CF9"/>
    <w:rsid w:val="00337A14"/>
    <w:rsid w:val="00385CF6"/>
    <w:rsid w:val="0039070B"/>
    <w:rsid w:val="00393B55"/>
    <w:rsid w:val="003A1280"/>
    <w:rsid w:val="003B0DEB"/>
    <w:rsid w:val="003B6631"/>
    <w:rsid w:val="003C4AA6"/>
    <w:rsid w:val="003C52B2"/>
    <w:rsid w:val="003D2FCD"/>
    <w:rsid w:val="003D7CC5"/>
    <w:rsid w:val="003E09B3"/>
    <w:rsid w:val="003E3742"/>
    <w:rsid w:val="003E5CF9"/>
    <w:rsid w:val="003F7791"/>
    <w:rsid w:val="00401142"/>
    <w:rsid w:val="00407F4A"/>
    <w:rsid w:val="00411D5E"/>
    <w:rsid w:val="004229A7"/>
    <w:rsid w:val="004236A5"/>
    <w:rsid w:val="00424DB5"/>
    <w:rsid w:val="00431738"/>
    <w:rsid w:val="004337FC"/>
    <w:rsid w:val="004358F9"/>
    <w:rsid w:val="00435CF2"/>
    <w:rsid w:val="00440596"/>
    <w:rsid w:val="004460AE"/>
    <w:rsid w:val="004462A0"/>
    <w:rsid w:val="00455057"/>
    <w:rsid w:val="00471265"/>
    <w:rsid w:val="00474309"/>
    <w:rsid w:val="00494ADB"/>
    <w:rsid w:val="004B08A0"/>
    <w:rsid w:val="004B1FB3"/>
    <w:rsid w:val="004B35FA"/>
    <w:rsid w:val="004C22D7"/>
    <w:rsid w:val="004C3AF3"/>
    <w:rsid w:val="004D669A"/>
    <w:rsid w:val="004E7EFC"/>
    <w:rsid w:val="004F7E35"/>
    <w:rsid w:val="005052A5"/>
    <w:rsid w:val="00515435"/>
    <w:rsid w:val="005337E2"/>
    <w:rsid w:val="0054343B"/>
    <w:rsid w:val="0056079E"/>
    <w:rsid w:val="00575502"/>
    <w:rsid w:val="00583EFE"/>
    <w:rsid w:val="005A3504"/>
    <w:rsid w:val="005A4C27"/>
    <w:rsid w:val="005A4F65"/>
    <w:rsid w:val="005B7FAC"/>
    <w:rsid w:val="005E2159"/>
    <w:rsid w:val="005E3168"/>
    <w:rsid w:val="005F24F5"/>
    <w:rsid w:val="00606C68"/>
    <w:rsid w:val="00620E72"/>
    <w:rsid w:val="00626D1B"/>
    <w:rsid w:val="00645FD8"/>
    <w:rsid w:val="006607F1"/>
    <w:rsid w:val="0066799A"/>
    <w:rsid w:val="00672349"/>
    <w:rsid w:val="0069006F"/>
    <w:rsid w:val="006933DB"/>
    <w:rsid w:val="006B3D25"/>
    <w:rsid w:val="006C2517"/>
    <w:rsid w:val="006C262B"/>
    <w:rsid w:val="006D3BEC"/>
    <w:rsid w:val="0070451D"/>
    <w:rsid w:val="00720DB8"/>
    <w:rsid w:val="00731C66"/>
    <w:rsid w:val="00770EB4"/>
    <w:rsid w:val="00772F76"/>
    <w:rsid w:val="00773BF3"/>
    <w:rsid w:val="00780024"/>
    <w:rsid w:val="007815E8"/>
    <w:rsid w:val="007870DE"/>
    <w:rsid w:val="00793C88"/>
    <w:rsid w:val="007B04E4"/>
    <w:rsid w:val="007B379F"/>
    <w:rsid w:val="007C13E2"/>
    <w:rsid w:val="007C39DA"/>
    <w:rsid w:val="007C59F2"/>
    <w:rsid w:val="007E1B6F"/>
    <w:rsid w:val="007E3157"/>
    <w:rsid w:val="007F3068"/>
    <w:rsid w:val="007F488F"/>
    <w:rsid w:val="00805A35"/>
    <w:rsid w:val="00813422"/>
    <w:rsid w:val="00821CE9"/>
    <w:rsid w:val="00834EAD"/>
    <w:rsid w:val="00836D63"/>
    <w:rsid w:val="008A52FC"/>
    <w:rsid w:val="008B0F17"/>
    <w:rsid w:val="008D0CC9"/>
    <w:rsid w:val="008D55A6"/>
    <w:rsid w:val="008D73D6"/>
    <w:rsid w:val="008E4F74"/>
    <w:rsid w:val="008F6A86"/>
    <w:rsid w:val="00902F7E"/>
    <w:rsid w:val="00906B2C"/>
    <w:rsid w:val="00907486"/>
    <w:rsid w:val="00912046"/>
    <w:rsid w:val="00925AE7"/>
    <w:rsid w:val="00930062"/>
    <w:rsid w:val="00992F62"/>
    <w:rsid w:val="009A51AF"/>
    <w:rsid w:val="009B2585"/>
    <w:rsid w:val="009C30EA"/>
    <w:rsid w:val="009D17DD"/>
    <w:rsid w:val="009E05F6"/>
    <w:rsid w:val="00A343C3"/>
    <w:rsid w:val="00A47F92"/>
    <w:rsid w:val="00A5599C"/>
    <w:rsid w:val="00A60C5E"/>
    <w:rsid w:val="00A636EE"/>
    <w:rsid w:val="00A80A53"/>
    <w:rsid w:val="00A95A58"/>
    <w:rsid w:val="00AB03E2"/>
    <w:rsid w:val="00AC5E96"/>
    <w:rsid w:val="00B307C3"/>
    <w:rsid w:val="00B3592A"/>
    <w:rsid w:val="00B451A4"/>
    <w:rsid w:val="00B47546"/>
    <w:rsid w:val="00B64F0F"/>
    <w:rsid w:val="00BB2D6D"/>
    <w:rsid w:val="00BC0B5C"/>
    <w:rsid w:val="00C82AFA"/>
    <w:rsid w:val="00C84570"/>
    <w:rsid w:val="00C90AD9"/>
    <w:rsid w:val="00C97696"/>
    <w:rsid w:val="00CA06C9"/>
    <w:rsid w:val="00CB4866"/>
    <w:rsid w:val="00CB71F8"/>
    <w:rsid w:val="00CC4BCA"/>
    <w:rsid w:val="00CD0F11"/>
    <w:rsid w:val="00CD30BF"/>
    <w:rsid w:val="00CE22C8"/>
    <w:rsid w:val="00D113AE"/>
    <w:rsid w:val="00D23992"/>
    <w:rsid w:val="00D43A10"/>
    <w:rsid w:val="00D52EB7"/>
    <w:rsid w:val="00D80505"/>
    <w:rsid w:val="00D97660"/>
    <w:rsid w:val="00DB6E43"/>
    <w:rsid w:val="00E1564B"/>
    <w:rsid w:val="00E16783"/>
    <w:rsid w:val="00E307DC"/>
    <w:rsid w:val="00E318D6"/>
    <w:rsid w:val="00E34DE1"/>
    <w:rsid w:val="00E51F64"/>
    <w:rsid w:val="00E71116"/>
    <w:rsid w:val="00E73D9A"/>
    <w:rsid w:val="00E804C0"/>
    <w:rsid w:val="00E862F3"/>
    <w:rsid w:val="00E876B5"/>
    <w:rsid w:val="00E90680"/>
    <w:rsid w:val="00EA2009"/>
    <w:rsid w:val="00EA2F5F"/>
    <w:rsid w:val="00EB3AA9"/>
    <w:rsid w:val="00EC0D15"/>
    <w:rsid w:val="00EF6AFD"/>
    <w:rsid w:val="00F0288E"/>
    <w:rsid w:val="00F26D92"/>
    <w:rsid w:val="00F832AC"/>
    <w:rsid w:val="00F8567F"/>
    <w:rsid w:val="00F91156"/>
    <w:rsid w:val="00F92E06"/>
    <w:rsid w:val="00FD057F"/>
    <w:rsid w:val="00FD176B"/>
    <w:rsid w:val="00FD4527"/>
    <w:rsid w:val="00FD633D"/>
    <w:rsid w:val="00FF7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E35"/>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rsid w:val="004C2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C22D7"/>
    <w:rPr>
      <w:rFonts w:ascii="宋体" w:eastAsia="宋体" w:hAnsi="宋体" w:cs="宋体"/>
      <w:color w:val="000000"/>
      <w:kern w:val="0"/>
      <w:sz w:val="24"/>
      <w:szCs w:val="24"/>
    </w:rPr>
  </w:style>
  <w:style w:type="character" w:styleId="a4">
    <w:name w:val="Hyperlink"/>
    <w:basedOn w:val="a0"/>
    <w:uiPriority w:val="99"/>
    <w:unhideWhenUsed/>
    <w:rsid w:val="008D73D6"/>
    <w:rPr>
      <w:color w:val="0000FF" w:themeColor="hyperlink"/>
      <w:u w:val="single"/>
    </w:rPr>
  </w:style>
  <w:style w:type="paragraph" w:styleId="a5">
    <w:name w:val="header"/>
    <w:basedOn w:val="a"/>
    <w:link w:val="Char"/>
    <w:uiPriority w:val="99"/>
    <w:unhideWhenUsed/>
    <w:rsid w:val="00200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0296"/>
    <w:rPr>
      <w:sz w:val="18"/>
      <w:szCs w:val="18"/>
    </w:rPr>
  </w:style>
  <w:style w:type="paragraph" w:styleId="a6">
    <w:name w:val="footer"/>
    <w:basedOn w:val="a"/>
    <w:link w:val="Char0"/>
    <w:uiPriority w:val="99"/>
    <w:unhideWhenUsed/>
    <w:rsid w:val="00200296"/>
    <w:pPr>
      <w:tabs>
        <w:tab w:val="center" w:pos="4153"/>
        <w:tab w:val="right" w:pos="8306"/>
      </w:tabs>
      <w:snapToGrid w:val="0"/>
      <w:jc w:val="left"/>
    </w:pPr>
    <w:rPr>
      <w:sz w:val="18"/>
      <w:szCs w:val="18"/>
    </w:rPr>
  </w:style>
  <w:style w:type="character" w:customStyle="1" w:styleId="Char0">
    <w:name w:val="页脚 Char"/>
    <w:basedOn w:val="a0"/>
    <w:link w:val="a6"/>
    <w:uiPriority w:val="99"/>
    <w:rsid w:val="00200296"/>
    <w:rPr>
      <w:sz w:val="18"/>
      <w:szCs w:val="18"/>
    </w:rPr>
  </w:style>
  <w:style w:type="paragraph" w:styleId="a7">
    <w:name w:val="List Paragraph"/>
    <w:basedOn w:val="a"/>
    <w:uiPriority w:val="34"/>
    <w:qFormat/>
    <w:rsid w:val="00B64F0F"/>
    <w:pPr>
      <w:ind w:firstLineChars="200" w:firstLine="420"/>
    </w:pPr>
  </w:style>
  <w:style w:type="character" w:styleId="a8">
    <w:name w:val="annotation reference"/>
    <w:basedOn w:val="a0"/>
    <w:uiPriority w:val="99"/>
    <w:semiHidden/>
    <w:unhideWhenUsed/>
    <w:rsid w:val="008D55A6"/>
    <w:rPr>
      <w:sz w:val="21"/>
      <w:szCs w:val="21"/>
    </w:rPr>
  </w:style>
  <w:style w:type="paragraph" w:styleId="a9">
    <w:name w:val="annotation text"/>
    <w:basedOn w:val="a"/>
    <w:link w:val="Char1"/>
    <w:uiPriority w:val="99"/>
    <w:semiHidden/>
    <w:unhideWhenUsed/>
    <w:rsid w:val="008D55A6"/>
    <w:pPr>
      <w:jc w:val="left"/>
    </w:pPr>
  </w:style>
  <w:style w:type="character" w:customStyle="1" w:styleId="Char1">
    <w:name w:val="批注文字 Char"/>
    <w:basedOn w:val="a0"/>
    <w:link w:val="a9"/>
    <w:uiPriority w:val="99"/>
    <w:semiHidden/>
    <w:rsid w:val="008D55A6"/>
  </w:style>
  <w:style w:type="paragraph" w:styleId="aa">
    <w:name w:val="annotation subject"/>
    <w:basedOn w:val="a9"/>
    <w:next w:val="a9"/>
    <w:link w:val="Char2"/>
    <w:uiPriority w:val="99"/>
    <w:semiHidden/>
    <w:unhideWhenUsed/>
    <w:rsid w:val="008D55A6"/>
    <w:rPr>
      <w:b/>
      <w:bCs/>
    </w:rPr>
  </w:style>
  <w:style w:type="character" w:customStyle="1" w:styleId="Char2">
    <w:name w:val="批注主题 Char"/>
    <w:basedOn w:val="Char1"/>
    <w:link w:val="aa"/>
    <w:uiPriority w:val="99"/>
    <w:semiHidden/>
    <w:rsid w:val="008D55A6"/>
    <w:rPr>
      <w:b/>
      <w:bCs/>
    </w:rPr>
  </w:style>
  <w:style w:type="paragraph" w:styleId="ab">
    <w:name w:val="Balloon Text"/>
    <w:basedOn w:val="a"/>
    <w:link w:val="Char3"/>
    <w:uiPriority w:val="99"/>
    <w:semiHidden/>
    <w:unhideWhenUsed/>
    <w:rsid w:val="008D55A6"/>
    <w:rPr>
      <w:sz w:val="18"/>
      <w:szCs w:val="18"/>
    </w:rPr>
  </w:style>
  <w:style w:type="character" w:customStyle="1" w:styleId="Char3">
    <w:name w:val="批注框文本 Char"/>
    <w:basedOn w:val="a0"/>
    <w:link w:val="ab"/>
    <w:uiPriority w:val="99"/>
    <w:semiHidden/>
    <w:rsid w:val="008D55A6"/>
    <w:rPr>
      <w:sz w:val="18"/>
      <w:szCs w:val="18"/>
    </w:rPr>
  </w:style>
</w:styles>
</file>

<file path=word/webSettings.xml><?xml version="1.0" encoding="utf-8"?>
<w:webSettings xmlns:r="http://schemas.openxmlformats.org/officeDocument/2006/relationships" xmlns:w="http://schemas.openxmlformats.org/wordprocessingml/2006/main">
  <w:divs>
    <w:div w:id="208490976">
      <w:bodyDiv w:val="1"/>
      <w:marLeft w:val="0"/>
      <w:marRight w:val="0"/>
      <w:marTop w:val="0"/>
      <w:marBottom w:val="0"/>
      <w:divBdr>
        <w:top w:val="none" w:sz="0" w:space="0" w:color="auto"/>
        <w:left w:val="none" w:sz="0" w:space="0" w:color="auto"/>
        <w:bottom w:val="none" w:sz="0" w:space="0" w:color="auto"/>
        <w:right w:val="none" w:sz="0" w:space="0" w:color="auto"/>
      </w:divBdr>
    </w:div>
    <w:div w:id="1390568995">
      <w:bodyDiv w:val="1"/>
      <w:marLeft w:val="0"/>
      <w:marRight w:val="0"/>
      <w:marTop w:val="0"/>
      <w:marBottom w:val="0"/>
      <w:divBdr>
        <w:top w:val="none" w:sz="0" w:space="0" w:color="auto"/>
        <w:left w:val="none" w:sz="0" w:space="0" w:color="auto"/>
        <w:bottom w:val="none" w:sz="0" w:space="0" w:color="auto"/>
        <w:right w:val="none" w:sz="0" w:space="0" w:color="auto"/>
      </w:divBdr>
    </w:div>
    <w:div w:id="1743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y-ax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4</DocSecurity>
  <Lines>9</Lines>
  <Paragraphs>2</Paragraphs>
  <ScaleCrop>false</ScaleCrop>
  <Company>Lenovo</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辛玲玲</dc:creator>
  <cp:lastModifiedBy>ZHONGM</cp:lastModifiedBy>
  <cp:revision>2</cp:revision>
  <dcterms:created xsi:type="dcterms:W3CDTF">2025-10-26T16:03:00Z</dcterms:created>
  <dcterms:modified xsi:type="dcterms:W3CDTF">2025-10-26T16:03:00Z</dcterms:modified>
</cp:coreProperties>
</file>