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7A" w:rsidRDefault="00D75E90">
      <w:pPr>
        <w:pStyle w:val="Default"/>
        <w:jc w:val="center"/>
        <w:rPr>
          <w:b/>
          <w:color w:val="000000" w:themeColor="text1"/>
          <w:sz w:val="28"/>
          <w:szCs w:val="28"/>
        </w:rPr>
      </w:pPr>
      <w:r>
        <w:rPr>
          <w:rFonts w:hint="eastAsia"/>
          <w:b/>
          <w:color w:val="000000" w:themeColor="text1"/>
          <w:sz w:val="28"/>
          <w:szCs w:val="28"/>
        </w:rPr>
        <w:t>银华基金管理股份有限公司关于旗下基金投资向特定对象发行股票的公告</w:t>
      </w:r>
    </w:p>
    <w:p w:rsidR="0070047A" w:rsidRDefault="00D75E90">
      <w:pPr>
        <w:pStyle w:val="Default"/>
        <w:ind w:firstLineChars="200" w:firstLine="420"/>
        <w:rPr>
          <w:rFonts w:hAnsi="Times New Roman"/>
          <w:color w:val="000000" w:themeColor="text1"/>
          <w:sz w:val="21"/>
          <w:szCs w:val="21"/>
        </w:rPr>
      </w:pPr>
      <w:r>
        <w:rPr>
          <w:rFonts w:hint="eastAsia"/>
          <w:color w:val="000000" w:themeColor="text1"/>
          <w:sz w:val="21"/>
          <w:szCs w:val="21"/>
        </w:rPr>
        <w:t>银华基金管理股份有限公司（以下简称</w:t>
      </w:r>
      <w:r>
        <w:rPr>
          <w:color w:val="000000" w:themeColor="text1"/>
          <w:sz w:val="21"/>
          <w:szCs w:val="21"/>
        </w:rPr>
        <w:t>“</w:t>
      </w:r>
      <w:r>
        <w:rPr>
          <w:rFonts w:hint="eastAsia"/>
          <w:color w:val="000000" w:themeColor="text1"/>
          <w:sz w:val="21"/>
          <w:szCs w:val="21"/>
        </w:rPr>
        <w:t>本公司</w:t>
      </w:r>
      <w:r>
        <w:rPr>
          <w:color w:val="000000" w:themeColor="text1"/>
          <w:sz w:val="21"/>
          <w:szCs w:val="21"/>
        </w:rPr>
        <w:t>”</w:t>
      </w:r>
      <w:r>
        <w:rPr>
          <w:rFonts w:hint="eastAsia"/>
          <w:color w:val="000000" w:themeColor="text1"/>
          <w:sz w:val="21"/>
          <w:szCs w:val="21"/>
        </w:rPr>
        <w:t>）旗下基金参与了深圳中科飞测科技股份有限公司（股票简称：中科飞测，股票代码：</w:t>
      </w:r>
      <w:r>
        <w:rPr>
          <w:color w:val="000000" w:themeColor="text1"/>
          <w:sz w:val="21"/>
          <w:szCs w:val="21"/>
        </w:rPr>
        <w:t>688361</w:t>
      </w:r>
      <w:r>
        <w:rPr>
          <w:rFonts w:hint="eastAsia"/>
          <w:color w:val="000000" w:themeColor="text1"/>
          <w:sz w:val="21"/>
          <w:szCs w:val="21"/>
        </w:rPr>
        <w:t>）向特定对象发行股票事宜。深圳中科飞测科技股份有限公司</w:t>
      </w:r>
      <w:r>
        <w:rPr>
          <w:rFonts w:hAnsi="Times New Roman" w:hint="eastAsia"/>
          <w:color w:val="000000" w:themeColor="text1"/>
          <w:sz w:val="21"/>
          <w:szCs w:val="21"/>
        </w:rPr>
        <w:t>已</w:t>
      </w:r>
      <w:r>
        <w:rPr>
          <w:rFonts w:hint="eastAsia"/>
          <w:color w:val="000000" w:themeColor="text1"/>
          <w:sz w:val="21"/>
          <w:szCs w:val="21"/>
        </w:rPr>
        <w:t>公布了本次发行股票结果。根据中国证监会《关于基金投资非公开发行股票等流通受</w:t>
      </w:r>
      <w:r>
        <w:rPr>
          <w:rFonts w:hAnsi="Times New Roman" w:hint="eastAsia"/>
          <w:color w:val="000000" w:themeColor="text1"/>
          <w:sz w:val="21"/>
          <w:szCs w:val="21"/>
        </w:rPr>
        <w:t>限证券有关问题的通知》等有关规定，本公司现将旗下基金投资</w:t>
      </w:r>
      <w:r>
        <w:rPr>
          <w:rFonts w:hint="eastAsia"/>
          <w:color w:val="000000" w:themeColor="text1"/>
          <w:sz w:val="21"/>
          <w:szCs w:val="21"/>
        </w:rPr>
        <w:t>深圳中科飞测科技股份有限公司向特定对象发行股票</w:t>
      </w:r>
      <w:r>
        <w:rPr>
          <w:rFonts w:hAnsi="Times New Roman" w:hint="eastAsia"/>
          <w:color w:val="000000" w:themeColor="text1"/>
          <w:sz w:val="21"/>
          <w:szCs w:val="21"/>
        </w:rPr>
        <w:t>的相关信息公告如下：</w:t>
      </w:r>
    </w:p>
    <w:tbl>
      <w:tblPr>
        <w:tblStyle w:val="a5"/>
        <w:tblW w:w="0" w:type="auto"/>
        <w:jc w:val="center"/>
        <w:tblLayout w:type="fixed"/>
        <w:tblLook w:val="04A0"/>
      </w:tblPr>
      <w:tblGrid>
        <w:gridCol w:w="3652"/>
        <w:gridCol w:w="1559"/>
        <w:gridCol w:w="1560"/>
        <w:gridCol w:w="1984"/>
        <w:gridCol w:w="2126"/>
        <w:gridCol w:w="2127"/>
        <w:gridCol w:w="1166"/>
      </w:tblGrid>
      <w:tr w:rsidR="0070047A">
        <w:trPr>
          <w:jc w:val="center"/>
        </w:trPr>
        <w:tc>
          <w:tcPr>
            <w:tcW w:w="3652"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基金名称</w:t>
            </w:r>
          </w:p>
        </w:tc>
        <w:tc>
          <w:tcPr>
            <w:tcW w:w="1559"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认购数量</w:t>
            </w:r>
          </w:p>
        </w:tc>
        <w:tc>
          <w:tcPr>
            <w:tcW w:w="1560" w:type="dxa"/>
            <w:vAlign w:val="center"/>
          </w:tcPr>
          <w:p w:rsidR="0070047A" w:rsidRDefault="00D75E90">
            <w:pPr>
              <w:pStyle w:val="Default"/>
              <w:jc w:val="center"/>
              <w:rPr>
                <w:rFonts w:asciiTheme="minorHAnsi" w:eastAsiaTheme="minorEastAsia" w:hAnsi="Times New Roman" w:cstheme="minorBidi"/>
                <w:color w:val="000000" w:themeColor="text1"/>
                <w:kern w:val="2"/>
                <w:sz w:val="21"/>
                <w:szCs w:val="21"/>
              </w:rPr>
            </w:pPr>
            <w:r>
              <w:rPr>
                <w:rFonts w:asciiTheme="minorHAnsi" w:eastAsiaTheme="minorEastAsia" w:hAnsi="Times New Roman" w:cstheme="minorBidi" w:hint="eastAsia"/>
                <w:color w:val="000000" w:themeColor="text1"/>
                <w:kern w:val="2"/>
                <w:sz w:val="21"/>
                <w:szCs w:val="21"/>
              </w:rPr>
              <w:t>总成本（元）</w:t>
            </w:r>
          </w:p>
        </w:tc>
        <w:tc>
          <w:tcPr>
            <w:tcW w:w="1984"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总成本占基金资产净值比例</w:t>
            </w:r>
          </w:p>
        </w:tc>
        <w:tc>
          <w:tcPr>
            <w:tcW w:w="2126"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账面价值（元）</w:t>
            </w:r>
          </w:p>
        </w:tc>
        <w:tc>
          <w:tcPr>
            <w:tcW w:w="2127"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账面价值占基金资产净值比例</w:t>
            </w:r>
          </w:p>
        </w:tc>
        <w:tc>
          <w:tcPr>
            <w:tcW w:w="1166" w:type="dxa"/>
            <w:vAlign w:val="center"/>
          </w:tcPr>
          <w:p w:rsidR="0070047A" w:rsidRDefault="00D75E90">
            <w:pPr>
              <w:jc w:val="center"/>
              <w:rPr>
                <w:rFonts w:hAnsi="Times New Roman"/>
                <w:color w:val="000000" w:themeColor="text1"/>
                <w:szCs w:val="21"/>
              </w:rPr>
            </w:pPr>
            <w:r>
              <w:rPr>
                <w:rFonts w:hAnsi="Times New Roman" w:hint="eastAsia"/>
                <w:color w:val="000000" w:themeColor="text1"/>
                <w:szCs w:val="21"/>
              </w:rPr>
              <w:t>限售期</w:t>
            </w:r>
          </w:p>
        </w:tc>
      </w:tr>
      <w:tr w:rsidR="0070047A">
        <w:trPr>
          <w:jc w:val="center"/>
        </w:trPr>
        <w:tc>
          <w:tcPr>
            <w:tcW w:w="3652" w:type="dxa"/>
            <w:vAlign w:val="center"/>
          </w:tcPr>
          <w:p w:rsidR="0070047A" w:rsidRDefault="00D75E90">
            <w:pPr>
              <w:widowControl/>
              <w:jc w:val="left"/>
              <w:rPr>
                <w:color w:val="000000" w:themeColor="text1"/>
                <w:szCs w:val="21"/>
              </w:rPr>
            </w:pPr>
            <w:r>
              <w:rPr>
                <w:rFonts w:hint="eastAsia"/>
                <w:color w:val="000000" w:themeColor="text1"/>
                <w:szCs w:val="21"/>
              </w:rPr>
              <w:t>银华乐享混合型证券投资基金</w:t>
            </w:r>
          </w:p>
        </w:tc>
        <w:tc>
          <w:tcPr>
            <w:tcW w:w="1559" w:type="dxa"/>
          </w:tcPr>
          <w:p w:rsidR="0070047A" w:rsidRDefault="00D75E90">
            <w:pPr>
              <w:jc w:val="center"/>
              <w:rPr>
                <w:szCs w:val="21"/>
              </w:rPr>
            </w:pPr>
            <w:r>
              <w:rPr>
                <w:color w:val="000000" w:themeColor="text1"/>
                <w:szCs w:val="21"/>
              </w:rPr>
              <w:t>112,114.00</w:t>
            </w:r>
          </w:p>
        </w:tc>
        <w:tc>
          <w:tcPr>
            <w:tcW w:w="1560" w:type="dxa"/>
          </w:tcPr>
          <w:p w:rsidR="0070047A" w:rsidRDefault="00D75E90">
            <w:pPr>
              <w:jc w:val="center"/>
              <w:rPr>
                <w:szCs w:val="21"/>
              </w:rPr>
            </w:pPr>
            <w:r>
              <w:rPr>
                <w:color w:val="000000" w:themeColor="text1"/>
                <w:szCs w:val="21"/>
              </w:rPr>
              <w:t>9,809,975.00</w:t>
            </w:r>
          </w:p>
        </w:tc>
        <w:tc>
          <w:tcPr>
            <w:tcW w:w="1984" w:type="dxa"/>
          </w:tcPr>
          <w:p w:rsidR="0070047A" w:rsidRDefault="00D75E90">
            <w:pPr>
              <w:jc w:val="center"/>
              <w:rPr>
                <w:szCs w:val="21"/>
              </w:rPr>
            </w:pPr>
            <w:r>
              <w:rPr>
                <w:color w:val="000000" w:themeColor="text1"/>
                <w:szCs w:val="21"/>
              </w:rPr>
              <w:t>2.09%</w:t>
            </w:r>
          </w:p>
        </w:tc>
        <w:tc>
          <w:tcPr>
            <w:tcW w:w="2126" w:type="dxa"/>
          </w:tcPr>
          <w:p w:rsidR="0070047A" w:rsidRDefault="00D75E90">
            <w:pPr>
              <w:jc w:val="center"/>
              <w:rPr>
                <w:szCs w:val="21"/>
              </w:rPr>
            </w:pPr>
            <w:r>
              <w:rPr>
                <w:color w:val="000000" w:themeColor="text1"/>
                <w:szCs w:val="21"/>
              </w:rPr>
              <w:t>12,129,613.66</w:t>
            </w:r>
          </w:p>
        </w:tc>
        <w:tc>
          <w:tcPr>
            <w:tcW w:w="2127" w:type="dxa"/>
          </w:tcPr>
          <w:p w:rsidR="0070047A" w:rsidRDefault="00D75E90">
            <w:pPr>
              <w:jc w:val="center"/>
              <w:rPr>
                <w:szCs w:val="21"/>
              </w:rPr>
            </w:pPr>
            <w:r>
              <w:rPr>
                <w:color w:val="000000" w:themeColor="text1"/>
                <w:szCs w:val="21"/>
              </w:rPr>
              <w:t>2.58%</w:t>
            </w:r>
          </w:p>
        </w:tc>
        <w:tc>
          <w:tcPr>
            <w:tcW w:w="1166" w:type="dxa"/>
          </w:tcPr>
          <w:p w:rsidR="0070047A" w:rsidRDefault="00D75E90">
            <w:pPr>
              <w:jc w:val="center"/>
              <w:rPr>
                <w:szCs w:val="21"/>
              </w:rPr>
            </w:pPr>
            <w:r>
              <w:rPr>
                <w:color w:val="000000" w:themeColor="text1"/>
                <w:szCs w:val="21"/>
              </w:rPr>
              <w:t>6</w:t>
            </w:r>
            <w:r>
              <w:rPr>
                <w:color w:val="000000" w:themeColor="text1"/>
                <w:szCs w:val="21"/>
              </w:rPr>
              <w:t>个月</w:t>
            </w:r>
          </w:p>
        </w:tc>
      </w:tr>
      <w:tr w:rsidR="0070047A">
        <w:trPr>
          <w:jc w:val="center"/>
        </w:trPr>
        <w:tc>
          <w:tcPr>
            <w:tcW w:w="3652" w:type="dxa"/>
            <w:vAlign w:val="center"/>
          </w:tcPr>
          <w:p w:rsidR="0070047A" w:rsidRDefault="00D75E90">
            <w:pPr>
              <w:jc w:val="left"/>
              <w:rPr>
                <w:rFonts w:ascii="宋体" w:hAnsi="宋体" w:cs="宋体"/>
                <w:color w:val="000000" w:themeColor="text1"/>
                <w:szCs w:val="21"/>
              </w:rPr>
            </w:pPr>
            <w:r>
              <w:rPr>
                <w:rFonts w:hint="eastAsia"/>
                <w:color w:val="000000" w:themeColor="text1"/>
                <w:szCs w:val="21"/>
              </w:rPr>
              <w:t>银华新锐成长混合型证券投资基金</w:t>
            </w:r>
          </w:p>
        </w:tc>
        <w:tc>
          <w:tcPr>
            <w:tcW w:w="1559"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6</w:t>
            </w:r>
            <w:r>
              <w:rPr>
                <w:rFonts w:ascii="Calibri" w:hAnsi="Calibri" w:cs="Calibri"/>
                <w:color w:val="000000" w:themeColor="text1"/>
                <w:szCs w:val="21"/>
              </w:rPr>
              <w:t>9,429.00</w:t>
            </w:r>
          </w:p>
        </w:tc>
        <w:tc>
          <w:tcPr>
            <w:tcW w:w="1560"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6</w:t>
            </w:r>
            <w:r>
              <w:rPr>
                <w:rFonts w:ascii="Calibri" w:hAnsi="Calibri" w:cs="Calibri"/>
                <w:color w:val="000000" w:themeColor="text1"/>
                <w:szCs w:val="21"/>
              </w:rPr>
              <w:t>,075,037.50</w:t>
            </w:r>
          </w:p>
        </w:tc>
        <w:tc>
          <w:tcPr>
            <w:tcW w:w="1984"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2</w:t>
            </w:r>
            <w:r>
              <w:rPr>
                <w:rFonts w:ascii="Calibri" w:hAnsi="Calibri" w:cs="Calibri"/>
                <w:color w:val="000000" w:themeColor="text1"/>
                <w:szCs w:val="21"/>
              </w:rPr>
              <w:t>.15%</w:t>
            </w:r>
          </w:p>
        </w:tc>
        <w:tc>
          <w:tcPr>
            <w:tcW w:w="2126"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7</w:t>
            </w:r>
            <w:r>
              <w:rPr>
                <w:rFonts w:ascii="Calibri" w:hAnsi="Calibri" w:cs="Calibri"/>
                <w:color w:val="000000" w:themeColor="text1"/>
                <w:szCs w:val="21"/>
              </w:rPr>
              <w:t>,511,523.51</w:t>
            </w:r>
          </w:p>
        </w:tc>
        <w:tc>
          <w:tcPr>
            <w:tcW w:w="2127"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2</w:t>
            </w:r>
            <w:r>
              <w:rPr>
                <w:rFonts w:ascii="Calibri" w:hAnsi="Calibri" w:cs="Calibri"/>
                <w:color w:val="000000" w:themeColor="text1"/>
                <w:szCs w:val="21"/>
              </w:rPr>
              <w:t>.66%</w:t>
            </w:r>
          </w:p>
        </w:tc>
        <w:tc>
          <w:tcPr>
            <w:tcW w:w="1166"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6</w:t>
            </w:r>
            <w:r>
              <w:rPr>
                <w:rFonts w:ascii="Calibri" w:hAnsi="Calibri" w:cs="Calibri" w:hint="eastAsia"/>
                <w:color w:val="000000" w:themeColor="text1"/>
                <w:szCs w:val="21"/>
              </w:rPr>
              <w:t>个月</w:t>
            </w:r>
          </w:p>
        </w:tc>
      </w:tr>
      <w:tr w:rsidR="0070047A">
        <w:trPr>
          <w:jc w:val="center"/>
        </w:trPr>
        <w:tc>
          <w:tcPr>
            <w:tcW w:w="3652" w:type="dxa"/>
            <w:vAlign w:val="center"/>
          </w:tcPr>
          <w:p w:rsidR="0070047A" w:rsidRDefault="00D75E90">
            <w:pPr>
              <w:widowControl/>
              <w:jc w:val="left"/>
              <w:rPr>
                <w:color w:val="000000" w:themeColor="text1"/>
                <w:szCs w:val="21"/>
              </w:rPr>
            </w:pPr>
            <w:r>
              <w:rPr>
                <w:rFonts w:ascii="Segoe UI" w:eastAsia="Segoe UI" w:hAnsi="Segoe UI" w:cs="Segoe UI"/>
                <w:color w:val="333333"/>
                <w:szCs w:val="21"/>
                <w:shd w:val="clear" w:color="auto" w:fill="FFFFFF"/>
              </w:rPr>
              <w:t>银华惠享三年定期开放混合型证券投资基金</w:t>
            </w:r>
          </w:p>
        </w:tc>
        <w:tc>
          <w:tcPr>
            <w:tcW w:w="1559" w:type="dxa"/>
          </w:tcPr>
          <w:p w:rsidR="0070047A" w:rsidRDefault="00D75E90">
            <w:pPr>
              <w:jc w:val="center"/>
              <w:rPr>
                <w:szCs w:val="21"/>
              </w:rPr>
            </w:pPr>
            <w:r>
              <w:rPr>
                <w:rFonts w:hint="eastAsia"/>
                <w:color w:val="000000" w:themeColor="text1"/>
                <w:szCs w:val="21"/>
              </w:rPr>
              <w:t>72,514.00</w:t>
            </w:r>
          </w:p>
        </w:tc>
        <w:tc>
          <w:tcPr>
            <w:tcW w:w="1560" w:type="dxa"/>
          </w:tcPr>
          <w:p w:rsidR="0070047A" w:rsidRDefault="00D75E90">
            <w:pPr>
              <w:jc w:val="center"/>
              <w:rPr>
                <w:szCs w:val="21"/>
              </w:rPr>
            </w:pPr>
            <w:r>
              <w:rPr>
                <w:rFonts w:hint="eastAsia"/>
                <w:color w:val="000000" w:themeColor="text1"/>
                <w:szCs w:val="21"/>
              </w:rPr>
              <w:t>6,344,975.00</w:t>
            </w:r>
          </w:p>
        </w:tc>
        <w:tc>
          <w:tcPr>
            <w:tcW w:w="1984" w:type="dxa"/>
          </w:tcPr>
          <w:p w:rsidR="0070047A" w:rsidRDefault="00D75E90">
            <w:pPr>
              <w:jc w:val="center"/>
              <w:rPr>
                <w:szCs w:val="21"/>
              </w:rPr>
            </w:pPr>
            <w:r>
              <w:rPr>
                <w:rFonts w:hint="eastAsia"/>
                <w:color w:val="000000" w:themeColor="text1"/>
                <w:szCs w:val="21"/>
              </w:rPr>
              <w:t>1.60%</w:t>
            </w:r>
          </w:p>
        </w:tc>
        <w:tc>
          <w:tcPr>
            <w:tcW w:w="2126" w:type="dxa"/>
          </w:tcPr>
          <w:p w:rsidR="0070047A" w:rsidRDefault="00D75E90">
            <w:pPr>
              <w:jc w:val="center"/>
              <w:rPr>
                <w:szCs w:val="21"/>
              </w:rPr>
            </w:pPr>
            <w:r>
              <w:rPr>
                <w:rFonts w:hint="eastAsia"/>
                <w:color w:val="000000" w:themeColor="text1"/>
                <w:szCs w:val="21"/>
              </w:rPr>
              <w:t>7,845,289.66</w:t>
            </w:r>
          </w:p>
        </w:tc>
        <w:tc>
          <w:tcPr>
            <w:tcW w:w="2127" w:type="dxa"/>
          </w:tcPr>
          <w:p w:rsidR="0070047A" w:rsidRDefault="00D75E90">
            <w:pPr>
              <w:jc w:val="center"/>
              <w:rPr>
                <w:szCs w:val="21"/>
              </w:rPr>
            </w:pPr>
            <w:r>
              <w:rPr>
                <w:rFonts w:hint="eastAsia"/>
                <w:color w:val="000000" w:themeColor="text1"/>
                <w:szCs w:val="21"/>
              </w:rPr>
              <w:t>1.98%</w:t>
            </w:r>
          </w:p>
        </w:tc>
        <w:tc>
          <w:tcPr>
            <w:tcW w:w="1166" w:type="dxa"/>
          </w:tcPr>
          <w:p w:rsidR="0070047A" w:rsidRDefault="00D75E90">
            <w:pPr>
              <w:jc w:val="center"/>
              <w:rPr>
                <w:szCs w:val="21"/>
              </w:rPr>
            </w:pPr>
            <w:r>
              <w:rPr>
                <w:rFonts w:hint="eastAsia"/>
                <w:color w:val="000000" w:themeColor="text1"/>
                <w:szCs w:val="21"/>
              </w:rPr>
              <w:t>6</w:t>
            </w:r>
            <w:r>
              <w:rPr>
                <w:rFonts w:hint="eastAsia"/>
                <w:color w:val="000000" w:themeColor="text1"/>
                <w:szCs w:val="21"/>
              </w:rPr>
              <w:t>个月</w:t>
            </w:r>
          </w:p>
        </w:tc>
      </w:tr>
      <w:tr w:rsidR="0070047A">
        <w:trPr>
          <w:jc w:val="center"/>
        </w:trPr>
        <w:tc>
          <w:tcPr>
            <w:tcW w:w="3652" w:type="dxa"/>
            <w:vAlign w:val="center"/>
          </w:tcPr>
          <w:p w:rsidR="0070047A" w:rsidRDefault="00D75E90">
            <w:pPr>
              <w:widowControl/>
              <w:jc w:val="left"/>
              <w:rPr>
                <w:color w:val="000000" w:themeColor="text1"/>
                <w:szCs w:val="21"/>
              </w:rPr>
            </w:pPr>
            <w:r>
              <w:rPr>
                <w:rFonts w:hint="eastAsia"/>
                <w:kern w:val="0"/>
                <w:szCs w:val="21"/>
              </w:rPr>
              <w:t>银华智荟内在价值灵活配置混合型发起式证券投资基金</w:t>
            </w:r>
          </w:p>
        </w:tc>
        <w:tc>
          <w:tcPr>
            <w:tcW w:w="1559" w:type="dxa"/>
          </w:tcPr>
          <w:p w:rsidR="0070047A" w:rsidRDefault="00D75E90">
            <w:pPr>
              <w:jc w:val="center"/>
              <w:rPr>
                <w:szCs w:val="21"/>
              </w:rPr>
            </w:pPr>
            <w:r>
              <w:rPr>
                <w:color w:val="000000" w:themeColor="text1"/>
                <w:szCs w:val="21"/>
              </w:rPr>
              <w:t>47,829.00</w:t>
            </w:r>
          </w:p>
        </w:tc>
        <w:tc>
          <w:tcPr>
            <w:tcW w:w="1560" w:type="dxa"/>
          </w:tcPr>
          <w:p w:rsidR="0070047A" w:rsidRDefault="00D75E90">
            <w:pPr>
              <w:jc w:val="center"/>
              <w:rPr>
                <w:szCs w:val="21"/>
              </w:rPr>
            </w:pPr>
            <w:r>
              <w:rPr>
                <w:szCs w:val="21"/>
              </w:rPr>
              <w:t>4,185,037.50</w:t>
            </w:r>
          </w:p>
        </w:tc>
        <w:tc>
          <w:tcPr>
            <w:tcW w:w="1984" w:type="dxa"/>
          </w:tcPr>
          <w:p w:rsidR="0070047A" w:rsidRDefault="00D75E90">
            <w:pPr>
              <w:jc w:val="center"/>
              <w:rPr>
                <w:szCs w:val="21"/>
              </w:rPr>
            </w:pPr>
            <w:r>
              <w:rPr>
                <w:rFonts w:hint="eastAsia"/>
                <w:szCs w:val="21"/>
              </w:rPr>
              <w:t>2</w:t>
            </w:r>
            <w:r>
              <w:rPr>
                <w:szCs w:val="21"/>
              </w:rPr>
              <w:t>.33%</w:t>
            </w:r>
          </w:p>
        </w:tc>
        <w:tc>
          <w:tcPr>
            <w:tcW w:w="2126" w:type="dxa"/>
          </w:tcPr>
          <w:p w:rsidR="0070047A" w:rsidRDefault="00D75E90">
            <w:pPr>
              <w:jc w:val="center"/>
              <w:rPr>
                <w:szCs w:val="21"/>
              </w:rPr>
            </w:pPr>
            <w:r>
              <w:rPr>
                <w:color w:val="000000" w:themeColor="text1"/>
                <w:szCs w:val="21"/>
              </w:rPr>
              <w:t>5,174,619.51</w:t>
            </w:r>
          </w:p>
        </w:tc>
        <w:tc>
          <w:tcPr>
            <w:tcW w:w="2127" w:type="dxa"/>
          </w:tcPr>
          <w:p w:rsidR="0070047A" w:rsidRDefault="00D75E90">
            <w:pPr>
              <w:jc w:val="center"/>
              <w:rPr>
                <w:szCs w:val="21"/>
              </w:rPr>
            </w:pPr>
            <w:r>
              <w:rPr>
                <w:color w:val="000000" w:themeColor="text1"/>
                <w:szCs w:val="21"/>
              </w:rPr>
              <w:t>2.88%</w:t>
            </w:r>
          </w:p>
        </w:tc>
        <w:tc>
          <w:tcPr>
            <w:tcW w:w="1166" w:type="dxa"/>
          </w:tcPr>
          <w:p w:rsidR="0070047A" w:rsidRDefault="00D75E90">
            <w:pPr>
              <w:jc w:val="center"/>
              <w:rPr>
                <w:szCs w:val="21"/>
              </w:rPr>
            </w:pPr>
            <w:r>
              <w:rPr>
                <w:rFonts w:hint="eastAsia"/>
                <w:color w:val="000000" w:themeColor="text1"/>
                <w:szCs w:val="21"/>
              </w:rPr>
              <w:t>6</w:t>
            </w:r>
            <w:r>
              <w:rPr>
                <w:rFonts w:hint="eastAsia"/>
                <w:color w:val="000000" w:themeColor="text1"/>
                <w:szCs w:val="21"/>
              </w:rPr>
              <w:t>个月</w:t>
            </w:r>
          </w:p>
        </w:tc>
      </w:tr>
      <w:tr w:rsidR="0070047A">
        <w:trPr>
          <w:jc w:val="center"/>
        </w:trPr>
        <w:tc>
          <w:tcPr>
            <w:tcW w:w="3652" w:type="dxa"/>
            <w:vAlign w:val="center"/>
          </w:tcPr>
          <w:p w:rsidR="0070047A" w:rsidRDefault="00D75E90">
            <w:pPr>
              <w:jc w:val="left"/>
              <w:rPr>
                <w:rFonts w:ascii="宋体" w:hAnsi="宋体" w:cs="宋体"/>
                <w:color w:val="000000" w:themeColor="text1"/>
                <w:szCs w:val="21"/>
              </w:rPr>
            </w:pPr>
            <w:r>
              <w:rPr>
                <w:rFonts w:hint="eastAsia"/>
                <w:kern w:val="0"/>
                <w:szCs w:val="21"/>
              </w:rPr>
              <w:t>银华集成电路混合型证券投资基金</w:t>
            </w:r>
          </w:p>
        </w:tc>
        <w:tc>
          <w:tcPr>
            <w:tcW w:w="1559" w:type="dxa"/>
            <w:vAlign w:val="center"/>
          </w:tcPr>
          <w:p w:rsidR="0070047A" w:rsidRDefault="00D75E90">
            <w:pPr>
              <w:jc w:val="center"/>
              <w:rPr>
                <w:rFonts w:ascii="Calibri" w:hAnsi="Calibri" w:cs="Calibri"/>
                <w:color w:val="000000" w:themeColor="text1"/>
                <w:szCs w:val="21"/>
              </w:rPr>
            </w:pPr>
            <w:r>
              <w:rPr>
                <w:rFonts w:ascii="Segoe UI" w:hAnsi="Segoe UI" w:cs="Segoe UI"/>
                <w:color w:val="000000"/>
                <w:szCs w:val="21"/>
                <w:shd w:val="clear" w:color="auto" w:fill="FFFFFF"/>
              </w:rPr>
              <w:t>1,142,742.00</w:t>
            </w:r>
          </w:p>
        </w:tc>
        <w:tc>
          <w:tcPr>
            <w:tcW w:w="1560" w:type="dxa"/>
            <w:vAlign w:val="center"/>
          </w:tcPr>
          <w:p w:rsidR="0070047A" w:rsidRDefault="00D75E90">
            <w:pPr>
              <w:jc w:val="center"/>
              <w:rPr>
                <w:rFonts w:ascii="Calibri" w:hAnsi="Calibri" w:cs="Calibri"/>
                <w:color w:val="000000" w:themeColor="text1"/>
                <w:szCs w:val="21"/>
              </w:rPr>
            </w:pPr>
            <w:r>
              <w:rPr>
                <w:rFonts w:ascii="Segoe UI" w:hAnsi="Segoe UI" w:cs="Segoe UI"/>
                <w:color w:val="000000"/>
                <w:szCs w:val="21"/>
                <w:shd w:val="clear" w:color="auto" w:fill="FFFFFF"/>
              </w:rPr>
              <w:t>99,989,925.00</w:t>
            </w:r>
          </w:p>
        </w:tc>
        <w:tc>
          <w:tcPr>
            <w:tcW w:w="1984"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1</w:t>
            </w:r>
            <w:r>
              <w:rPr>
                <w:rFonts w:ascii="Calibri" w:hAnsi="Calibri" w:cs="Calibri"/>
                <w:color w:val="000000" w:themeColor="text1"/>
                <w:szCs w:val="21"/>
              </w:rPr>
              <w:t>.75%</w:t>
            </w:r>
          </w:p>
        </w:tc>
        <w:tc>
          <w:tcPr>
            <w:tcW w:w="2126"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1</w:t>
            </w:r>
            <w:r>
              <w:rPr>
                <w:rFonts w:ascii="Calibri" w:hAnsi="Calibri" w:cs="Calibri"/>
                <w:color w:val="000000" w:themeColor="text1"/>
                <w:szCs w:val="21"/>
              </w:rPr>
              <w:t>23,633,256.98</w:t>
            </w:r>
          </w:p>
        </w:tc>
        <w:tc>
          <w:tcPr>
            <w:tcW w:w="2127" w:type="dxa"/>
            <w:vAlign w:val="center"/>
          </w:tcPr>
          <w:p w:rsidR="0070047A" w:rsidRDefault="00D75E90">
            <w:pPr>
              <w:jc w:val="center"/>
              <w:rPr>
                <w:rFonts w:ascii="Calibri" w:hAnsi="Calibri" w:cs="Calibri"/>
                <w:color w:val="000000" w:themeColor="text1"/>
                <w:szCs w:val="21"/>
              </w:rPr>
            </w:pPr>
            <w:r>
              <w:rPr>
                <w:rFonts w:ascii="Calibri" w:hAnsi="Calibri" w:cs="Calibri" w:hint="eastAsia"/>
                <w:color w:val="000000" w:themeColor="text1"/>
                <w:szCs w:val="21"/>
              </w:rPr>
              <w:t>2</w:t>
            </w:r>
            <w:r>
              <w:rPr>
                <w:rFonts w:ascii="Calibri" w:hAnsi="Calibri" w:cs="Calibri"/>
                <w:color w:val="000000" w:themeColor="text1"/>
                <w:szCs w:val="21"/>
              </w:rPr>
              <w:t>.16%</w:t>
            </w:r>
          </w:p>
        </w:tc>
        <w:tc>
          <w:tcPr>
            <w:tcW w:w="1166" w:type="dxa"/>
            <w:vAlign w:val="center"/>
          </w:tcPr>
          <w:p w:rsidR="0070047A" w:rsidRDefault="00D75E90">
            <w:pPr>
              <w:jc w:val="center"/>
              <w:rPr>
                <w:rFonts w:ascii="Calibri" w:hAnsi="Calibri" w:cs="Calibri"/>
                <w:color w:val="000000" w:themeColor="text1"/>
                <w:szCs w:val="21"/>
              </w:rPr>
            </w:pPr>
            <w:r>
              <w:rPr>
                <w:rFonts w:hint="eastAsia"/>
                <w:color w:val="000000" w:themeColor="text1"/>
                <w:szCs w:val="21"/>
              </w:rPr>
              <w:t>6</w:t>
            </w:r>
            <w:r>
              <w:rPr>
                <w:rFonts w:hint="eastAsia"/>
                <w:color w:val="000000" w:themeColor="text1"/>
                <w:szCs w:val="21"/>
              </w:rPr>
              <w:t>个月</w:t>
            </w:r>
          </w:p>
        </w:tc>
      </w:tr>
    </w:tbl>
    <w:p w:rsidR="0070047A" w:rsidRDefault="00D75E90">
      <w:pPr>
        <w:pStyle w:val="Default"/>
        <w:ind w:firstLineChars="200" w:firstLine="420"/>
        <w:rPr>
          <w:color w:val="000000" w:themeColor="text1"/>
          <w:sz w:val="21"/>
          <w:szCs w:val="21"/>
        </w:rPr>
      </w:pPr>
      <w:r>
        <w:rPr>
          <w:rFonts w:hint="eastAsia"/>
          <w:color w:val="000000" w:themeColor="text1"/>
          <w:sz w:val="21"/>
          <w:szCs w:val="21"/>
        </w:rPr>
        <w:t>注：基金资产净值、账面价值为</w:t>
      </w:r>
      <w:r>
        <w:rPr>
          <w:color w:val="000000" w:themeColor="text1"/>
          <w:sz w:val="21"/>
          <w:szCs w:val="21"/>
        </w:rPr>
        <w:t>2025</w:t>
      </w:r>
      <w:r>
        <w:rPr>
          <w:rFonts w:hint="eastAsia"/>
          <w:color w:val="000000" w:themeColor="text1"/>
          <w:sz w:val="21"/>
          <w:szCs w:val="21"/>
        </w:rPr>
        <w:t>年</w:t>
      </w:r>
      <w:r>
        <w:rPr>
          <w:color w:val="000000" w:themeColor="text1"/>
          <w:sz w:val="21"/>
          <w:szCs w:val="21"/>
        </w:rPr>
        <w:t>10</w:t>
      </w:r>
      <w:r>
        <w:rPr>
          <w:rFonts w:hint="eastAsia"/>
          <w:color w:val="000000" w:themeColor="text1"/>
          <w:sz w:val="21"/>
          <w:szCs w:val="21"/>
        </w:rPr>
        <w:t>月</w:t>
      </w:r>
      <w:r>
        <w:rPr>
          <w:color w:val="000000" w:themeColor="text1"/>
          <w:sz w:val="21"/>
          <w:szCs w:val="21"/>
        </w:rPr>
        <w:t>23</w:t>
      </w:r>
      <w:r>
        <w:rPr>
          <w:rFonts w:hint="eastAsia"/>
          <w:color w:val="000000" w:themeColor="text1"/>
          <w:sz w:val="21"/>
          <w:szCs w:val="21"/>
        </w:rPr>
        <w:t>日数据。</w:t>
      </w:r>
    </w:p>
    <w:p w:rsidR="0070047A" w:rsidRDefault="00D75E90">
      <w:pPr>
        <w:pStyle w:val="Default"/>
        <w:ind w:firstLineChars="200" w:firstLine="420"/>
        <w:rPr>
          <w:rFonts w:hAnsi="Times New Roman"/>
          <w:color w:val="000000" w:themeColor="text1"/>
          <w:sz w:val="21"/>
          <w:szCs w:val="21"/>
        </w:rPr>
      </w:pPr>
      <w:r>
        <w:rPr>
          <w:rFonts w:hAnsi="Times New Roman" w:hint="eastAsia"/>
          <w:color w:val="000000" w:themeColor="text1"/>
          <w:sz w:val="21"/>
          <w:szCs w:val="21"/>
        </w:rPr>
        <w:t>特此公告</w:t>
      </w:r>
    </w:p>
    <w:p w:rsidR="0070047A" w:rsidRDefault="0070047A">
      <w:pPr>
        <w:pStyle w:val="Default"/>
        <w:jc w:val="right"/>
        <w:rPr>
          <w:rFonts w:hAnsi="Times New Roman"/>
          <w:color w:val="000000" w:themeColor="text1"/>
          <w:sz w:val="21"/>
          <w:szCs w:val="21"/>
        </w:rPr>
      </w:pPr>
    </w:p>
    <w:p w:rsidR="0070047A" w:rsidRDefault="0070047A">
      <w:pPr>
        <w:pStyle w:val="Default"/>
        <w:jc w:val="right"/>
        <w:rPr>
          <w:rFonts w:hAnsi="Times New Roman"/>
          <w:color w:val="000000" w:themeColor="text1"/>
          <w:sz w:val="21"/>
          <w:szCs w:val="21"/>
        </w:rPr>
      </w:pPr>
    </w:p>
    <w:p w:rsidR="0070047A" w:rsidRDefault="00D75E90">
      <w:pPr>
        <w:pStyle w:val="Default"/>
        <w:jc w:val="right"/>
        <w:rPr>
          <w:rFonts w:hAnsi="Times New Roman"/>
          <w:color w:val="000000" w:themeColor="text1"/>
          <w:sz w:val="21"/>
          <w:szCs w:val="21"/>
        </w:rPr>
      </w:pPr>
      <w:r>
        <w:rPr>
          <w:rFonts w:hAnsi="Times New Roman" w:hint="eastAsia"/>
          <w:color w:val="000000" w:themeColor="text1"/>
          <w:sz w:val="21"/>
          <w:szCs w:val="21"/>
        </w:rPr>
        <w:t>银华基金管理股份有限公司</w:t>
      </w:r>
    </w:p>
    <w:p w:rsidR="0070047A" w:rsidRDefault="00D75E90">
      <w:pPr>
        <w:ind w:firstLineChars="200" w:firstLine="420"/>
        <w:jc w:val="right"/>
        <w:rPr>
          <w:color w:val="000000" w:themeColor="text1"/>
          <w:szCs w:val="21"/>
        </w:rPr>
      </w:pPr>
      <w:r>
        <w:rPr>
          <w:color w:val="000000" w:themeColor="text1"/>
          <w:szCs w:val="21"/>
        </w:rPr>
        <w:t>2025</w:t>
      </w:r>
      <w:r>
        <w:rPr>
          <w:rFonts w:hAnsi="Times New Roman" w:hint="eastAsia"/>
          <w:color w:val="000000" w:themeColor="text1"/>
          <w:szCs w:val="21"/>
        </w:rPr>
        <w:t>年</w:t>
      </w:r>
      <w:r w:rsidR="008D5254">
        <w:rPr>
          <w:color w:val="000000" w:themeColor="text1"/>
          <w:szCs w:val="21"/>
        </w:rPr>
        <w:t>10</w:t>
      </w:r>
      <w:r>
        <w:rPr>
          <w:rFonts w:hAnsi="Times New Roman" w:hint="eastAsia"/>
          <w:color w:val="000000" w:themeColor="text1"/>
          <w:szCs w:val="21"/>
        </w:rPr>
        <w:t>月</w:t>
      </w:r>
      <w:r w:rsidR="008D5254">
        <w:rPr>
          <w:color w:val="000000" w:themeColor="text1"/>
          <w:szCs w:val="21"/>
        </w:rPr>
        <w:t>25</w:t>
      </w:r>
      <w:bookmarkStart w:id="0" w:name="_GoBack"/>
      <w:bookmarkEnd w:id="0"/>
      <w:r>
        <w:rPr>
          <w:rFonts w:hAnsi="Times New Roman" w:hint="eastAsia"/>
          <w:color w:val="000000" w:themeColor="text1"/>
          <w:szCs w:val="21"/>
        </w:rPr>
        <w:t>日</w:t>
      </w:r>
    </w:p>
    <w:sectPr w:rsidR="0070047A" w:rsidSect="0012698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90" w:rsidRDefault="00D75E90" w:rsidP="008D5254">
      <w:r>
        <w:separator/>
      </w:r>
    </w:p>
  </w:endnote>
  <w:endnote w:type="continuationSeparator" w:id="0">
    <w:p w:rsidR="00D75E90" w:rsidRDefault="00D75E90" w:rsidP="008D52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90" w:rsidRDefault="00D75E90" w:rsidP="008D5254">
      <w:r>
        <w:separator/>
      </w:r>
    </w:p>
  </w:footnote>
  <w:footnote w:type="continuationSeparator" w:id="0">
    <w:p w:rsidR="00D75E90" w:rsidRDefault="00D75E90" w:rsidP="008D52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FEC"/>
    <w:rsid w:val="00024D59"/>
    <w:rsid w:val="00037ED4"/>
    <w:rsid w:val="000A4FF7"/>
    <w:rsid w:val="000D1C8E"/>
    <w:rsid w:val="001161CB"/>
    <w:rsid w:val="00122C57"/>
    <w:rsid w:val="0012698F"/>
    <w:rsid w:val="00142DEC"/>
    <w:rsid w:val="001572C0"/>
    <w:rsid w:val="00161830"/>
    <w:rsid w:val="00171121"/>
    <w:rsid w:val="001B7B64"/>
    <w:rsid w:val="00257DBF"/>
    <w:rsid w:val="002873F8"/>
    <w:rsid w:val="002B39D4"/>
    <w:rsid w:val="002B6D57"/>
    <w:rsid w:val="002E2D4E"/>
    <w:rsid w:val="002E3464"/>
    <w:rsid w:val="002F3B4E"/>
    <w:rsid w:val="00306D67"/>
    <w:rsid w:val="00313C52"/>
    <w:rsid w:val="00327F70"/>
    <w:rsid w:val="003321EE"/>
    <w:rsid w:val="00337370"/>
    <w:rsid w:val="00367DE7"/>
    <w:rsid w:val="00374525"/>
    <w:rsid w:val="00374881"/>
    <w:rsid w:val="00386A01"/>
    <w:rsid w:val="003A50D1"/>
    <w:rsid w:val="003B2572"/>
    <w:rsid w:val="003B51A0"/>
    <w:rsid w:val="003E7662"/>
    <w:rsid w:val="00400D7E"/>
    <w:rsid w:val="00410E5D"/>
    <w:rsid w:val="00456708"/>
    <w:rsid w:val="00464920"/>
    <w:rsid w:val="004E629E"/>
    <w:rsid w:val="0052765E"/>
    <w:rsid w:val="005311B8"/>
    <w:rsid w:val="00540DFE"/>
    <w:rsid w:val="00552C77"/>
    <w:rsid w:val="0059076A"/>
    <w:rsid w:val="005A5CE9"/>
    <w:rsid w:val="005F7DEF"/>
    <w:rsid w:val="00633031"/>
    <w:rsid w:val="006754C0"/>
    <w:rsid w:val="0070047A"/>
    <w:rsid w:val="0071066A"/>
    <w:rsid w:val="00726B38"/>
    <w:rsid w:val="007541A0"/>
    <w:rsid w:val="00780FEC"/>
    <w:rsid w:val="007B02F2"/>
    <w:rsid w:val="00811738"/>
    <w:rsid w:val="00833A97"/>
    <w:rsid w:val="008366A4"/>
    <w:rsid w:val="008660F9"/>
    <w:rsid w:val="008A21E4"/>
    <w:rsid w:val="008B5264"/>
    <w:rsid w:val="008D5254"/>
    <w:rsid w:val="008F5BEF"/>
    <w:rsid w:val="009458C2"/>
    <w:rsid w:val="00945CA1"/>
    <w:rsid w:val="009D5E8F"/>
    <w:rsid w:val="00A01AC0"/>
    <w:rsid w:val="00A556AA"/>
    <w:rsid w:val="00AE7452"/>
    <w:rsid w:val="00B1784C"/>
    <w:rsid w:val="00B20E81"/>
    <w:rsid w:val="00B50479"/>
    <w:rsid w:val="00B73A35"/>
    <w:rsid w:val="00BA555E"/>
    <w:rsid w:val="00BA6D9C"/>
    <w:rsid w:val="00C4040E"/>
    <w:rsid w:val="00C65A88"/>
    <w:rsid w:val="00C75FAB"/>
    <w:rsid w:val="00C8675C"/>
    <w:rsid w:val="00CA0200"/>
    <w:rsid w:val="00CA2826"/>
    <w:rsid w:val="00CD41E1"/>
    <w:rsid w:val="00CE2193"/>
    <w:rsid w:val="00D66A89"/>
    <w:rsid w:val="00D75E90"/>
    <w:rsid w:val="00D838A5"/>
    <w:rsid w:val="00D95100"/>
    <w:rsid w:val="00DB067B"/>
    <w:rsid w:val="00E42D36"/>
    <w:rsid w:val="00E607FC"/>
    <w:rsid w:val="00E80F1F"/>
    <w:rsid w:val="00F15581"/>
    <w:rsid w:val="00FA2263"/>
    <w:rsid w:val="00FA4ABB"/>
    <w:rsid w:val="00FB7961"/>
    <w:rsid w:val="00FF7693"/>
    <w:rsid w:val="5E450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698F"/>
    <w:pPr>
      <w:tabs>
        <w:tab w:val="center" w:pos="4153"/>
        <w:tab w:val="right" w:pos="8306"/>
      </w:tabs>
      <w:snapToGrid w:val="0"/>
      <w:jc w:val="left"/>
    </w:pPr>
    <w:rPr>
      <w:sz w:val="18"/>
      <w:szCs w:val="18"/>
    </w:rPr>
  </w:style>
  <w:style w:type="paragraph" w:styleId="a4">
    <w:name w:val="header"/>
    <w:basedOn w:val="a"/>
    <w:link w:val="Char0"/>
    <w:uiPriority w:val="99"/>
    <w:unhideWhenUsed/>
    <w:rsid w:val="0012698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126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12698F"/>
    <w:rPr>
      <w:sz w:val="18"/>
      <w:szCs w:val="18"/>
    </w:rPr>
  </w:style>
  <w:style w:type="character" w:customStyle="1" w:styleId="Char">
    <w:name w:val="页脚 Char"/>
    <w:basedOn w:val="a0"/>
    <w:link w:val="a3"/>
    <w:uiPriority w:val="99"/>
    <w:rsid w:val="0012698F"/>
    <w:rPr>
      <w:sz w:val="18"/>
      <w:szCs w:val="18"/>
    </w:rPr>
  </w:style>
  <w:style w:type="paragraph" w:customStyle="1" w:styleId="Default">
    <w:name w:val="Default"/>
    <w:qFormat/>
    <w:rsid w:val="0012698F"/>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4</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张新武</dc:creator>
  <cp:lastModifiedBy>ZHONGM</cp:lastModifiedBy>
  <cp:revision>2</cp:revision>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D3465AAF32C14C6096B40347FDDB68D5_12</vt:lpwstr>
  </property>
</Properties>
</file>