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EB" w:rsidRPr="00B832BF" w:rsidRDefault="001420EB" w:rsidP="00CC37A0">
      <w:pPr>
        <w:widowControl/>
        <w:spacing w:line="555" w:lineRule="atLeast"/>
        <w:jc w:val="center"/>
        <w:outlineLvl w:val="0"/>
        <w:rPr>
          <w:rFonts w:ascii="黑体" w:eastAsia="黑体" w:hAnsi="宋体" w:cs="宋体"/>
          <w:color w:val="000000"/>
          <w:kern w:val="36"/>
          <w:sz w:val="30"/>
          <w:szCs w:val="30"/>
        </w:rPr>
      </w:pPr>
      <w:r w:rsidRPr="00B832BF">
        <w:rPr>
          <w:rFonts w:ascii="黑体" w:eastAsia="黑体" w:hAnsi="宋体" w:cs="宋体" w:hint="eastAsia"/>
          <w:color w:val="000000"/>
          <w:kern w:val="36"/>
          <w:sz w:val="30"/>
          <w:szCs w:val="30"/>
        </w:rPr>
        <w:t>富国基金管理有限公司关于旗下</w:t>
      </w:r>
      <w:r w:rsidR="00106014">
        <w:rPr>
          <w:rFonts w:ascii="黑体" w:eastAsia="黑体" w:hAnsi="宋体" w:cs="宋体" w:hint="eastAsia"/>
          <w:color w:val="000000"/>
          <w:kern w:val="36"/>
          <w:sz w:val="30"/>
          <w:szCs w:val="30"/>
        </w:rPr>
        <w:t>部分</w:t>
      </w:r>
      <w:r w:rsidR="00AB2340">
        <w:rPr>
          <w:rFonts w:ascii="黑体" w:eastAsia="黑体" w:hAnsi="宋体" w:cs="宋体" w:hint="eastAsia"/>
          <w:color w:val="000000"/>
          <w:kern w:val="36"/>
          <w:sz w:val="30"/>
          <w:szCs w:val="30"/>
        </w:rPr>
        <w:t>证券投资</w:t>
      </w:r>
      <w:r w:rsidRPr="00B832BF">
        <w:rPr>
          <w:rFonts w:ascii="黑体" w:eastAsia="黑体" w:hAnsi="宋体" w:cs="宋体" w:hint="eastAsia"/>
          <w:color w:val="000000"/>
          <w:kern w:val="36"/>
          <w:sz w:val="30"/>
          <w:szCs w:val="30"/>
        </w:rPr>
        <w:t>基金投资非公开发行股票的公告</w:t>
      </w:r>
    </w:p>
    <w:p w:rsidR="001420EB" w:rsidRPr="00F862D6" w:rsidRDefault="00385604" w:rsidP="00B644CA">
      <w:pPr>
        <w:pStyle w:val="Default"/>
        <w:spacing w:line="360" w:lineRule="auto"/>
        <w:ind w:firstLineChars="200" w:firstLine="480"/>
        <w:rPr>
          <w:rFonts w:ascii="宋体" w:eastAsia="宋体" w:hAnsi="宋体" w:cs="宋体"/>
          <w:color w:val="auto"/>
        </w:rPr>
      </w:pPr>
      <w:r>
        <w:rPr>
          <w:rFonts w:ascii="宋体" w:eastAsia="宋体" w:hAnsi="宋体" w:cs="宋体" w:hint="eastAsia"/>
          <w:color w:val="auto"/>
        </w:rPr>
        <w:t>富国基金管理有限公司</w:t>
      </w:r>
      <w:r>
        <w:rPr>
          <w:rFonts w:ascii="宋体" w:eastAsia="宋体" w:hAnsi="宋体" w:cs="宋体"/>
          <w:color w:val="auto"/>
        </w:rPr>
        <w:t>(以下简称“本公司”)旗下部分证券投资基金参加了龙岩卓越新能源股份有限公司（股票简称：卓越新能，证券代码：688196）非公开发行股票的认购。龙岩卓越新能源股份有限公司已发布《</w:t>
      </w:r>
      <w:r w:rsidR="003F4524" w:rsidRPr="003F4524">
        <w:rPr>
          <w:rFonts w:ascii="宋体" w:eastAsia="宋体" w:hAnsi="宋体" w:cs="宋体" w:hint="eastAsia"/>
          <w:color w:val="auto"/>
        </w:rPr>
        <w:t>龙岩卓越新能源股份有限公司2024年度以简易程序向特定对象发行A股股票发行情况报告书</w:t>
      </w:r>
      <w:r>
        <w:rPr>
          <w:rFonts w:ascii="宋体" w:eastAsia="宋体" w:hAnsi="宋体" w:cs="宋体"/>
          <w:color w:val="auto"/>
        </w:rPr>
        <w:t>》</w:t>
      </w:r>
      <w:r w:rsidR="003F4524">
        <w:rPr>
          <w:rFonts w:ascii="宋体" w:eastAsia="宋体" w:hAnsi="宋体" w:cs="宋体" w:hint="eastAsia"/>
          <w:color w:val="auto"/>
        </w:rPr>
        <w:t>，公布了本次非公开发行结果。</w:t>
      </w:r>
      <w:r>
        <w:rPr>
          <w:rFonts w:ascii="宋体" w:eastAsia="宋体" w:hAnsi="宋体" w:cs="宋体"/>
          <w:color w:val="auto"/>
        </w:rPr>
        <w:t>根据中国证监会《关于基金投资非公开发行股票等流通受限证券有关问题的通知》等有关规定，本公司现将旗下证券投资基金投资此非公开发行股票的相关情况公告如下：</w:t>
      </w:r>
    </w:p>
    <w:tbl>
      <w:tblPr>
        <w:tblW w:w="11494" w:type="dxa"/>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97"/>
        <w:gridCol w:w="1277"/>
        <w:gridCol w:w="1277"/>
        <w:gridCol w:w="1419"/>
        <w:gridCol w:w="1133"/>
        <w:gridCol w:w="1847"/>
        <w:gridCol w:w="993"/>
        <w:gridCol w:w="751"/>
      </w:tblGrid>
      <w:tr w:rsidR="00B644CA" w:rsidRPr="00047BD8" w:rsidTr="00B644CA">
        <w:trPr>
          <w:trHeight w:val="1206"/>
          <w:jc w:val="center"/>
        </w:trPr>
        <w:tc>
          <w:tcPr>
            <w:tcW w:w="2797" w:type="dxa"/>
            <w:vAlign w:val="center"/>
          </w:tcPr>
          <w:p w:rsidR="00B644CA" w:rsidRPr="00047BD8" w:rsidRDefault="00B644CA" w:rsidP="002E69BE">
            <w:pPr>
              <w:widowControl/>
              <w:spacing w:before="100" w:beforeAutospacing="1" w:after="375" w:line="360" w:lineRule="atLeast"/>
              <w:jc w:val="center"/>
              <w:rPr>
                <w:rFonts w:ascii="宋体" w:cs="宋体"/>
                <w:kern w:val="0"/>
                <w:szCs w:val="21"/>
              </w:rPr>
            </w:pPr>
            <w:r w:rsidRPr="00047BD8">
              <w:rPr>
                <w:rFonts w:ascii="宋体" w:hAnsi="宋体" w:cs="宋体" w:hint="eastAsia"/>
                <w:kern w:val="0"/>
                <w:szCs w:val="21"/>
              </w:rPr>
              <w:t>基金名称</w:t>
            </w:r>
          </w:p>
        </w:tc>
        <w:tc>
          <w:tcPr>
            <w:tcW w:w="1277" w:type="dxa"/>
          </w:tcPr>
          <w:p w:rsidR="00B644CA" w:rsidRDefault="00B644CA" w:rsidP="002E69BE">
            <w:pPr>
              <w:widowControl/>
              <w:spacing w:before="100" w:beforeAutospacing="1" w:after="375" w:line="360" w:lineRule="atLeast"/>
              <w:jc w:val="center"/>
              <w:rPr>
                <w:rFonts w:ascii="宋体" w:hAnsi="宋体" w:cs="宋体"/>
                <w:kern w:val="0"/>
                <w:szCs w:val="21"/>
              </w:rPr>
            </w:pPr>
          </w:p>
          <w:p w:rsidR="00B644CA" w:rsidRPr="00047BD8" w:rsidRDefault="00B644CA" w:rsidP="002E69BE">
            <w:pPr>
              <w:widowControl/>
              <w:spacing w:before="100" w:beforeAutospacing="1" w:after="375" w:line="360" w:lineRule="atLeast"/>
              <w:jc w:val="center"/>
              <w:rPr>
                <w:rFonts w:ascii="宋体" w:hAnsi="宋体" w:cs="宋体" w:hint="eastAsia"/>
                <w:kern w:val="0"/>
                <w:szCs w:val="21"/>
              </w:rPr>
            </w:pPr>
            <w:r>
              <w:rPr>
                <w:rFonts w:ascii="宋体" w:hAnsi="宋体" w:cs="宋体" w:hint="eastAsia"/>
                <w:kern w:val="0"/>
                <w:szCs w:val="21"/>
              </w:rPr>
              <w:t>证券名称</w:t>
            </w:r>
          </w:p>
        </w:tc>
        <w:tc>
          <w:tcPr>
            <w:tcW w:w="1277" w:type="dxa"/>
            <w:vAlign w:val="center"/>
          </w:tcPr>
          <w:p w:rsidR="00B644CA" w:rsidRPr="00047BD8" w:rsidRDefault="00B644CA" w:rsidP="002E69BE">
            <w:pPr>
              <w:widowControl/>
              <w:spacing w:before="100" w:beforeAutospacing="1" w:after="375" w:line="360" w:lineRule="atLeast"/>
              <w:jc w:val="center"/>
              <w:rPr>
                <w:rFonts w:ascii="宋体" w:hAnsi="宋体" w:cs="宋体"/>
                <w:kern w:val="0"/>
                <w:szCs w:val="21"/>
              </w:rPr>
            </w:pPr>
            <w:r w:rsidRPr="00047BD8">
              <w:rPr>
                <w:rFonts w:ascii="宋体" w:hAnsi="宋体" w:cs="宋体" w:hint="eastAsia"/>
                <w:kern w:val="0"/>
                <w:szCs w:val="21"/>
              </w:rPr>
              <w:t>认购数量</w:t>
            </w:r>
            <w:r w:rsidRPr="00047BD8">
              <w:rPr>
                <w:rFonts w:ascii="宋体" w:hAnsi="宋体" w:cs="宋体"/>
                <w:kern w:val="0"/>
                <w:szCs w:val="21"/>
              </w:rPr>
              <w:t>(</w:t>
            </w:r>
            <w:r w:rsidRPr="00047BD8">
              <w:rPr>
                <w:rFonts w:ascii="宋体" w:hAnsi="宋体" w:cs="宋体" w:hint="eastAsia"/>
                <w:kern w:val="0"/>
                <w:szCs w:val="21"/>
              </w:rPr>
              <w:t>股</w:t>
            </w:r>
            <w:r w:rsidRPr="00047BD8">
              <w:rPr>
                <w:rFonts w:ascii="宋体" w:hAnsi="宋体" w:cs="宋体"/>
                <w:kern w:val="0"/>
                <w:szCs w:val="21"/>
              </w:rPr>
              <w:t>)</w:t>
            </w:r>
          </w:p>
        </w:tc>
        <w:tc>
          <w:tcPr>
            <w:tcW w:w="1419" w:type="dxa"/>
            <w:vAlign w:val="center"/>
          </w:tcPr>
          <w:p w:rsidR="00B644CA" w:rsidRPr="00047BD8" w:rsidRDefault="00B644CA" w:rsidP="002E69BE">
            <w:pPr>
              <w:widowControl/>
              <w:spacing w:before="100" w:beforeAutospacing="1" w:after="375" w:line="360" w:lineRule="atLeast"/>
              <w:jc w:val="center"/>
              <w:rPr>
                <w:rFonts w:ascii="宋体" w:hAnsi="宋体" w:cs="宋体"/>
                <w:kern w:val="0"/>
                <w:szCs w:val="21"/>
              </w:rPr>
            </w:pPr>
            <w:r w:rsidRPr="00047BD8">
              <w:rPr>
                <w:rFonts w:ascii="宋体" w:hAnsi="宋体" w:cs="宋体" w:hint="eastAsia"/>
                <w:kern w:val="0"/>
                <w:szCs w:val="21"/>
              </w:rPr>
              <w:t>总成本</w:t>
            </w:r>
            <w:r w:rsidRPr="00047BD8">
              <w:rPr>
                <w:rFonts w:ascii="宋体" w:hAnsi="宋体" w:cs="宋体"/>
                <w:kern w:val="0"/>
                <w:szCs w:val="21"/>
              </w:rPr>
              <w:t>(</w:t>
            </w:r>
            <w:r w:rsidRPr="00047BD8">
              <w:rPr>
                <w:rFonts w:ascii="宋体" w:hAnsi="宋体" w:cs="宋体" w:hint="eastAsia"/>
                <w:kern w:val="0"/>
                <w:szCs w:val="21"/>
              </w:rPr>
              <w:t>元</w:t>
            </w:r>
            <w:r w:rsidRPr="00047BD8">
              <w:rPr>
                <w:rFonts w:ascii="宋体" w:hAnsi="宋体" w:cs="宋体"/>
                <w:kern w:val="0"/>
                <w:szCs w:val="21"/>
              </w:rPr>
              <w:t>)</w:t>
            </w:r>
          </w:p>
        </w:tc>
        <w:tc>
          <w:tcPr>
            <w:tcW w:w="1133" w:type="dxa"/>
            <w:vAlign w:val="center"/>
          </w:tcPr>
          <w:p w:rsidR="00B644CA" w:rsidRPr="00047BD8" w:rsidRDefault="00B644CA" w:rsidP="007A5AFC">
            <w:pPr>
              <w:widowControl/>
              <w:spacing w:before="100" w:beforeAutospacing="1" w:after="375" w:line="360" w:lineRule="auto"/>
              <w:jc w:val="center"/>
              <w:rPr>
                <w:rFonts w:ascii="宋体" w:cs="宋体"/>
                <w:kern w:val="0"/>
                <w:szCs w:val="21"/>
              </w:rPr>
            </w:pPr>
            <w:r w:rsidRPr="00047BD8">
              <w:rPr>
                <w:rFonts w:ascii="宋体" w:hAnsi="宋体" w:cs="宋体" w:hint="eastAsia"/>
                <w:kern w:val="0"/>
                <w:szCs w:val="21"/>
              </w:rPr>
              <w:t>总成本占基金资产净值比例</w:t>
            </w:r>
            <w:r>
              <w:rPr>
                <w:rFonts w:ascii="宋体" w:hAnsi="宋体" w:cs="宋体" w:hint="eastAsia"/>
                <w:kern w:val="0"/>
                <w:szCs w:val="21"/>
              </w:rPr>
              <w:t>（%）</w:t>
            </w:r>
          </w:p>
        </w:tc>
        <w:tc>
          <w:tcPr>
            <w:tcW w:w="1847" w:type="dxa"/>
            <w:vAlign w:val="center"/>
          </w:tcPr>
          <w:p w:rsidR="00B644CA" w:rsidRPr="00047BD8" w:rsidRDefault="00B644CA" w:rsidP="002E69BE">
            <w:pPr>
              <w:widowControl/>
              <w:spacing w:before="100" w:beforeAutospacing="1" w:after="375" w:line="360" w:lineRule="atLeast"/>
              <w:jc w:val="center"/>
              <w:rPr>
                <w:rFonts w:ascii="宋体" w:hAnsi="宋体" w:cs="宋体"/>
                <w:kern w:val="0"/>
                <w:szCs w:val="21"/>
              </w:rPr>
            </w:pPr>
            <w:r w:rsidRPr="00047BD8">
              <w:rPr>
                <w:rFonts w:ascii="宋体" w:hAnsi="宋体" w:cs="宋体" w:hint="eastAsia"/>
                <w:kern w:val="0"/>
                <w:szCs w:val="21"/>
              </w:rPr>
              <w:t>账面价值</w:t>
            </w:r>
            <w:r w:rsidRPr="00047BD8">
              <w:rPr>
                <w:rFonts w:ascii="宋体" w:hAnsi="宋体" w:cs="宋体"/>
                <w:kern w:val="0"/>
                <w:szCs w:val="21"/>
              </w:rPr>
              <w:t>(</w:t>
            </w:r>
            <w:r w:rsidRPr="00047BD8">
              <w:rPr>
                <w:rFonts w:ascii="宋体" w:hAnsi="宋体" w:cs="宋体" w:hint="eastAsia"/>
                <w:kern w:val="0"/>
                <w:szCs w:val="21"/>
              </w:rPr>
              <w:t>元</w:t>
            </w:r>
            <w:r w:rsidRPr="00047BD8">
              <w:rPr>
                <w:rFonts w:ascii="宋体" w:hAnsi="宋体" w:cs="宋体"/>
                <w:kern w:val="0"/>
                <w:szCs w:val="21"/>
              </w:rPr>
              <w:t>)</w:t>
            </w:r>
          </w:p>
        </w:tc>
        <w:tc>
          <w:tcPr>
            <w:tcW w:w="993" w:type="dxa"/>
            <w:vAlign w:val="center"/>
          </w:tcPr>
          <w:p w:rsidR="00B644CA" w:rsidRPr="00047BD8" w:rsidRDefault="00B644CA" w:rsidP="002E69BE">
            <w:pPr>
              <w:widowControl/>
              <w:spacing w:before="100" w:beforeAutospacing="1" w:after="375" w:line="360" w:lineRule="atLeast"/>
              <w:jc w:val="center"/>
              <w:rPr>
                <w:rFonts w:ascii="宋体" w:cs="宋体"/>
                <w:kern w:val="0"/>
                <w:szCs w:val="21"/>
              </w:rPr>
            </w:pPr>
            <w:r w:rsidRPr="00047BD8">
              <w:rPr>
                <w:rFonts w:ascii="宋体" w:hAnsi="宋体" w:cs="宋体" w:hint="eastAsia"/>
                <w:kern w:val="0"/>
                <w:szCs w:val="21"/>
              </w:rPr>
              <w:t>账面价值占基金资产净值比例</w:t>
            </w:r>
            <w:r>
              <w:rPr>
                <w:rFonts w:ascii="宋体" w:hAnsi="宋体" w:cs="宋体" w:hint="eastAsia"/>
                <w:kern w:val="0"/>
                <w:szCs w:val="21"/>
              </w:rPr>
              <w:t>（%）</w:t>
            </w:r>
          </w:p>
        </w:tc>
        <w:tc>
          <w:tcPr>
            <w:tcW w:w="751" w:type="dxa"/>
            <w:vAlign w:val="center"/>
          </w:tcPr>
          <w:p w:rsidR="00B644CA" w:rsidRPr="00047BD8" w:rsidRDefault="00B644CA" w:rsidP="002E69BE">
            <w:pPr>
              <w:widowControl/>
              <w:spacing w:before="100" w:beforeAutospacing="1" w:after="375" w:line="360" w:lineRule="atLeast"/>
              <w:jc w:val="center"/>
              <w:rPr>
                <w:rFonts w:ascii="宋体" w:cs="宋体"/>
                <w:kern w:val="0"/>
                <w:szCs w:val="21"/>
              </w:rPr>
            </w:pPr>
            <w:r w:rsidRPr="00047BD8">
              <w:rPr>
                <w:rFonts w:ascii="宋体" w:hAnsi="宋体" w:cs="宋体" w:hint="eastAsia"/>
                <w:kern w:val="0"/>
                <w:szCs w:val="21"/>
              </w:rPr>
              <w:t>限售期（月）</w:t>
            </w:r>
          </w:p>
        </w:tc>
      </w:tr>
      <w:tr w:rsidR="00E7660F" w:rsidRPr="00047BD8" w:rsidTr="00B644CA">
        <w:trPr>
          <w:trHeight w:val="546"/>
          <w:jc w:val="center"/>
        </w:trPr>
        <w:tc>
          <w:tcPr>
            <w:tcW w:w="2797" w:type="dxa"/>
          </w:tcPr>
          <w:p w:rsidR="00E7660F" w:rsidRPr="00AF56D5" w:rsidRDefault="00385604" w:rsidP="00B14051">
            <w:pPr>
              <w:rPr>
                <w:rFonts w:hint="eastAsia"/>
              </w:rPr>
            </w:pPr>
            <w:r>
              <w:rPr>
                <w:rFonts w:hint="eastAsia"/>
              </w:rPr>
              <w:t>富国改革动力混合型证券投资基金</w:t>
            </w:r>
          </w:p>
        </w:tc>
        <w:tc>
          <w:tcPr>
            <w:tcW w:w="1277" w:type="dxa"/>
          </w:tcPr>
          <w:p w:rsidR="00E7660F" w:rsidRPr="009B5061" w:rsidRDefault="00385604" w:rsidP="001D0C33">
            <w:pPr>
              <w:jc w:val="center"/>
            </w:pPr>
            <w:r>
              <w:rPr>
                <w:rFonts w:hint="eastAsia"/>
              </w:rPr>
              <w:t>卓越新能</w:t>
            </w:r>
          </w:p>
        </w:tc>
        <w:tc>
          <w:tcPr>
            <w:tcW w:w="1277" w:type="dxa"/>
          </w:tcPr>
          <w:p w:rsidR="00E7660F" w:rsidRPr="009B5061" w:rsidRDefault="00385604" w:rsidP="001D0C33">
            <w:pPr>
              <w:jc w:val="right"/>
            </w:pPr>
            <w:r>
              <w:t>266,713.00</w:t>
            </w:r>
          </w:p>
        </w:tc>
        <w:tc>
          <w:tcPr>
            <w:tcW w:w="1419" w:type="dxa"/>
          </w:tcPr>
          <w:p w:rsidR="00E7660F" w:rsidRPr="007073CE" w:rsidRDefault="00385604" w:rsidP="001D0C33">
            <w:pPr>
              <w:jc w:val="right"/>
            </w:pPr>
            <w:r>
              <w:t>11,127,266.36</w:t>
            </w:r>
          </w:p>
        </w:tc>
        <w:tc>
          <w:tcPr>
            <w:tcW w:w="1133" w:type="dxa"/>
          </w:tcPr>
          <w:p w:rsidR="00E7660F" w:rsidRPr="004F46FD" w:rsidRDefault="00385604" w:rsidP="001D0C33">
            <w:pPr>
              <w:jc w:val="right"/>
            </w:pPr>
            <w:r>
              <w:t>0.9873</w:t>
            </w:r>
          </w:p>
        </w:tc>
        <w:tc>
          <w:tcPr>
            <w:tcW w:w="1847" w:type="dxa"/>
          </w:tcPr>
          <w:p w:rsidR="00E7660F" w:rsidRPr="00393B05" w:rsidRDefault="00385604" w:rsidP="001D0C33">
            <w:pPr>
              <w:jc w:val="right"/>
            </w:pPr>
            <w:r>
              <w:t>11,343,303.89</w:t>
            </w:r>
          </w:p>
        </w:tc>
        <w:tc>
          <w:tcPr>
            <w:tcW w:w="993" w:type="dxa"/>
          </w:tcPr>
          <w:p w:rsidR="00E7660F" w:rsidRPr="00E3665A" w:rsidRDefault="00385604" w:rsidP="001D0C33">
            <w:pPr>
              <w:jc w:val="right"/>
            </w:pPr>
            <w:r>
              <w:t>1.0065</w:t>
            </w:r>
          </w:p>
        </w:tc>
        <w:tc>
          <w:tcPr>
            <w:tcW w:w="751" w:type="dxa"/>
            <w:vAlign w:val="center"/>
          </w:tcPr>
          <w:p w:rsidR="00E7660F" w:rsidRPr="00B95123" w:rsidRDefault="00385604" w:rsidP="00753AC8">
            <w:pPr>
              <w:jc w:val="center"/>
              <w:rPr>
                <w:rFonts w:ascii="??" w:hAnsi="??" w:cs="宋体" w:hint="eastAsia"/>
                <w:kern w:val="0"/>
                <w:szCs w:val="21"/>
              </w:rPr>
            </w:pPr>
            <w:r>
              <w:rPr>
                <w:rFonts w:ascii="??" w:hAnsi="??" w:cs="宋体"/>
                <w:kern w:val="0"/>
                <w:szCs w:val="21"/>
              </w:rPr>
              <w:t>6</w:t>
            </w:r>
          </w:p>
        </w:tc>
      </w:tr>
      <w:tr w:rsidR="00385604" w:rsidRPr="00047BD8" w:rsidTr="00B644CA">
        <w:trPr>
          <w:trHeight w:val="546"/>
          <w:jc w:val="center"/>
        </w:trPr>
        <w:tc>
          <w:tcPr>
            <w:tcW w:w="2797" w:type="dxa"/>
          </w:tcPr>
          <w:p w:rsidR="00385604" w:rsidRDefault="00385604" w:rsidP="00B14051">
            <w:pPr>
              <w:rPr>
                <w:rFonts w:hint="eastAsia"/>
              </w:rPr>
            </w:pPr>
            <w:r>
              <w:rPr>
                <w:rFonts w:hint="eastAsia"/>
              </w:rPr>
              <w:t>富国价值优势混合型证券投资基金</w:t>
            </w:r>
          </w:p>
        </w:tc>
        <w:tc>
          <w:tcPr>
            <w:tcW w:w="1277" w:type="dxa"/>
          </w:tcPr>
          <w:p w:rsidR="00385604" w:rsidRDefault="00385604" w:rsidP="001D0C33">
            <w:pPr>
              <w:jc w:val="center"/>
              <w:rPr>
                <w:rFonts w:hint="eastAsia"/>
              </w:rPr>
            </w:pPr>
            <w:r>
              <w:rPr>
                <w:rFonts w:hint="eastAsia"/>
              </w:rPr>
              <w:t>卓越新能</w:t>
            </w:r>
          </w:p>
        </w:tc>
        <w:tc>
          <w:tcPr>
            <w:tcW w:w="1277" w:type="dxa"/>
          </w:tcPr>
          <w:p w:rsidR="00385604" w:rsidRDefault="00385604" w:rsidP="001D0C33">
            <w:pPr>
              <w:jc w:val="right"/>
            </w:pPr>
            <w:r>
              <w:t>237,079.00</w:t>
            </w:r>
          </w:p>
        </w:tc>
        <w:tc>
          <w:tcPr>
            <w:tcW w:w="1419" w:type="dxa"/>
          </w:tcPr>
          <w:p w:rsidR="00385604" w:rsidRDefault="00385604" w:rsidP="001D0C33">
            <w:pPr>
              <w:jc w:val="right"/>
            </w:pPr>
            <w:r>
              <w:t>9,890,935.88</w:t>
            </w:r>
          </w:p>
        </w:tc>
        <w:tc>
          <w:tcPr>
            <w:tcW w:w="1133" w:type="dxa"/>
          </w:tcPr>
          <w:p w:rsidR="00385604" w:rsidRDefault="00385604" w:rsidP="001D0C33">
            <w:pPr>
              <w:jc w:val="right"/>
            </w:pPr>
            <w:r>
              <w:t>0.6438</w:t>
            </w:r>
          </w:p>
        </w:tc>
        <w:tc>
          <w:tcPr>
            <w:tcW w:w="1847" w:type="dxa"/>
          </w:tcPr>
          <w:p w:rsidR="00385604" w:rsidRDefault="00385604" w:rsidP="001D0C33">
            <w:pPr>
              <w:jc w:val="right"/>
            </w:pPr>
            <w:r>
              <w:t>10,082,969.87</w:t>
            </w:r>
          </w:p>
        </w:tc>
        <w:tc>
          <w:tcPr>
            <w:tcW w:w="993" w:type="dxa"/>
          </w:tcPr>
          <w:p w:rsidR="00385604" w:rsidRDefault="00385604" w:rsidP="001D0C33">
            <w:pPr>
              <w:jc w:val="right"/>
            </w:pPr>
            <w:r>
              <w:t>0.6563</w:t>
            </w:r>
          </w:p>
        </w:tc>
        <w:tc>
          <w:tcPr>
            <w:tcW w:w="751" w:type="dxa"/>
            <w:vAlign w:val="center"/>
          </w:tcPr>
          <w:p w:rsidR="00385604" w:rsidRDefault="00385604" w:rsidP="00753AC8">
            <w:pPr>
              <w:jc w:val="center"/>
              <w:rPr>
                <w:rFonts w:ascii="??" w:hAnsi="??" w:cs="宋体"/>
                <w:kern w:val="0"/>
                <w:szCs w:val="21"/>
              </w:rPr>
            </w:pPr>
            <w:r>
              <w:rPr>
                <w:rFonts w:ascii="??" w:hAnsi="??" w:cs="宋体"/>
                <w:kern w:val="0"/>
                <w:szCs w:val="21"/>
              </w:rPr>
              <w:t>6</w:t>
            </w:r>
          </w:p>
        </w:tc>
      </w:tr>
      <w:tr w:rsidR="00385604" w:rsidRPr="00047BD8" w:rsidTr="00B644CA">
        <w:trPr>
          <w:trHeight w:val="546"/>
          <w:jc w:val="center"/>
        </w:trPr>
        <w:tc>
          <w:tcPr>
            <w:tcW w:w="2797" w:type="dxa"/>
          </w:tcPr>
          <w:p w:rsidR="00385604" w:rsidRDefault="00385604" w:rsidP="00B14051">
            <w:pPr>
              <w:rPr>
                <w:rFonts w:hint="eastAsia"/>
              </w:rPr>
            </w:pPr>
            <w:r>
              <w:rPr>
                <w:rFonts w:hint="eastAsia"/>
              </w:rPr>
              <w:t>富国精诚回报</w:t>
            </w:r>
            <w:r>
              <w:rPr>
                <w:rFonts w:hint="eastAsia"/>
              </w:rPr>
              <w:t>12</w:t>
            </w:r>
            <w:r>
              <w:rPr>
                <w:rFonts w:hint="eastAsia"/>
              </w:rPr>
              <w:t>个月持有期混合型证券投资基金</w:t>
            </w:r>
          </w:p>
        </w:tc>
        <w:tc>
          <w:tcPr>
            <w:tcW w:w="1277" w:type="dxa"/>
          </w:tcPr>
          <w:p w:rsidR="00385604" w:rsidRDefault="00385604" w:rsidP="001D0C33">
            <w:pPr>
              <w:jc w:val="center"/>
              <w:rPr>
                <w:rFonts w:hint="eastAsia"/>
              </w:rPr>
            </w:pPr>
            <w:r>
              <w:rPr>
                <w:rFonts w:hint="eastAsia"/>
              </w:rPr>
              <w:t>卓越新能</w:t>
            </w:r>
          </w:p>
        </w:tc>
        <w:tc>
          <w:tcPr>
            <w:tcW w:w="1277" w:type="dxa"/>
          </w:tcPr>
          <w:p w:rsidR="00385604" w:rsidRDefault="00385604" w:rsidP="001D0C33">
            <w:pPr>
              <w:jc w:val="right"/>
            </w:pPr>
            <w:r>
              <w:t>88,905.00</w:t>
            </w:r>
          </w:p>
        </w:tc>
        <w:tc>
          <w:tcPr>
            <w:tcW w:w="1419" w:type="dxa"/>
          </w:tcPr>
          <w:p w:rsidR="00385604" w:rsidRDefault="00385604" w:rsidP="001D0C33">
            <w:pPr>
              <w:jc w:val="right"/>
            </w:pPr>
            <w:r>
              <w:t>3,709,116.60</w:t>
            </w:r>
          </w:p>
        </w:tc>
        <w:tc>
          <w:tcPr>
            <w:tcW w:w="1133" w:type="dxa"/>
          </w:tcPr>
          <w:p w:rsidR="00385604" w:rsidRDefault="00385604" w:rsidP="001D0C33">
            <w:pPr>
              <w:jc w:val="right"/>
            </w:pPr>
            <w:r>
              <w:t>0.8373</w:t>
            </w:r>
          </w:p>
        </w:tc>
        <w:tc>
          <w:tcPr>
            <w:tcW w:w="1847" w:type="dxa"/>
          </w:tcPr>
          <w:p w:rsidR="00385604" w:rsidRDefault="00385604" w:rsidP="001D0C33">
            <w:pPr>
              <w:jc w:val="right"/>
            </w:pPr>
            <w:r>
              <w:t>3,781,129.65</w:t>
            </w:r>
          </w:p>
        </w:tc>
        <w:tc>
          <w:tcPr>
            <w:tcW w:w="993" w:type="dxa"/>
          </w:tcPr>
          <w:p w:rsidR="00385604" w:rsidRDefault="00385604" w:rsidP="001D0C33">
            <w:pPr>
              <w:jc w:val="right"/>
            </w:pPr>
            <w:r>
              <w:t>0.8536</w:t>
            </w:r>
          </w:p>
        </w:tc>
        <w:tc>
          <w:tcPr>
            <w:tcW w:w="751" w:type="dxa"/>
            <w:vAlign w:val="center"/>
          </w:tcPr>
          <w:p w:rsidR="00385604" w:rsidRDefault="00385604" w:rsidP="00753AC8">
            <w:pPr>
              <w:jc w:val="center"/>
              <w:rPr>
                <w:rFonts w:ascii="??" w:hAnsi="??" w:cs="宋体"/>
                <w:kern w:val="0"/>
                <w:szCs w:val="21"/>
              </w:rPr>
            </w:pPr>
            <w:r>
              <w:rPr>
                <w:rFonts w:ascii="??" w:hAnsi="??" w:cs="宋体"/>
                <w:kern w:val="0"/>
                <w:szCs w:val="21"/>
              </w:rPr>
              <w:t>6</w:t>
            </w:r>
          </w:p>
        </w:tc>
      </w:tr>
      <w:tr w:rsidR="00385604" w:rsidRPr="00047BD8" w:rsidTr="00B644CA">
        <w:trPr>
          <w:trHeight w:val="546"/>
          <w:jc w:val="center"/>
        </w:trPr>
        <w:tc>
          <w:tcPr>
            <w:tcW w:w="2797" w:type="dxa"/>
          </w:tcPr>
          <w:p w:rsidR="00385604" w:rsidRDefault="00385604" w:rsidP="00B14051">
            <w:pPr>
              <w:rPr>
                <w:rFonts w:hint="eastAsia"/>
              </w:rPr>
            </w:pPr>
            <w:r>
              <w:rPr>
                <w:rFonts w:hint="eastAsia"/>
              </w:rPr>
              <w:t>富国均衡配置混合型证券投资基金</w:t>
            </w:r>
          </w:p>
        </w:tc>
        <w:tc>
          <w:tcPr>
            <w:tcW w:w="1277" w:type="dxa"/>
          </w:tcPr>
          <w:p w:rsidR="00385604" w:rsidRDefault="00385604" w:rsidP="001D0C33">
            <w:pPr>
              <w:jc w:val="center"/>
              <w:rPr>
                <w:rFonts w:hint="eastAsia"/>
              </w:rPr>
            </w:pPr>
            <w:r>
              <w:rPr>
                <w:rFonts w:hint="eastAsia"/>
              </w:rPr>
              <w:t>卓越新能</w:t>
            </w:r>
          </w:p>
        </w:tc>
        <w:tc>
          <w:tcPr>
            <w:tcW w:w="1277" w:type="dxa"/>
          </w:tcPr>
          <w:p w:rsidR="00385604" w:rsidRDefault="00385604" w:rsidP="001D0C33">
            <w:pPr>
              <w:jc w:val="right"/>
            </w:pPr>
            <w:r>
              <w:t>74,087.00</w:t>
            </w:r>
          </w:p>
        </w:tc>
        <w:tc>
          <w:tcPr>
            <w:tcW w:w="1419" w:type="dxa"/>
          </w:tcPr>
          <w:p w:rsidR="00385604" w:rsidRDefault="00385604" w:rsidP="001D0C33">
            <w:pPr>
              <w:jc w:val="right"/>
            </w:pPr>
            <w:r>
              <w:t>3,090,909.64</w:t>
            </w:r>
          </w:p>
        </w:tc>
        <w:tc>
          <w:tcPr>
            <w:tcW w:w="1133" w:type="dxa"/>
          </w:tcPr>
          <w:p w:rsidR="00385604" w:rsidRDefault="00385604" w:rsidP="001D0C33">
            <w:pPr>
              <w:jc w:val="right"/>
            </w:pPr>
            <w:r>
              <w:t>1.4423</w:t>
            </w:r>
          </w:p>
        </w:tc>
        <w:tc>
          <w:tcPr>
            <w:tcW w:w="1847" w:type="dxa"/>
          </w:tcPr>
          <w:p w:rsidR="00385604" w:rsidRDefault="00385604" w:rsidP="001D0C33">
            <w:pPr>
              <w:jc w:val="right"/>
            </w:pPr>
            <w:r>
              <w:t>3,150,920.11</w:t>
            </w:r>
          </w:p>
        </w:tc>
        <w:tc>
          <w:tcPr>
            <w:tcW w:w="993" w:type="dxa"/>
          </w:tcPr>
          <w:p w:rsidR="00385604" w:rsidRDefault="00385604" w:rsidP="001D0C33">
            <w:pPr>
              <w:jc w:val="right"/>
            </w:pPr>
            <w:r>
              <w:t>1.4703</w:t>
            </w:r>
          </w:p>
        </w:tc>
        <w:tc>
          <w:tcPr>
            <w:tcW w:w="751" w:type="dxa"/>
            <w:vAlign w:val="center"/>
          </w:tcPr>
          <w:p w:rsidR="00385604" w:rsidRDefault="00385604" w:rsidP="00753AC8">
            <w:pPr>
              <w:jc w:val="center"/>
              <w:rPr>
                <w:rFonts w:ascii="??" w:hAnsi="??" w:cs="宋体"/>
                <w:kern w:val="0"/>
                <w:szCs w:val="21"/>
              </w:rPr>
            </w:pPr>
            <w:r>
              <w:rPr>
                <w:rFonts w:ascii="??" w:hAnsi="??" w:cs="宋体"/>
                <w:kern w:val="0"/>
                <w:szCs w:val="21"/>
              </w:rPr>
              <w:t>6</w:t>
            </w:r>
          </w:p>
        </w:tc>
      </w:tr>
      <w:tr w:rsidR="00385604" w:rsidRPr="00047BD8" w:rsidTr="00B644CA">
        <w:trPr>
          <w:trHeight w:val="546"/>
          <w:jc w:val="center"/>
        </w:trPr>
        <w:tc>
          <w:tcPr>
            <w:tcW w:w="2797" w:type="dxa"/>
          </w:tcPr>
          <w:p w:rsidR="00385604" w:rsidRDefault="00385604" w:rsidP="00B14051">
            <w:pPr>
              <w:rPr>
                <w:rFonts w:hint="eastAsia"/>
              </w:rPr>
            </w:pPr>
            <w:r>
              <w:rPr>
                <w:rFonts w:hint="eastAsia"/>
              </w:rPr>
              <w:t>富国浦诚回报</w:t>
            </w:r>
            <w:r>
              <w:rPr>
                <w:rFonts w:hint="eastAsia"/>
              </w:rPr>
              <w:t>12</w:t>
            </w:r>
            <w:r>
              <w:rPr>
                <w:rFonts w:hint="eastAsia"/>
              </w:rPr>
              <w:t>个月持有期混合型证券投资基金</w:t>
            </w:r>
          </w:p>
        </w:tc>
        <w:tc>
          <w:tcPr>
            <w:tcW w:w="1277" w:type="dxa"/>
          </w:tcPr>
          <w:p w:rsidR="00385604" w:rsidRDefault="00385604" w:rsidP="001D0C33">
            <w:pPr>
              <w:jc w:val="center"/>
              <w:rPr>
                <w:rFonts w:hint="eastAsia"/>
              </w:rPr>
            </w:pPr>
            <w:r>
              <w:rPr>
                <w:rFonts w:hint="eastAsia"/>
              </w:rPr>
              <w:t>卓越新能</w:t>
            </w:r>
          </w:p>
        </w:tc>
        <w:tc>
          <w:tcPr>
            <w:tcW w:w="1277" w:type="dxa"/>
          </w:tcPr>
          <w:p w:rsidR="00385604" w:rsidRDefault="00385604" w:rsidP="001D0C33">
            <w:pPr>
              <w:jc w:val="right"/>
            </w:pPr>
            <w:r>
              <w:t>74,087.00</w:t>
            </w:r>
          </w:p>
        </w:tc>
        <w:tc>
          <w:tcPr>
            <w:tcW w:w="1419" w:type="dxa"/>
          </w:tcPr>
          <w:p w:rsidR="00385604" w:rsidRDefault="00385604" w:rsidP="001D0C33">
            <w:pPr>
              <w:jc w:val="right"/>
            </w:pPr>
            <w:r>
              <w:t>3,090,909.64</w:t>
            </w:r>
          </w:p>
        </w:tc>
        <w:tc>
          <w:tcPr>
            <w:tcW w:w="1133" w:type="dxa"/>
          </w:tcPr>
          <w:p w:rsidR="00385604" w:rsidRDefault="00385604" w:rsidP="001D0C33">
            <w:pPr>
              <w:jc w:val="right"/>
            </w:pPr>
            <w:r>
              <w:t>0.8473</w:t>
            </w:r>
          </w:p>
        </w:tc>
        <w:tc>
          <w:tcPr>
            <w:tcW w:w="1847" w:type="dxa"/>
          </w:tcPr>
          <w:p w:rsidR="00385604" w:rsidRDefault="00385604" w:rsidP="001D0C33">
            <w:pPr>
              <w:jc w:val="right"/>
            </w:pPr>
            <w:r>
              <w:t>3,150,920.11</w:t>
            </w:r>
          </w:p>
        </w:tc>
        <w:tc>
          <w:tcPr>
            <w:tcW w:w="993" w:type="dxa"/>
          </w:tcPr>
          <w:p w:rsidR="00385604" w:rsidRDefault="00385604" w:rsidP="001D0C33">
            <w:pPr>
              <w:jc w:val="right"/>
            </w:pPr>
            <w:r>
              <w:t>0.8637</w:t>
            </w:r>
          </w:p>
        </w:tc>
        <w:tc>
          <w:tcPr>
            <w:tcW w:w="751" w:type="dxa"/>
            <w:vAlign w:val="center"/>
          </w:tcPr>
          <w:p w:rsidR="00385604" w:rsidRDefault="00385604" w:rsidP="00753AC8">
            <w:pPr>
              <w:jc w:val="center"/>
              <w:rPr>
                <w:rFonts w:ascii="??" w:hAnsi="??" w:cs="宋体"/>
                <w:kern w:val="0"/>
                <w:szCs w:val="21"/>
              </w:rPr>
            </w:pPr>
            <w:r>
              <w:rPr>
                <w:rFonts w:ascii="??" w:hAnsi="??" w:cs="宋体"/>
                <w:kern w:val="0"/>
                <w:szCs w:val="21"/>
              </w:rPr>
              <w:t>6</w:t>
            </w:r>
          </w:p>
        </w:tc>
      </w:tr>
      <w:tr w:rsidR="00385604" w:rsidRPr="00047BD8" w:rsidTr="00B644CA">
        <w:trPr>
          <w:trHeight w:val="546"/>
          <w:jc w:val="center"/>
        </w:trPr>
        <w:tc>
          <w:tcPr>
            <w:tcW w:w="2797" w:type="dxa"/>
          </w:tcPr>
          <w:p w:rsidR="00385604" w:rsidRDefault="00385604" w:rsidP="00B14051">
            <w:pPr>
              <w:rPr>
                <w:rFonts w:hint="eastAsia"/>
              </w:rPr>
            </w:pPr>
            <w:r>
              <w:rPr>
                <w:rFonts w:hint="eastAsia"/>
              </w:rPr>
              <w:t>富国融丰两年定期开放混合型证券投资基金</w:t>
            </w:r>
          </w:p>
        </w:tc>
        <w:tc>
          <w:tcPr>
            <w:tcW w:w="1277" w:type="dxa"/>
          </w:tcPr>
          <w:p w:rsidR="00385604" w:rsidRDefault="00385604" w:rsidP="001D0C33">
            <w:pPr>
              <w:jc w:val="center"/>
              <w:rPr>
                <w:rFonts w:hint="eastAsia"/>
              </w:rPr>
            </w:pPr>
            <w:r>
              <w:rPr>
                <w:rFonts w:hint="eastAsia"/>
              </w:rPr>
              <w:t>卓越新能</w:t>
            </w:r>
          </w:p>
        </w:tc>
        <w:tc>
          <w:tcPr>
            <w:tcW w:w="1277" w:type="dxa"/>
          </w:tcPr>
          <w:p w:rsidR="00385604" w:rsidRDefault="00385604" w:rsidP="001D0C33">
            <w:pPr>
              <w:jc w:val="right"/>
            </w:pPr>
            <w:r>
              <w:t>29,635.00</w:t>
            </w:r>
          </w:p>
        </w:tc>
        <w:tc>
          <w:tcPr>
            <w:tcW w:w="1419" w:type="dxa"/>
          </w:tcPr>
          <w:p w:rsidR="00385604" w:rsidRDefault="00385604" w:rsidP="001D0C33">
            <w:pPr>
              <w:jc w:val="right"/>
            </w:pPr>
            <w:r>
              <w:t>1,236,372.20</w:t>
            </w:r>
          </w:p>
        </w:tc>
        <w:tc>
          <w:tcPr>
            <w:tcW w:w="1133" w:type="dxa"/>
          </w:tcPr>
          <w:p w:rsidR="00385604" w:rsidRDefault="00385604" w:rsidP="001D0C33">
            <w:pPr>
              <w:jc w:val="right"/>
            </w:pPr>
            <w:r>
              <w:t>0.4132</w:t>
            </w:r>
          </w:p>
        </w:tc>
        <w:tc>
          <w:tcPr>
            <w:tcW w:w="1847" w:type="dxa"/>
          </w:tcPr>
          <w:p w:rsidR="00385604" w:rsidRDefault="00385604" w:rsidP="001D0C33">
            <w:pPr>
              <w:jc w:val="right"/>
            </w:pPr>
            <w:r>
              <w:t>1,260,376.55</w:t>
            </w:r>
          </w:p>
        </w:tc>
        <w:tc>
          <w:tcPr>
            <w:tcW w:w="993" w:type="dxa"/>
          </w:tcPr>
          <w:p w:rsidR="00385604" w:rsidRDefault="00385604" w:rsidP="001D0C33">
            <w:pPr>
              <w:jc w:val="right"/>
            </w:pPr>
            <w:r>
              <w:t>0.4212</w:t>
            </w:r>
          </w:p>
        </w:tc>
        <w:tc>
          <w:tcPr>
            <w:tcW w:w="751" w:type="dxa"/>
            <w:vAlign w:val="center"/>
          </w:tcPr>
          <w:p w:rsidR="00385604" w:rsidRDefault="00385604" w:rsidP="00753AC8">
            <w:pPr>
              <w:jc w:val="center"/>
              <w:rPr>
                <w:rFonts w:ascii="??" w:hAnsi="??" w:cs="宋体"/>
                <w:kern w:val="0"/>
                <w:szCs w:val="21"/>
              </w:rPr>
            </w:pPr>
            <w:r>
              <w:rPr>
                <w:rFonts w:ascii="??" w:hAnsi="??" w:cs="宋体"/>
                <w:kern w:val="0"/>
                <w:szCs w:val="21"/>
              </w:rPr>
              <w:t>6</w:t>
            </w:r>
          </w:p>
        </w:tc>
      </w:tr>
      <w:tr w:rsidR="00385604" w:rsidRPr="00047BD8" w:rsidTr="00B644CA">
        <w:trPr>
          <w:trHeight w:val="546"/>
          <w:jc w:val="center"/>
        </w:trPr>
        <w:tc>
          <w:tcPr>
            <w:tcW w:w="2797" w:type="dxa"/>
          </w:tcPr>
          <w:p w:rsidR="00385604" w:rsidRDefault="00385604" w:rsidP="00B14051">
            <w:pPr>
              <w:rPr>
                <w:rFonts w:hint="eastAsia"/>
              </w:rPr>
            </w:pPr>
            <w:r>
              <w:rPr>
                <w:rFonts w:hint="eastAsia"/>
              </w:rPr>
              <w:t>富国融享</w:t>
            </w:r>
            <w:r>
              <w:rPr>
                <w:rFonts w:hint="eastAsia"/>
              </w:rPr>
              <w:t>18</w:t>
            </w:r>
            <w:r>
              <w:rPr>
                <w:rFonts w:hint="eastAsia"/>
              </w:rPr>
              <w:t>个月定期开放混合型证券投资基金</w:t>
            </w:r>
          </w:p>
        </w:tc>
        <w:tc>
          <w:tcPr>
            <w:tcW w:w="1277" w:type="dxa"/>
          </w:tcPr>
          <w:p w:rsidR="00385604" w:rsidRDefault="00385604" w:rsidP="001D0C33">
            <w:pPr>
              <w:jc w:val="center"/>
              <w:rPr>
                <w:rFonts w:hint="eastAsia"/>
              </w:rPr>
            </w:pPr>
            <w:r>
              <w:rPr>
                <w:rFonts w:hint="eastAsia"/>
              </w:rPr>
              <w:t>卓越新能</w:t>
            </w:r>
          </w:p>
        </w:tc>
        <w:tc>
          <w:tcPr>
            <w:tcW w:w="1277" w:type="dxa"/>
          </w:tcPr>
          <w:p w:rsidR="00385604" w:rsidRDefault="00385604" w:rsidP="001D0C33">
            <w:pPr>
              <w:jc w:val="right"/>
            </w:pPr>
            <w:r>
              <w:t>22,226.00</w:t>
            </w:r>
          </w:p>
        </w:tc>
        <w:tc>
          <w:tcPr>
            <w:tcW w:w="1419" w:type="dxa"/>
          </w:tcPr>
          <w:p w:rsidR="00385604" w:rsidRDefault="00385604" w:rsidP="001D0C33">
            <w:pPr>
              <w:jc w:val="right"/>
            </w:pPr>
            <w:r>
              <w:t>927,268.72</w:t>
            </w:r>
          </w:p>
        </w:tc>
        <w:tc>
          <w:tcPr>
            <w:tcW w:w="1133" w:type="dxa"/>
          </w:tcPr>
          <w:p w:rsidR="00385604" w:rsidRDefault="00385604" w:rsidP="001D0C33">
            <w:pPr>
              <w:jc w:val="right"/>
            </w:pPr>
            <w:r>
              <w:t>0.4324</w:t>
            </w:r>
          </w:p>
        </w:tc>
        <w:tc>
          <w:tcPr>
            <w:tcW w:w="1847" w:type="dxa"/>
          </w:tcPr>
          <w:p w:rsidR="00385604" w:rsidRDefault="00385604" w:rsidP="001D0C33">
            <w:pPr>
              <w:jc w:val="right"/>
            </w:pPr>
            <w:r>
              <w:t>945,271.78</w:t>
            </w:r>
          </w:p>
        </w:tc>
        <w:tc>
          <w:tcPr>
            <w:tcW w:w="993" w:type="dxa"/>
          </w:tcPr>
          <w:p w:rsidR="00385604" w:rsidRDefault="00385604" w:rsidP="001D0C33">
            <w:pPr>
              <w:jc w:val="right"/>
            </w:pPr>
            <w:r>
              <w:t>0.4408</w:t>
            </w:r>
          </w:p>
        </w:tc>
        <w:tc>
          <w:tcPr>
            <w:tcW w:w="751" w:type="dxa"/>
            <w:vAlign w:val="center"/>
          </w:tcPr>
          <w:p w:rsidR="00385604" w:rsidRDefault="00385604" w:rsidP="00753AC8">
            <w:pPr>
              <w:jc w:val="center"/>
              <w:rPr>
                <w:rFonts w:ascii="??" w:hAnsi="??" w:cs="宋体"/>
                <w:kern w:val="0"/>
                <w:szCs w:val="21"/>
              </w:rPr>
            </w:pPr>
            <w:r>
              <w:rPr>
                <w:rFonts w:ascii="??" w:hAnsi="??" w:cs="宋体"/>
                <w:kern w:val="0"/>
                <w:szCs w:val="21"/>
              </w:rPr>
              <w:t>6</w:t>
            </w:r>
          </w:p>
        </w:tc>
      </w:tr>
      <w:tr w:rsidR="00385604" w:rsidRPr="00047BD8" w:rsidTr="00B644CA">
        <w:trPr>
          <w:trHeight w:val="546"/>
          <w:jc w:val="center"/>
        </w:trPr>
        <w:tc>
          <w:tcPr>
            <w:tcW w:w="2797" w:type="dxa"/>
          </w:tcPr>
          <w:p w:rsidR="00385604" w:rsidRDefault="00385604" w:rsidP="00B14051">
            <w:pPr>
              <w:rPr>
                <w:rFonts w:hint="eastAsia"/>
              </w:rPr>
            </w:pPr>
            <w:r>
              <w:rPr>
                <w:rFonts w:hint="eastAsia"/>
              </w:rPr>
              <w:t>富国天惠精选成长混合型证券投资基金</w:t>
            </w:r>
          </w:p>
        </w:tc>
        <w:tc>
          <w:tcPr>
            <w:tcW w:w="1277" w:type="dxa"/>
          </w:tcPr>
          <w:p w:rsidR="00385604" w:rsidRDefault="00385604" w:rsidP="001D0C33">
            <w:pPr>
              <w:jc w:val="center"/>
              <w:rPr>
                <w:rFonts w:hint="eastAsia"/>
              </w:rPr>
            </w:pPr>
            <w:r>
              <w:rPr>
                <w:rFonts w:hint="eastAsia"/>
              </w:rPr>
              <w:t>卓越新能</w:t>
            </w:r>
          </w:p>
        </w:tc>
        <w:tc>
          <w:tcPr>
            <w:tcW w:w="1277" w:type="dxa"/>
          </w:tcPr>
          <w:p w:rsidR="00385604" w:rsidRDefault="00385604" w:rsidP="001D0C33">
            <w:pPr>
              <w:jc w:val="right"/>
            </w:pPr>
            <w:r>
              <w:t>1,481,741.00</w:t>
            </w:r>
          </w:p>
        </w:tc>
        <w:tc>
          <w:tcPr>
            <w:tcW w:w="1419" w:type="dxa"/>
          </w:tcPr>
          <w:p w:rsidR="00385604" w:rsidRDefault="00385604" w:rsidP="001D0C33">
            <w:pPr>
              <w:jc w:val="right"/>
            </w:pPr>
            <w:r>
              <w:t>61,818,234.52</w:t>
            </w:r>
          </w:p>
        </w:tc>
        <w:tc>
          <w:tcPr>
            <w:tcW w:w="1133" w:type="dxa"/>
          </w:tcPr>
          <w:p w:rsidR="00385604" w:rsidRDefault="00385604" w:rsidP="001D0C33">
            <w:pPr>
              <w:jc w:val="right"/>
            </w:pPr>
            <w:r>
              <w:t>0.2679</w:t>
            </w:r>
          </w:p>
        </w:tc>
        <w:tc>
          <w:tcPr>
            <w:tcW w:w="1847" w:type="dxa"/>
          </w:tcPr>
          <w:p w:rsidR="00385604" w:rsidRDefault="00385604" w:rsidP="001D0C33">
            <w:pPr>
              <w:jc w:val="right"/>
            </w:pPr>
            <w:r>
              <w:t>63,018,444.73</w:t>
            </w:r>
          </w:p>
        </w:tc>
        <w:tc>
          <w:tcPr>
            <w:tcW w:w="993" w:type="dxa"/>
          </w:tcPr>
          <w:p w:rsidR="00385604" w:rsidRDefault="00385604" w:rsidP="001D0C33">
            <w:pPr>
              <w:jc w:val="right"/>
            </w:pPr>
            <w:r>
              <w:t>0.2731</w:t>
            </w:r>
          </w:p>
        </w:tc>
        <w:tc>
          <w:tcPr>
            <w:tcW w:w="751" w:type="dxa"/>
            <w:vAlign w:val="center"/>
          </w:tcPr>
          <w:p w:rsidR="00385604" w:rsidRDefault="00385604" w:rsidP="00753AC8">
            <w:pPr>
              <w:jc w:val="center"/>
              <w:rPr>
                <w:rFonts w:ascii="??" w:hAnsi="??" w:cs="宋体"/>
                <w:kern w:val="0"/>
                <w:szCs w:val="21"/>
              </w:rPr>
            </w:pPr>
            <w:r>
              <w:rPr>
                <w:rFonts w:ascii="??" w:hAnsi="??" w:cs="宋体"/>
                <w:kern w:val="0"/>
                <w:szCs w:val="21"/>
              </w:rPr>
              <w:t>6</w:t>
            </w:r>
          </w:p>
        </w:tc>
      </w:tr>
      <w:tr w:rsidR="00385604" w:rsidRPr="00047BD8" w:rsidTr="00B644CA">
        <w:trPr>
          <w:trHeight w:val="546"/>
          <w:jc w:val="center"/>
        </w:trPr>
        <w:tc>
          <w:tcPr>
            <w:tcW w:w="2797" w:type="dxa"/>
          </w:tcPr>
          <w:p w:rsidR="00385604" w:rsidRDefault="00385604" w:rsidP="00B14051">
            <w:pPr>
              <w:rPr>
                <w:rFonts w:hint="eastAsia"/>
              </w:rPr>
            </w:pPr>
            <w:r>
              <w:rPr>
                <w:rFonts w:hint="eastAsia"/>
              </w:rPr>
              <w:t>富国周期精选三年持有期混合型证券投资基金</w:t>
            </w:r>
          </w:p>
        </w:tc>
        <w:tc>
          <w:tcPr>
            <w:tcW w:w="1277" w:type="dxa"/>
          </w:tcPr>
          <w:p w:rsidR="00385604" w:rsidRDefault="00385604" w:rsidP="001D0C33">
            <w:pPr>
              <w:jc w:val="center"/>
              <w:rPr>
                <w:rFonts w:hint="eastAsia"/>
              </w:rPr>
            </w:pPr>
            <w:r>
              <w:rPr>
                <w:rFonts w:hint="eastAsia"/>
              </w:rPr>
              <w:t>卓越新能</w:t>
            </w:r>
          </w:p>
        </w:tc>
        <w:tc>
          <w:tcPr>
            <w:tcW w:w="1277" w:type="dxa"/>
          </w:tcPr>
          <w:p w:rsidR="00385604" w:rsidRDefault="00385604" w:rsidP="001D0C33">
            <w:pPr>
              <w:jc w:val="right"/>
            </w:pPr>
            <w:r>
              <w:t>214,852.00</w:t>
            </w:r>
          </w:p>
        </w:tc>
        <w:tc>
          <w:tcPr>
            <w:tcW w:w="1419" w:type="dxa"/>
          </w:tcPr>
          <w:p w:rsidR="00385604" w:rsidRDefault="00385604" w:rsidP="001D0C33">
            <w:pPr>
              <w:jc w:val="right"/>
            </w:pPr>
            <w:r>
              <w:t>8,963,625.44</w:t>
            </w:r>
          </w:p>
        </w:tc>
        <w:tc>
          <w:tcPr>
            <w:tcW w:w="1133" w:type="dxa"/>
          </w:tcPr>
          <w:p w:rsidR="00385604" w:rsidRDefault="00385604" w:rsidP="001D0C33">
            <w:pPr>
              <w:jc w:val="right"/>
            </w:pPr>
            <w:r>
              <w:t>0.5180</w:t>
            </w:r>
          </w:p>
        </w:tc>
        <w:tc>
          <w:tcPr>
            <w:tcW w:w="1847" w:type="dxa"/>
          </w:tcPr>
          <w:p w:rsidR="00385604" w:rsidRDefault="00385604" w:rsidP="001D0C33">
            <w:pPr>
              <w:jc w:val="right"/>
            </w:pPr>
            <w:r>
              <w:t>9,137,655.56</w:t>
            </w:r>
          </w:p>
        </w:tc>
        <w:tc>
          <w:tcPr>
            <w:tcW w:w="993" w:type="dxa"/>
          </w:tcPr>
          <w:p w:rsidR="00385604" w:rsidRDefault="00385604" w:rsidP="001D0C33">
            <w:pPr>
              <w:jc w:val="right"/>
            </w:pPr>
            <w:r>
              <w:t>0.5280</w:t>
            </w:r>
          </w:p>
        </w:tc>
        <w:tc>
          <w:tcPr>
            <w:tcW w:w="751" w:type="dxa"/>
            <w:vAlign w:val="center"/>
          </w:tcPr>
          <w:p w:rsidR="00385604" w:rsidRDefault="00385604" w:rsidP="00753AC8">
            <w:pPr>
              <w:jc w:val="center"/>
              <w:rPr>
                <w:rFonts w:ascii="??" w:hAnsi="??" w:cs="宋体"/>
                <w:kern w:val="0"/>
                <w:szCs w:val="21"/>
              </w:rPr>
            </w:pPr>
            <w:r>
              <w:rPr>
                <w:rFonts w:ascii="??" w:hAnsi="??" w:cs="宋体"/>
                <w:kern w:val="0"/>
                <w:szCs w:val="21"/>
              </w:rPr>
              <w:t>6</w:t>
            </w:r>
          </w:p>
        </w:tc>
      </w:tr>
    </w:tbl>
    <w:p w:rsidR="001420EB" w:rsidRPr="00503051" w:rsidRDefault="001420EB" w:rsidP="00503051">
      <w:pPr>
        <w:pStyle w:val="Default"/>
        <w:spacing w:line="360" w:lineRule="auto"/>
        <w:ind w:firstLineChars="200" w:firstLine="480"/>
        <w:rPr>
          <w:rFonts w:ascii="宋体" w:eastAsia="宋体" w:hAnsi="宋体" w:cs="宋体"/>
          <w:color w:val="auto"/>
        </w:rPr>
      </w:pPr>
      <w:r w:rsidRPr="001D0C33">
        <w:rPr>
          <w:rFonts w:ascii="宋体" w:eastAsia="宋体" w:hAnsi="宋体" w:cs="宋体" w:hint="eastAsia"/>
          <w:color w:val="auto"/>
        </w:rPr>
        <w:t>注：基金资产净值、账面价值为</w:t>
      </w:r>
      <w:fldSimple w:instr=" DOCVARIABLE  THISENDDATE  \* MERGEFORMAT ">
        <w:r w:rsidR="00385604">
          <w:rPr>
            <w:rFonts w:ascii="宋体" w:eastAsia="宋体" w:hAnsi="宋体" w:cs="宋体"/>
            <w:color w:val="auto"/>
          </w:rPr>
          <w:t>2025年10月22日</w:t>
        </w:r>
      </w:fldSimple>
      <w:r w:rsidRPr="001D0C33">
        <w:rPr>
          <w:rFonts w:ascii="宋体" w:eastAsia="宋体" w:hAnsi="宋体" w:cs="宋体" w:hint="eastAsia"/>
          <w:color w:val="auto"/>
        </w:rPr>
        <w:t>数据</w:t>
      </w:r>
      <w:r w:rsidRPr="00503051">
        <w:rPr>
          <w:rFonts w:ascii="宋体" w:eastAsia="宋体" w:hAnsi="宋体" w:cs="宋体" w:hint="eastAsia"/>
          <w:color w:val="auto"/>
        </w:rPr>
        <w:t>。</w:t>
      </w:r>
    </w:p>
    <w:p w:rsidR="00503051" w:rsidRPr="00503051" w:rsidRDefault="00106014" w:rsidP="00503051">
      <w:pPr>
        <w:pStyle w:val="Default"/>
        <w:spacing w:line="360" w:lineRule="auto"/>
        <w:ind w:firstLineChars="200" w:firstLine="480"/>
        <w:rPr>
          <w:rFonts w:ascii="宋体" w:eastAsia="宋体" w:hAnsi="宋体" w:cs="宋体"/>
          <w:color w:val="auto"/>
        </w:rPr>
      </w:pPr>
      <w:r w:rsidRPr="00503051">
        <w:rPr>
          <w:rFonts w:ascii="宋体" w:eastAsia="宋体" w:hAnsi="宋体" w:cs="宋体" w:hint="eastAsia"/>
          <w:color w:val="auto"/>
        </w:rPr>
        <w:t>投资者可以登陆富国基金管理有限公司网站www.fullgoal.com.cn或拨打富国基金管理有限公司客户服务热线95105686、4008880688（全国统一，均免长途</w:t>
      </w:r>
      <w:r w:rsidRPr="00503051">
        <w:rPr>
          <w:rFonts w:ascii="宋体" w:eastAsia="宋体" w:hAnsi="宋体" w:cs="宋体" w:hint="eastAsia"/>
          <w:color w:val="auto"/>
        </w:rPr>
        <w:lastRenderedPageBreak/>
        <w:t>费）进行相关咨询。</w:t>
      </w:r>
    </w:p>
    <w:p w:rsidR="00106014" w:rsidRPr="00503051" w:rsidRDefault="00106014" w:rsidP="00503051">
      <w:pPr>
        <w:pStyle w:val="Default"/>
        <w:spacing w:line="360" w:lineRule="auto"/>
        <w:ind w:firstLineChars="200" w:firstLine="480"/>
        <w:rPr>
          <w:rFonts w:ascii="宋体" w:eastAsia="宋体" w:hAnsi="宋体" w:cs="宋体" w:hint="eastAsia"/>
          <w:color w:val="auto"/>
        </w:rPr>
      </w:pPr>
      <w:r w:rsidRPr="00503051">
        <w:rPr>
          <w:rFonts w:ascii="宋体" w:eastAsia="宋体" w:hAnsi="宋体" w:cs="宋体" w:hint="eastAsia"/>
          <w:color w:val="auto"/>
        </w:rPr>
        <w:t>风险提示：基金管理人承诺以诚实信用、勤勉尽责的原则管理和运用基金资产，但不保证基金一定盈利，也不保证最低收益。投资者投资于</w:t>
      </w:r>
      <w:r w:rsidR="00F1353E" w:rsidRPr="00503051">
        <w:rPr>
          <w:rFonts w:ascii="宋体" w:eastAsia="宋体" w:hAnsi="宋体" w:cs="宋体" w:hint="eastAsia"/>
          <w:color w:val="auto"/>
        </w:rPr>
        <w:t>上述</w:t>
      </w:r>
      <w:r w:rsidRPr="00503051">
        <w:rPr>
          <w:rFonts w:ascii="宋体" w:eastAsia="宋体" w:hAnsi="宋体" w:cs="宋体" w:hint="eastAsia"/>
          <w:color w:val="auto"/>
        </w:rPr>
        <w:t>基金前应认真阅读相关基金的基金合同和招募说明书。</w:t>
      </w:r>
    </w:p>
    <w:p w:rsidR="00503051" w:rsidRPr="00503051" w:rsidRDefault="001420EB" w:rsidP="00503051">
      <w:pPr>
        <w:pStyle w:val="Default"/>
        <w:spacing w:line="360" w:lineRule="auto"/>
        <w:ind w:firstLineChars="200" w:firstLine="480"/>
        <w:rPr>
          <w:rFonts w:ascii="宋体" w:eastAsia="宋体" w:hAnsi="宋体" w:cs="宋体"/>
          <w:color w:val="auto"/>
        </w:rPr>
      </w:pPr>
      <w:r w:rsidRPr="00503051">
        <w:rPr>
          <w:rFonts w:ascii="宋体" w:eastAsia="宋体" w:hAnsi="宋体" w:cs="宋体" w:hint="eastAsia"/>
          <w:color w:val="auto"/>
        </w:rPr>
        <w:t>特此公告</w:t>
      </w:r>
      <w:r w:rsidR="00106014" w:rsidRPr="00503051">
        <w:rPr>
          <w:rFonts w:ascii="宋体" w:eastAsia="宋体" w:hAnsi="宋体" w:cs="宋体" w:hint="eastAsia"/>
          <w:color w:val="auto"/>
        </w:rPr>
        <w:t>。</w:t>
      </w:r>
    </w:p>
    <w:p w:rsidR="001420EB" w:rsidRPr="00047BD8" w:rsidRDefault="001420EB" w:rsidP="00503051">
      <w:pPr>
        <w:widowControl/>
        <w:spacing w:before="100" w:beforeAutospacing="1" w:after="375"/>
        <w:ind w:firstLine="420"/>
        <w:jc w:val="right"/>
        <w:rPr>
          <w:rFonts w:ascii="宋体" w:cs="宋体"/>
          <w:kern w:val="0"/>
          <w:sz w:val="24"/>
          <w:szCs w:val="24"/>
        </w:rPr>
      </w:pPr>
      <w:r w:rsidRPr="00047BD8">
        <w:rPr>
          <w:rFonts w:ascii="宋体" w:hAnsi="宋体" w:cs="宋体" w:hint="eastAsia"/>
          <w:kern w:val="0"/>
          <w:sz w:val="24"/>
          <w:szCs w:val="24"/>
        </w:rPr>
        <w:t>富国基金管理有限公司</w:t>
      </w:r>
    </w:p>
    <w:p w:rsidR="003A394A" w:rsidRPr="00B832BF" w:rsidRDefault="00385604" w:rsidP="00503051">
      <w:pPr>
        <w:widowControl/>
        <w:spacing w:before="100" w:beforeAutospacing="1"/>
        <w:ind w:firstLine="420"/>
        <w:jc w:val="right"/>
        <w:rPr>
          <w:rFonts w:ascii="宋体" w:hAnsi="宋体" w:cs="宋体" w:hint="eastAsia"/>
          <w:color w:val="000000"/>
          <w:kern w:val="0"/>
          <w:sz w:val="24"/>
          <w:szCs w:val="24"/>
        </w:rPr>
      </w:pPr>
      <w:r>
        <w:rPr>
          <w:rFonts w:ascii="宋体" w:hAnsi="宋体" w:cs="宋体"/>
          <w:kern w:val="0"/>
          <w:sz w:val="24"/>
          <w:szCs w:val="24"/>
        </w:rPr>
        <w:t>2025年10月24日</w:t>
      </w:r>
      <w:r w:rsidR="001420EB" w:rsidRPr="00FD1D1E">
        <w:rPr>
          <w:rFonts w:ascii="宋体" w:hAnsi="宋体" w:cs="宋体"/>
          <w:color w:val="000000"/>
          <w:kern w:val="0"/>
          <w:sz w:val="24"/>
          <w:szCs w:val="24"/>
        </w:rPr>
        <w:t xml:space="preserve"> </w:t>
      </w:r>
    </w:p>
    <w:sectPr w:rsidR="003A394A" w:rsidRPr="00B832BF" w:rsidSect="00ED2E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CA9" w:rsidRDefault="00542CA9" w:rsidP="00CC37A0">
      <w:r>
        <w:separator/>
      </w:r>
    </w:p>
  </w:endnote>
  <w:endnote w:type="continuationSeparator" w:id="0">
    <w:p w:rsidR="00542CA9" w:rsidRDefault="00542CA9" w:rsidP="00CC37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CA9" w:rsidRDefault="00542CA9" w:rsidP="00CC37A0">
      <w:r>
        <w:separator/>
      </w:r>
    </w:p>
  </w:footnote>
  <w:footnote w:type="continuationSeparator" w:id="0">
    <w:p w:rsidR="00542CA9" w:rsidRDefault="00542CA9" w:rsidP="00CC37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hideSpellingErrors/>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ASTDURATION" w:val="0001年01月01日至0001年01月01日"/>
    <w:docVar w:name="LASTENDDATE" w:val="0001年01月01日"/>
    <w:docVar w:name="LASTSTARTDATE" w:val="0001年01月01日"/>
    <w:docVar w:name="THISDURATION" w:val="2025年10月22日至2025年10月22日"/>
    <w:docVar w:name="THISENDDATE" w:val="2025年10月22日"/>
    <w:docVar w:name="THISSTARTDATE" w:val="2025年10月22日"/>
  </w:docVars>
  <w:rsids>
    <w:rsidRoot w:val="008D763D"/>
    <w:rsid w:val="0000031F"/>
    <w:rsid w:val="000236E9"/>
    <w:rsid w:val="000315D0"/>
    <w:rsid w:val="00032568"/>
    <w:rsid w:val="000330E3"/>
    <w:rsid w:val="0004190E"/>
    <w:rsid w:val="00047BD8"/>
    <w:rsid w:val="00050070"/>
    <w:rsid w:val="0006489F"/>
    <w:rsid w:val="00072C5B"/>
    <w:rsid w:val="0008430E"/>
    <w:rsid w:val="00085976"/>
    <w:rsid w:val="000922AB"/>
    <w:rsid w:val="000A3F32"/>
    <w:rsid w:val="000B5BCE"/>
    <w:rsid w:val="000C2A1C"/>
    <w:rsid w:val="000C6BBA"/>
    <w:rsid w:val="000E31EF"/>
    <w:rsid w:val="000E44F6"/>
    <w:rsid w:val="000E5A74"/>
    <w:rsid w:val="000F23B7"/>
    <w:rsid w:val="000F42FC"/>
    <w:rsid w:val="000F461C"/>
    <w:rsid w:val="00106014"/>
    <w:rsid w:val="00113E78"/>
    <w:rsid w:val="00137D3A"/>
    <w:rsid w:val="001420EB"/>
    <w:rsid w:val="00142BD2"/>
    <w:rsid w:val="00146EB4"/>
    <w:rsid w:val="0015261E"/>
    <w:rsid w:val="0016522E"/>
    <w:rsid w:val="0018091A"/>
    <w:rsid w:val="0019183C"/>
    <w:rsid w:val="001957B1"/>
    <w:rsid w:val="001B4FBC"/>
    <w:rsid w:val="001D0144"/>
    <w:rsid w:val="001D0C33"/>
    <w:rsid w:val="001E6159"/>
    <w:rsid w:val="001F1148"/>
    <w:rsid w:val="001F3820"/>
    <w:rsid w:val="001F535B"/>
    <w:rsid w:val="002056CB"/>
    <w:rsid w:val="00223164"/>
    <w:rsid w:val="00236FA5"/>
    <w:rsid w:val="00246F48"/>
    <w:rsid w:val="00256601"/>
    <w:rsid w:val="00261FF6"/>
    <w:rsid w:val="00265456"/>
    <w:rsid w:val="00293706"/>
    <w:rsid w:val="002950F3"/>
    <w:rsid w:val="002954E6"/>
    <w:rsid w:val="002B6658"/>
    <w:rsid w:val="002B7691"/>
    <w:rsid w:val="002C204E"/>
    <w:rsid w:val="002D668E"/>
    <w:rsid w:val="002E69BE"/>
    <w:rsid w:val="002F471D"/>
    <w:rsid w:val="0031062B"/>
    <w:rsid w:val="00311BA8"/>
    <w:rsid w:val="0034411B"/>
    <w:rsid w:val="00377F98"/>
    <w:rsid w:val="00385604"/>
    <w:rsid w:val="003863AF"/>
    <w:rsid w:val="003A394A"/>
    <w:rsid w:val="003B241E"/>
    <w:rsid w:val="003B35E9"/>
    <w:rsid w:val="003B480F"/>
    <w:rsid w:val="003B6B3F"/>
    <w:rsid w:val="003C6997"/>
    <w:rsid w:val="003D11F4"/>
    <w:rsid w:val="003E3D63"/>
    <w:rsid w:val="003E5026"/>
    <w:rsid w:val="003E7ADF"/>
    <w:rsid w:val="003F3D21"/>
    <w:rsid w:val="003F4524"/>
    <w:rsid w:val="003F5BF3"/>
    <w:rsid w:val="003F5CDF"/>
    <w:rsid w:val="004109B4"/>
    <w:rsid w:val="004115C2"/>
    <w:rsid w:val="0041486D"/>
    <w:rsid w:val="00434648"/>
    <w:rsid w:val="004665EF"/>
    <w:rsid w:val="00475029"/>
    <w:rsid w:val="004822DE"/>
    <w:rsid w:val="00484009"/>
    <w:rsid w:val="004A08E2"/>
    <w:rsid w:val="004A60C7"/>
    <w:rsid w:val="004B04FC"/>
    <w:rsid w:val="004C28CD"/>
    <w:rsid w:val="004E07FB"/>
    <w:rsid w:val="004E4226"/>
    <w:rsid w:val="004E673F"/>
    <w:rsid w:val="004F3F4A"/>
    <w:rsid w:val="004F7DC6"/>
    <w:rsid w:val="005021B7"/>
    <w:rsid w:val="00503051"/>
    <w:rsid w:val="005152A1"/>
    <w:rsid w:val="0052771A"/>
    <w:rsid w:val="00530E04"/>
    <w:rsid w:val="00531E6D"/>
    <w:rsid w:val="005333C9"/>
    <w:rsid w:val="00542CA9"/>
    <w:rsid w:val="005554E5"/>
    <w:rsid w:val="00564975"/>
    <w:rsid w:val="005929EB"/>
    <w:rsid w:val="00595430"/>
    <w:rsid w:val="005B16F5"/>
    <w:rsid w:val="005C0230"/>
    <w:rsid w:val="005C2DC3"/>
    <w:rsid w:val="006027FA"/>
    <w:rsid w:val="00603C6E"/>
    <w:rsid w:val="0060444E"/>
    <w:rsid w:val="00611390"/>
    <w:rsid w:val="0063433C"/>
    <w:rsid w:val="006371CB"/>
    <w:rsid w:val="006408E8"/>
    <w:rsid w:val="00647F2B"/>
    <w:rsid w:val="0065384E"/>
    <w:rsid w:val="006627C6"/>
    <w:rsid w:val="006755EA"/>
    <w:rsid w:val="006800DC"/>
    <w:rsid w:val="00696A9B"/>
    <w:rsid w:val="006B5813"/>
    <w:rsid w:val="006C1562"/>
    <w:rsid w:val="006C166E"/>
    <w:rsid w:val="006C4626"/>
    <w:rsid w:val="006C4EE4"/>
    <w:rsid w:val="006E1683"/>
    <w:rsid w:val="006E616E"/>
    <w:rsid w:val="006F75D9"/>
    <w:rsid w:val="007037F2"/>
    <w:rsid w:val="00724134"/>
    <w:rsid w:val="00724F46"/>
    <w:rsid w:val="0073671A"/>
    <w:rsid w:val="00744C6C"/>
    <w:rsid w:val="00746752"/>
    <w:rsid w:val="0075021F"/>
    <w:rsid w:val="00750345"/>
    <w:rsid w:val="00753AC8"/>
    <w:rsid w:val="007570BA"/>
    <w:rsid w:val="00761D5F"/>
    <w:rsid w:val="00764CBF"/>
    <w:rsid w:val="007779D3"/>
    <w:rsid w:val="007A021D"/>
    <w:rsid w:val="007A5AFC"/>
    <w:rsid w:val="007B2A9F"/>
    <w:rsid w:val="007B56D0"/>
    <w:rsid w:val="007B75F2"/>
    <w:rsid w:val="007C5156"/>
    <w:rsid w:val="007C75D9"/>
    <w:rsid w:val="007E1E85"/>
    <w:rsid w:val="007E1EB9"/>
    <w:rsid w:val="007E2073"/>
    <w:rsid w:val="007E30A6"/>
    <w:rsid w:val="007E4203"/>
    <w:rsid w:val="007F395E"/>
    <w:rsid w:val="007F4BAE"/>
    <w:rsid w:val="00805840"/>
    <w:rsid w:val="00810C9D"/>
    <w:rsid w:val="008179EF"/>
    <w:rsid w:val="008215BC"/>
    <w:rsid w:val="00821D5A"/>
    <w:rsid w:val="0082227C"/>
    <w:rsid w:val="00840965"/>
    <w:rsid w:val="0084245A"/>
    <w:rsid w:val="00853C5E"/>
    <w:rsid w:val="0086164B"/>
    <w:rsid w:val="008A037E"/>
    <w:rsid w:val="008A04CA"/>
    <w:rsid w:val="008A3F03"/>
    <w:rsid w:val="008A618C"/>
    <w:rsid w:val="008D4872"/>
    <w:rsid w:val="008D763D"/>
    <w:rsid w:val="008F3BF0"/>
    <w:rsid w:val="00901A50"/>
    <w:rsid w:val="009069A4"/>
    <w:rsid w:val="00907BD8"/>
    <w:rsid w:val="009335FF"/>
    <w:rsid w:val="00962915"/>
    <w:rsid w:val="00964D55"/>
    <w:rsid w:val="00966552"/>
    <w:rsid w:val="009668C7"/>
    <w:rsid w:val="00974A44"/>
    <w:rsid w:val="009B482D"/>
    <w:rsid w:val="009C3F12"/>
    <w:rsid w:val="009C530A"/>
    <w:rsid w:val="009E1900"/>
    <w:rsid w:val="009E47FB"/>
    <w:rsid w:val="009F5EE4"/>
    <w:rsid w:val="00A06E1C"/>
    <w:rsid w:val="00A07AC3"/>
    <w:rsid w:val="00A14545"/>
    <w:rsid w:val="00A20FBA"/>
    <w:rsid w:val="00A23F9F"/>
    <w:rsid w:val="00A24F1D"/>
    <w:rsid w:val="00A26F15"/>
    <w:rsid w:val="00A40848"/>
    <w:rsid w:val="00A40971"/>
    <w:rsid w:val="00A41A4A"/>
    <w:rsid w:val="00A65ABB"/>
    <w:rsid w:val="00A8189F"/>
    <w:rsid w:val="00A81FAD"/>
    <w:rsid w:val="00A9221A"/>
    <w:rsid w:val="00A94551"/>
    <w:rsid w:val="00AA0FD1"/>
    <w:rsid w:val="00AB2340"/>
    <w:rsid w:val="00AB306F"/>
    <w:rsid w:val="00AC3E8D"/>
    <w:rsid w:val="00AC7A1D"/>
    <w:rsid w:val="00AC7F56"/>
    <w:rsid w:val="00AD2A0D"/>
    <w:rsid w:val="00AE30A4"/>
    <w:rsid w:val="00B02503"/>
    <w:rsid w:val="00B13272"/>
    <w:rsid w:val="00B14051"/>
    <w:rsid w:val="00B15910"/>
    <w:rsid w:val="00B26E3A"/>
    <w:rsid w:val="00B42208"/>
    <w:rsid w:val="00B42253"/>
    <w:rsid w:val="00B431C2"/>
    <w:rsid w:val="00B5579B"/>
    <w:rsid w:val="00B607BE"/>
    <w:rsid w:val="00B62473"/>
    <w:rsid w:val="00B644CA"/>
    <w:rsid w:val="00B72BAA"/>
    <w:rsid w:val="00B753F6"/>
    <w:rsid w:val="00B832BF"/>
    <w:rsid w:val="00B85962"/>
    <w:rsid w:val="00B95123"/>
    <w:rsid w:val="00BC6FE8"/>
    <w:rsid w:val="00BD4B84"/>
    <w:rsid w:val="00BE10B2"/>
    <w:rsid w:val="00C041C7"/>
    <w:rsid w:val="00C122D0"/>
    <w:rsid w:val="00C237D2"/>
    <w:rsid w:val="00C255A4"/>
    <w:rsid w:val="00C332F5"/>
    <w:rsid w:val="00C40659"/>
    <w:rsid w:val="00C42CBA"/>
    <w:rsid w:val="00C444CE"/>
    <w:rsid w:val="00C47340"/>
    <w:rsid w:val="00C551B8"/>
    <w:rsid w:val="00C83D31"/>
    <w:rsid w:val="00C85ED6"/>
    <w:rsid w:val="00CA08A1"/>
    <w:rsid w:val="00CC37A0"/>
    <w:rsid w:val="00CD032D"/>
    <w:rsid w:val="00CD782C"/>
    <w:rsid w:val="00CE1881"/>
    <w:rsid w:val="00CE3D83"/>
    <w:rsid w:val="00CE56A2"/>
    <w:rsid w:val="00D10A99"/>
    <w:rsid w:val="00D112B2"/>
    <w:rsid w:val="00D1291A"/>
    <w:rsid w:val="00D26CAC"/>
    <w:rsid w:val="00D41770"/>
    <w:rsid w:val="00D42E5F"/>
    <w:rsid w:val="00D55408"/>
    <w:rsid w:val="00D619BE"/>
    <w:rsid w:val="00D66FD5"/>
    <w:rsid w:val="00D727A4"/>
    <w:rsid w:val="00D74AF2"/>
    <w:rsid w:val="00D803DC"/>
    <w:rsid w:val="00D808C7"/>
    <w:rsid w:val="00D83B89"/>
    <w:rsid w:val="00D85433"/>
    <w:rsid w:val="00D96CA2"/>
    <w:rsid w:val="00DA5013"/>
    <w:rsid w:val="00DC00EB"/>
    <w:rsid w:val="00DC0FA0"/>
    <w:rsid w:val="00DD5C27"/>
    <w:rsid w:val="00DD677F"/>
    <w:rsid w:val="00DD6D6E"/>
    <w:rsid w:val="00DE3FCD"/>
    <w:rsid w:val="00DF25D2"/>
    <w:rsid w:val="00E00DC5"/>
    <w:rsid w:val="00E01F49"/>
    <w:rsid w:val="00E07149"/>
    <w:rsid w:val="00E130CA"/>
    <w:rsid w:val="00E279D2"/>
    <w:rsid w:val="00E30FF7"/>
    <w:rsid w:val="00E31B3E"/>
    <w:rsid w:val="00E458F7"/>
    <w:rsid w:val="00E50C70"/>
    <w:rsid w:val="00E5732A"/>
    <w:rsid w:val="00E57552"/>
    <w:rsid w:val="00E7660F"/>
    <w:rsid w:val="00E8077B"/>
    <w:rsid w:val="00EB165D"/>
    <w:rsid w:val="00EB4B61"/>
    <w:rsid w:val="00EC0541"/>
    <w:rsid w:val="00EC21AA"/>
    <w:rsid w:val="00EC3C3A"/>
    <w:rsid w:val="00EC4627"/>
    <w:rsid w:val="00ED2E2E"/>
    <w:rsid w:val="00ED515D"/>
    <w:rsid w:val="00ED5B31"/>
    <w:rsid w:val="00ED69ED"/>
    <w:rsid w:val="00EE1AF3"/>
    <w:rsid w:val="00EE3160"/>
    <w:rsid w:val="00EF24FC"/>
    <w:rsid w:val="00EF4B5E"/>
    <w:rsid w:val="00EF7D90"/>
    <w:rsid w:val="00F1353E"/>
    <w:rsid w:val="00F13C6A"/>
    <w:rsid w:val="00F16CE8"/>
    <w:rsid w:val="00F40A0C"/>
    <w:rsid w:val="00F45241"/>
    <w:rsid w:val="00F51BD8"/>
    <w:rsid w:val="00F565E7"/>
    <w:rsid w:val="00F605B4"/>
    <w:rsid w:val="00F72B9E"/>
    <w:rsid w:val="00F81885"/>
    <w:rsid w:val="00F85CEE"/>
    <w:rsid w:val="00F862D6"/>
    <w:rsid w:val="00F91D8D"/>
    <w:rsid w:val="00FA7BE4"/>
    <w:rsid w:val="00FB5803"/>
    <w:rsid w:val="00FD0031"/>
    <w:rsid w:val="00FD1D1E"/>
    <w:rsid w:val="00FF3C86"/>
    <w:rsid w:val="00FF47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E2E"/>
    <w:pPr>
      <w:widowControl w:val="0"/>
      <w:jc w:val="both"/>
    </w:pPr>
    <w:rPr>
      <w:kern w:val="2"/>
      <w:sz w:val="21"/>
      <w:szCs w:val="22"/>
    </w:rPr>
  </w:style>
  <w:style w:type="paragraph" w:styleId="1">
    <w:name w:val="heading 1"/>
    <w:basedOn w:val="a"/>
    <w:link w:val="1Char"/>
    <w:uiPriority w:val="99"/>
    <w:qFormat/>
    <w:rsid w:val="00CC37A0"/>
    <w:pPr>
      <w:widowControl/>
      <w:spacing w:before="100" w:beforeAutospacing="1" w:after="100" w:afterAutospacing="1"/>
      <w:jc w:val="left"/>
      <w:outlineLvl w:val="0"/>
    </w:pPr>
    <w:rPr>
      <w:rFonts w:ascii="宋体" w:hAnsi="宋体"/>
      <w:b/>
      <w:bCs/>
      <w:color w:val="000000"/>
      <w:kern w:val="36"/>
      <w:sz w:val="48"/>
      <w:szCs w:val="48"/>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C37A0"/>
    <w:rPr>
      <w:rFonts w:ascii="宋体" w:eastAsia="宋体" w:hAnsi="宋体" w:cs="宋体"/>
      <w:b/>
      <w:bCs/>
      <w:color w:val="000000"/>
      <w:kern w:val="36"/>
      <w:sz w:val="48"/>
      <w:szCs w:val="48"/>
    </w:rPr>
  </w:style>
  <w:style w:type="paragraph" w:styleId="a3">
    <w:name w:val="header"/>
    <w:basedOn w:val="a"/>
    <w:link w:val="Char"/>
    <w:uiPriority w:val="99"/>
    <w:semiHidden/>
    <w:rsid w:val="00CC37A0"/>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semiHidden/>
    <w:locked/>
    <w:rsid w:val="00CC37A0"/>
    <w:rPr>
      <w:rFonts w:cs="Times New Roman"/>
      <w:sz w:val="18"/>
      <w:szCs w:val="18"/>
    </w:rPr>
  </w:style>
  <w:style w:type="paragraph" w:styleId="a4">
    <w:name w:val="footer"/>
    <w:basedOn w:val="a"/>
    <w:link w:val="Char0"/>
    <w:uiPriority w:val="99"/>
    <w:semiHidden/>
    <w:rsid w:val="00CC37A0"/>
    <w:pPr>
      <w:tabs>
        <w:tab w:val="center" w:pos="4153"/>
        <w:tab w:val="right" w:pos="8306"/>
      </w:tabs>
      <w:snapToGrid w:val="0"/>
      <w:jc w:val="left"/>
    </w:pPr>
    <w:rPr>
      <w:kern w:val="0"/>
      <w:sz w:val="18"/>
      <w:szCs w:val="18"/>
      <w:lang/>
    </w:rPr>
  </w:style>
  <w:style w:type="character" w:customStyle="1" w:styleId="Char0">
    <w:name w:val="页脚 Char"/>
    <w:link w:val="a4"/>
    <w:uiPriority w:val="99"/>
    <w:semiHidden/>
    <w:locked/>
    <w:rsid w:val="00CC37A0"/>
    <w:rPr>
      <w:rFonts w:cs="Times New Roman"/>
      <w:sz w:val="18"/>
      <w:szCs w:val="18"/>
    </w:rPr>
  </w:style>
  <w:style w:type="character" w:styleId="a5">
    <w:name w:val="Hyperlink"/>
    <w:uiPriority w:val="99"/>
    <w:semiHidden/>
    <w:rsid w:val="00CC37A0"/>
    <w:rPr>
      <w:rFonts w:cs="Times New Roman"/>
      <w:color w:val="000000"/>
      <w:u w:val="none"/>
      <w:effect w:val="none"/>
    </w:rPr>
  </w:style>
  <w:style w:type="character" w:customStyle="1" w:styleId="agreen">
    <w:name w:val="agreen"/>
    <w:uiPriority w:val="99"/>
    <w:rsid w:val="00CC37A0"/>
    <w:rPr>
      <w:rFonts w:cs="Times New Roman"/>
    </w:rPr>
  </w:style>
  <w:style w:type="table" w:styleId="a6">
    <w:name w:val="Table Grid"/>
    <w:basedOn w:val="a1"/>
    <w:uiPriority w:val="99"/>
    <w:rsid w:val="00CC37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Emphasis"/>
    <w:uiPriority w:val="99"/>
    <w:qFormat/>
    <w:rsid w:val="00F40A0C"/>
    <w:rPr>
      <w:rFonts w:cs="Times New Roman"/>
      <w:color w:val="CC0033"/>
    </w:rPr>
  </w:style>
  <w:style w:type="paragraph" w:styleId="a8">
    <w:name w:val="Balloon Text"/>
    <w:basedOn w:val="a"/>
    <w:link w:val="Char1"/>
    <w:uiPriority w:val="99"/>
    <w:semiHidden/>
    <w:unhideWhenUsed/>
    <w:rsid w:val="00AB2340"/>
    <w:rPr>
      <w:sz w:val="18"/>
      <w:szCs w:val="18"/>
      <w:lang/>
    </w:rPr>
  </w:style>
  <w:style w:type="character" w:customStyle="1" w:styleId="Char1">
    <w:name w:val="批注框文本 Char"/>
    <w:link w:val="a8"/>
    <w:uiPriority w:val="99"/>
    <w:semiHidden/>
    <w:rsid w:val="00AB2340"/>
    <w:rPr>
      <w:kern w:val="2"/>
      <w:sz w:val="18"/>
      <w:szCs w:val="18"/>
    </w:rPr>
  </w:style>
  <w:style w:type="character" w:styleId="a9">
    <w:name w:val="annotation reference"/>
    <w:uiPriority w:val="99"/>
    <w:semiHidden/>
    <w:unhideWhenUsed/>
    <w:rsid w:val="00AB2340"/>
    <w:rPr>
      <w:sz w:val="21"/>
      <w:szCs w:val="21"/>
    </w:rPr>
  </w:style>
  <w:style w:type="paragraph" w:styleId="aa">
    <w:name w:val="annotation text"/>
    <w:basedOn w:val="a"/>
    <w:link w:val="Char2"/>
    <w:uiPriority w:val="99"/>
    <w:semiHidden/>
    <w:unhideWhenUsed/>
    <w:rsid w:val="00AB2340"/>
    <w:pPr>
      <w:jc w:val="left"/>
    </w:pPr>
    <w:rPr>
      <w:lang/>
    </w:rPr>
  </w:style>
  <w:style w:type="character" w:customStyle="1" w:styleId="Char2">
    <w:name w:val="批注文字 Char"/>
    <w:link w:val="aa"/>
    <w:uiPriority w:val="99"/>
    <w:semiHidden/>
    <w:rsid w:val="00AB2340"/>
    <w:rPr>
      <w:kern w:val="2"/>
      <w:sz w:val="21"/>
      <w:szCs w:val="22"/>
    </w:rPr>
  </w:style>
  <w:style w:type="paragraph" w:styleId="ab">
    <w:name w:val="annotation subject"/>
    <w:basedOn w:val="aa"/>
    <w:next w:val="aa"/>
    <w:link w:val="Char3"/>
    <w:uiPriority w:val="99"/>
    <w:semiHidden/>
    <w:unhideWhenUsed/>
    <w:rsid w:val="00AB2340"/>
    <w:rPr>
      <w:b/>
      <w:bCs/>
    </w:rPr>
  </w:style>
  <w:style w:type="character" w:customStyle="1" w:styleId="Char3">
    <w:name w:val="批注主题 Char"/>
    <w:link w:val="ab"/>
    <w:uiPriority w:val="99"/>
    <w:semiHidden/>
    <w:rsid w:val="00AB2340"/>
    <w:rPr>
      <w:b/>
      <w:bCs/>
      <w:kern w:val="2"/>
      <w:sz w:val="21"/>
      <w:szCs w:val="22"/>
    </w:rPr>
  </w:style>
  <w:style w:type="paragraph" w:customStyle="1" w:styleId="Default">
    <w:name w:val="Default"/>
    <w:rsid w:val="00611390"/>
    <w:pPr>
      <w:widowControl w:val="0"/>
      <w:autoSpaceDE w:val="0"/>
      <w:autoSpaceDN w:val="0"/>
      <w:adjustRightInd w:val="0"/>
    </w:pPr>
    <w:rPr>
      <w:rFonts w:ascii="华文中宋" w:eastAsia="华文中宋" w:cs="华文中宋"/>
      <w:color w:val="000000"/>
      <w:sz w:val="24"/>
      <w:szCs w:val="24"/>
    </w:rPr>
  </w:style>
  <w:style w:type="paragraph" w:styleId="HTML">
    <w:name w:val="HTML Preformatted"/>
    <w:basedOn w:val="a"/>
    <w:link w:val="HTMLChar"/>
    <w:uiPriority w:val="99"/>
    <w:unhideWhenUsed/>
    <w:rsid w:val="00CE18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link w:val="HTML"/>
    <w:uiPriority w:val="99"/>
    <w:rsid w:val="00CE1881"/>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31273551">
      <w:bodyDiv w:val="1"/>
      <w:marLeft w:val="0"/>
      <w:marRight w:val="0"/>
      <w:marTop w:val="0"/>
      <w:marBottom w:val="0"/>
      <w:divBdr>
        <w:top w:val="none" w:sz="0" w:space="0" w:color="auto"/>
        <w:left w:val="none" w:sz="0" w:space="0" w:color="auto"/>
        <w:bottom w:val="none" w:sz="0" w:space="0" w:color="auto"/>
        <w:right w:val="none" w:sz="0" w:space="0" w:color="auto"/>
      </w:divBdr>
    </w:div>
    <w:div w:id="70978291">
      <w:bodyDiv w:val="1"/>
      <w:marLeft w:val="0"/>
      <w:marRight w:val="0"/>
      <w:marTop w:val="0"/>
      <w:marBottom w:val="0"/>
      <w:divBdr>
        <w:top w:val="none" w:sz="0" w:space="0" w:color="auto"/>
        <w:left w:val="none" w:sz="0" w:space="0" w:color="auto"/>
        <w:bottom w:val="none" w:sz="0" w:space="0" w:color="auto"/>
        <w:right w:val="none" w:sz="0" w:space="0" w:color="auto"/>
      </w:divBdr>
    </w:div>
    <w:div w:id="106169610">
      <w:bodyDiv w:val="1"/>
      <w:marLeft w:val="0"/>
      <w:marRight w:val="0"/>
      <w:marTop w:val="0"/>
      <w:marBottom w:val="0"/>
      <w:divBdr>
        <w:top w:val="none" w:sz="0" w:space="0" w:color="auto"/>
        <w:left w:val="none" w:sz="0" w:space="0" w:color="auto"/>
        <w:bottom w:val="none" w:sz="0" w:space="0" w:color="auto"/>
        <w:right w:val="none" w:sz="0" w:space="0" w:color="auto"/>
      </w:divBdr>
    </w:div>
    <w:div w:id="127207808">
      <w:bodyDiv w:val="1"/>
      <w:marLeft w:val="0"/>
      <w:marRight w:val="0"/>
      <w:marTop w:val="0"/>
      <w:marBottom w:val="0"/>
      <w:divBdr>
        <w:top w:val="none" w:sz="0" w:space="0" w:color="auto"/>
        <w:left w:val="none" w:sz="0" w:space="0" w:color="auto"/>
        <w:bottom w:val="none" w:sz="0" w:space="0" w:color="auto"/>
        <w:right w:val="none" w:sz="0" w:space="0" w:color="auto"/>
      </w:divBdr>
    </w:div>
    <w:div w:id="202595031">
      <w:bodyDiv w:val="1"/>
      <w:marLeft w:val="0"/>
      <w:marRight w:val="0"/>
      <w:marTop w:val="0"/>
      <w:marBottom w:val="0"/>
      <w:divBdr>
        <w:top w:val="none" w:sz="0" w:space="0" w:color="auto"/>
        <w:left w:val="none" w:sz="0" w:space="0" w:color="auto"/>
        <w:bottom w:val="none" w:sz="0" w:space="0" w:color="auto"/>
        <w:right w:val="none" w:sz="0" w:space="0" w:color="auto"/>
      </w:divBdr>
    </w:div>
    <w:div w:id="296616066">
      <w:bodyDiv w:val="1"/>
      <w:marLeft w:val="0"/>
      <w:marRight w:val="0"/>
      <w:marTop w:val="0"/>
      <w:marBottom w:val="0"/>
      <w:divBdr>
        <w:top w:val="none" w:sz="0" w:space="0" w:color="auto"/>
        <w:left w:val="none" w:sz="0" w:space="0" w:color="auto"/>
        <w:bottom w:val="none" w:sz="0" w:space="0" w:color="auto"/>
        <w:right w:val="none" w:sz="0" w:space="0" w:color="auto"/>
      </w:divBdr>
    </w:div>
    <w:div w:id="367267274">
      <w:bodyDiv w:val="1"/>
      <w:marLeft w:val="0"/>
      <w:marRight w:val="0"/>
      <w:marTop w:val="0"/>
      <w:marBottom w:val="0"/>
      <w:divBdr>
        <w:top w:val="none" w:sz="0" w:space="0" w:color="auto"/>
        <w:left w:val="none" w:sz="0" w:space="0" w:color="auto"/>
        <w:bottom w:val="none" w:sz="0" w:space="0" w:color="auto"/>
        <w:right w:val="none" w:sz="0" w:space="0" w:color="auto"/>
      </w:divBdr>
    </w:div>
    <w:div w:id="384765180">
      <w:bodyDiv w:val="1"/>
      <w:marLeft w:val="0"/>
      <w:marRight w:val="0"/>
      <w:marTop w:val="0"/>
      <w:marBottom w:val="0"/>
      <w:divBdr>
        <w:top w:val="none" w:sz="0" w:space="0" w:color="auto"/>
        <w:left w:val="none" w:sz="0" w:space="0" w:color="auto"/>
        <w:bottom w:val="none" w:sz="0" w:space="0" w:color="auto"/>
        <w:right w:val="none" w:sz="0" w:space="0" w:color="auto"/>
      </w:divBdr>
    </w:div>
    <w:div w:id="388774683">
      <w:bodyDiv w:val="1"/>
      <w:marLeft w:val="0"/>
      <w:marRight w:val="0"/>
      <w:marTop w:val="0"/>
      <w:marBottom w:val="0"/>
      <w:divBdr>
        <w:top w:val="none" w:sz="0" w:space="0" w:color="auto"/>
        <w:left w:val="none" w:sz="0" w:space="0" w:color="auto"/>
        <w:bottom w:val="none" w:sz="0" w:space="0" w:color="auto"/>
        <w:right w:val="none" w:sz="0" w:space="0" w:color="auto"/>
      </w:divBdr>
    </w:div>
    <w:div w:id="399251580">
      <w:bodyDiv w:val="1"/>
      <w:marLeft w:val="0"/>
      <w:marRight w:val="0"/>
      <w:marTop w:val="0"/>
      <w:marBottom w:val="0"/>
      <w:divBdr>
        <w:top w:val="none" w:sz="0" w:space="0" w:color="auto"/>
        <w:left w:val="none" w:sz="0" w:space="0" w:color="auto"/>
        <w:bottom w:val="none" w:sz="0" w:space="0" w:color="auto"/>
        <w:right w:val="none" w:sz="0" w:space="0" w:color="auto"/>
      </w:divBdr>
    </w:div>
    <w:div w:id="452602782">
      <w:bodyDiv w:val="1"/>
      <w:marLeft w:val="0"/>
      <w:marRight w:val="0"/>
      <w:marTop w:val="0"/>
      <w:marBottom w:val="0"/>
      <w:divBdr>
        <w:top w:val="none" w:sz="0" w:space="0" w:color="auto"/>
        <w:left w:val="none" w:sz="0" w:space="0" w:color="auto"/>
        <w:bottom w:val="none" w:sz="0" w:space="0" w:color="auto"/>
        <w:right w:val="none" w:sz="0" w:space="0" w:color="auto"/>
      </w:divBdr>
    </w:div>
    <w:div w:id="453912247">
      <w:bodyDiv w:val="1"/>
      <w:marLeft w:val="0"/>
      <w:marRight w:val="0"/>
      <w:marTop w:val="0"/>
      <w:marBottom w:val="0"/>
      <w:divBdr>
        <w:top w:val="none" w:sz="0" w:space="0" w:color="auto"/>
        <w:left w:val="none" w:sz="0" w:space="0" w:color="auto"/>
        <w:bottom w:val="none" w:sz="0" w:space="0" w:color="auto"/>
        <w:right w:val="none" w:sz="0" w:space="0" w:color="auto"/>
      </w:divBdr>
    </w:div>
    <w:div w:id="460224933">
      <w:bodyDiv w:val="1"/>
      <w:marLeft w:val="0"/>
      <w:marRight w:val="0"/>
      <w:marTop w:val="0"/>
      <w:marBottom w:val="0"/>
      <w:divBdr>
        <w:top w:val="none" w:sz="0" w:space="0" w:color="auto"/>
        <w:left w:val="none" w:sz="0" w:space="0" w:color="auto"/>
        <w:bottom w:val="none" w:sz="0" w:space="0" w:color="auto"/>
        <w:right w:val="none" w:sz="0" w:space="0" w:color="auto"/>
      </w:divBdr>
    </w:div>
    <w:div w:id="541556003">
      <w:bodyDiv w:val="1"/>
      <w:marLeft w:val="0"/>
      <w:marRight w:val="0"/>
      <w:marTop w:val="0"/>
      <w:marBottom w:val="0"/>
      <w:divBdr>
        <w:top w:val="none" w:sz="0" w:space="0" w:color="auto"/>
        <w:left w:val="none" w:sz="0" w:space="0" w:color="auto"/>
        <w:bottom w:val="none" w:sz="0" w:space="0" w:color="auto"/>
        <w:right w:val="none" w:sz="0" w:space="0" w:color="auto"/>
      </w:divBdr>
    </w:div>
    <w:div w:id="558593944">
      <w:bodyDiv w:val="1"/>
      <w:marLeft w:val="0"/>
      <w:marRight w:val="0"/>
      <w:marTop w:val="0"/>
      <w:marBottom w:val="0"/>
      <w:divBdr>
        <w:top w:val="none" w:sz="0" w:space="0" w:color="auto"/>
        <w:left w:val="none" w:sz="0" w:space="0" w:color="auto"/>
        <w:bottom w:val="none" w:sz="0" w:space="0" w:color="auto"/>
        <w:right w:val="none" w:sz="0" w:space="0" w:color="auto"/>
      </w:divBdr>
    </w:div>
    <w:div w:id="571426398">
      <w:bodyDiv w:val="1"/>
      <w:marLeft w:val="0"/>
      <w:marRight w:val="0"/>
      <w:marTop w:val="0"/>
      <w:marBottom w:val="0"/>
      <w:divBdr>
        <w:top w:val="none" w:sz="0" w:space="0" w:color="auto"/>
        <w:left w:val="none" w:sz="0" w:space="0" w:color="auto"/>
        <w:bottom w:val="none" w:sz="0" w:space="0" w:color="auto"/>
        <w:right w:val="none" w:sz="0" w:space="0" w:color="auto"/>
      </w:divBdr>
    </w:div>
    <w:div w:id="626543312">
      <w:bodyDiv w:val="1"/>
      <w:marLeft w:val="0"/>
      <w:marRight w:val="0"/>
      <w:marTop w:val="0"/>
      <w:marBottom w:val="0"/>
      <w:divBdr>
        <w:top w:val="none" w:sz="0" w:space="0" w:color="auto"/>
        <w:left w:val="none" w:sz="0" w:space="0" w:color="auto"/>
        <w:bottom w:val="none" w:sz="0" w:space="0" w:color="auto"/>
        <w:right w:val="none" w:sz="0" w:space="0" w:color="auto"/>
      </w:divBdr>
    </w:div>
    <w:div w:id="681124295">
      <w:bodyDiv w:val="1"/>
      <w:marLeft w:val="0"/>
      <w:marRight w:val="0"/>
      <w:marTop w:val="0"/>
      <w:marBottom w:val="0"/>
      <w:divBdr>
        <w:top w:val="none" w:sz="0" w:space="0" w:color="auto"/>
        <w:left w:val="none" w:sz="0" w:space="0" w:color="auto"/>
        <w:bottom w:val="none" w:sz="0" w:space="0" w:color="auto"/>
        <w:right w:val="none" w:sz="0" w:space="0" w:color="auto"/>
      </w:divBdr>
    </w:div>
    <w:div w:id="736323842">
      <w:bodyDiv w:val="1"/>
      <w:marLeft w:val="0"/>
      <w:marRight w:val="0"/>
      <w:marTop w:val="0"/>
      <w:marBottom w:val="0"/>
      <w:divBdr>
        <w:top w:val="none" w:sz="0" w:space="0" w:color="auto"/>
        <w:left w:val="none" w:sz="0" w:space="0" w:color="auto"/>
        <w:bottom w:val="none" w:sz="0" w:space="0" w:color="auto"/>
        <w:right w:val="none" w:sz="0" w:space="0" w:color="auto"/>
      </w:divBdr>
    </w:div>
    <w:div w:id="791948588">
      <w:bodyDiv w:val="1"/>
      <w:marLeft w:val="0"/>
      <w:marRight w:val="0"/>
      <w:marTop w:val="0"/>
      <w:marBottom w:val="0"/>
      <w:divBdr>
        <w:top w:val="none" w:sz="0" w:space="0" w:color="auto"/>
        <w:left w:val="none" w:sz="0" w:space="0" w:color="auto"/>
        <w:bottom w:val="none" w:sz="0" w:space="0" w:color="auto"/>
        <w:right w:val="none" w:sz="0" w:space="0" w:color="auto"/>
      </w:divBdr>
    </w:div>
    <w:div w:id="794258356">
      <w:bodyDiv w:val="1"/>
      <w:marLeft w:val="0"/>
      <w:marRight w:val="0"/>
      <w:marTop w:val="0"/>
      <w:marBottom w:val="0"/>
      <w:divBdr>
        <w:top w:val="none" w:sz="0" w:space="0" w:color="auto"/>
        <w:left w:val="none" w:sz="0" w:space="0" w:color="auto"/>
        <w:bottom w:val="none" w:sz="0" w:space="0" w:color="auto"/>
        <w:right w:val="none" w:sz="0" w:space="0" w:color="auto"/>
      </w:divBdr>
    </w:div>
    <w:div w:id="833758532">
      <w:bodyDiv w:val="1"/>
      <w:marLeft w:val="0"/>
      <w:marRight w:val="0"/>
      <w:marTop w:val="0"/>
      <w:marBottom w:val="0"/>
      <w:divBdr>
        <w:top w:val="none" w:sz="0" w:space="0" w:color="auto"/>
        <w:left w:val="none" w:sz="0" w:space="0" w:color="auto"/>
        <w:bottom w:val="none" w:sz="0" w:space="0" w:color="auto"/>
        <w:right w:val="none" w:sz="0" w:space="0" w:color="auto"/>
      </w:divBdr>
    </w:div>
    <w:div w:id="864633446">
      <w:bodyDiv w:val="1"/>
      <w:marLeft w:val="0"/>
      <w:marRight w:val="0"/>
      <w:marTop w:val="0"/>
      <w:marBottom w:val="0"/>
      <w:divBdr>
        <w:top w:val="none" w:sz="0" w:space="0" w:color="auto"/>
        <w:left w:val="none" w:sz="0" w:space="0" w:color="auto"/>
        <w:bottom w:val="none" w:sz="0" w:space="0" w:color="auto"/>
        <w:right w:val="none" w:sz="0" w:space="0" w:color="auto"/>
      </w:divBdr>
    </w:div>
    <w:div w:id="909847428">
      <w:bodyDiv w:val="1"/>
      <w:marLeft w:val="0"/>
      <w:marRight w:val="0"/>
      <w:marTop w:val="0"/>
      <w:marBottom w:val="0"/>
      <w:divBdr>
        <w:top w:val="none" w:sz="0" w:space="0" w:color="auto"/>
        <w:left w:val="none" w:sz="0" w:space="0" w:color="auto"/>
        <w:bottom w:val="none" w:sz="0" w:space="0" w:color="auto"/>
        <w:right w:val="none" w:sz="0" w:space="0" w:color="auto"/>
      </w:divBdr>
    </w:div>
    <w:div w:id="1089237465">
      <w:bodyDiv w:val="1"/>
      <w:marLeft w:val="0"/>
      <w:marRight w:val="0"/>
      <w:marTop w:val="0"/>
      <w:marBottom w:val="0"/>
      <w:divBdr>
        <w:top w:val="none" w:sz="0" w:space="0" w:color="auto"/>
        <w:left w:val="none" w:sz="0" w:space="0" w:color="auto"/>
        <w:bottom w:val="none" w:sz="0" w:space="0" w:color="auto"/>
        <w:right w:val="none" w:sz="0" w:space="0" w:color="auto"/>
      </w:divBdr>
    </w:div>
    <w:div w:id="1121190229">
      <w:bodyDiv w:val="1"/>
      <w:marLeft w:val="0"/>
      <w:marRight w:val="0"/>
      <w:marTop w:val="0"/>
      <w:marBottom w:val="0"/>
      <w:divBdr>
        <w:top w:val="none" w:sz="0" w:space="0" w:color="auto"/>
        <w:left w:val="none" w:sz="0" w:space="0" w:color="auto"/>
        <w:bottom w:val="none" w:sz="0" w:space="0" w:color="auto"/>
        <w:right w:val="none" w:sz="0" w:space="0" w:color="auto"/>
      </w:divBdr>
    </w:div>
    <w:div w:id="1130249194">
      <w:bodyDiv w:val="1"/>
      <w:marLeft w:val="0"/>
      <w:marRight w:val="0"/>
      <w:marTop w:val="0"/>
      <w:marBottom w:val="0"/>
      <w:divBdr>
        <w:top w:val="none" w:sz="0" w:space="0" w:color="auto"/>
        <w:left w:val="none" w:sz="0" w:space="0" w:color="auto"/>
        <w:bottom w:val="none" w:sz="0" w:space="0" w:color="auto"/>
        <w:right w:val="none" w:sz="0" w:space="0" w:color="auto"/>
      </w:divBdr>
    </w:div>
    <w:div w:id="1139879019">
      <w:bodyDiv w:val="1"/>
      <w:marLeft w:val="0"/>
      <w:marRight w:val="0"/>
      <w:marTop w:val="0"/>
      <w:marBottom w:val="0"/>
      <w:divBdr>
        <w:top w:val="none" w:sz="0" w:space="0" w:color="auto"/>
        <w:left w:val="none" w:sz="0" w:space="0" w:color="auto"/>
        <w:bottom w:val="none" w:sz="0" w:space="0" w:color="auto"/>
        <w:right w:val="none" w:sz="0" w:space="0" w:color="auto"/>
      </w:divBdr>
    </w:div>
    <w:div w:id="1190218756">
      <w:bodyDiv w:val="1"/>
      <w:marLeft w:val="0"/>
      <w:marRight w:val="0"/>
      <w:marTop w:val="0"/>
      <w:marBottom w:val="0"/>
      <w:divBdr>
        <w:top w:val="none" w:sz="0" w:space="0" w:color="auto"/>
        <w:left w:val="none" w:sz="0" w:space="0" w:color="auto"/>
        <w:bottom w:val="none" w:sz="0" w:space="0" w:color="auto"/>
        <w:right w:val="none" w:sz="0" w:space="0" w:color="auto"/>
      </w:divBdr>
    </w:div>
    <w:div w:id="1229803428">
      <w:bodyDiv w:val="1"/>
      <w:marLeft w:val="0"/>
      <w:marRight w:val="0"/>
      <w:marTop w:val="0"/>
      <w:marBottom w:val="0"/>
      <w:divBdr>
        <w:top w:val="none" w:sz="0" w:space="0" w:color="auto"/>
        <w:left w:val="none" w:sz="0" w:space="0" w:color="auto"/>
        <w:bottom w:val="none" w:sz="0" w:space="0" w:color="auto"/>
        <w:right w:val="none" w:sz="0" w:space="0" w:color="auto"/>
      </w:divBdr>
    </w:div>
    <w:div w:id="1250041078">
      <w:bodyDiv w:val="1"/>
      <w:marLeft w:val="0"/>
      <w:marRight w:val="0"/>
      <w:marTop w:val="0"/>
      <w:marBottom w:val="0"/>
      <w:divBdr>
        <w:top w:val="none" w:sz="0" w:space="0" w:color="auto"/>
        <w:left w:val="none" w:sz="0" w:space="0" w:color="auto"/>
        <w:bottom w:val="none" w:sz="0" w:space="0" w:color="auto"/>
        <w:right w:val="none" w:sz="0" w:space="0" w:color="auto"/>
      </w:divBdr>
    </w:div>
    <w:div w:id="1255015494">
      <w:bodyDiv w:val="1"/>
      <w:marLeft w:val="0"/>
      <w:marRight w:val="0"/>
      <w:marTop w:val="0"/>
      <w:marBottom w:val="0"/>
      <w:divBdr>
        <w:top w:val="none" w:sz="0" w:space="0" w:color="auto"/>
        <w:left w:val="none" w:sz="0" w:space="0" w:color="auto"/>
        <w:bottom w:val="none" w:sz="0" w:space="0" w:color="auto"/>
        <w:right w:val="none" w:sz="0" w:space="0" w:color="auto"/>
      </w:divBdr>
    </w:div>
    <w:div w:id="1258757287">
      <w:bodyDiv w:val="1"/>
      <w:marLeft w:val="0"/>
      <w:marRight w:val="0"/>
      <w:marTop w:val="0"/>
      <w:marBottom w:val="0"/>
      <w:divBdr>
        <w:top w:val="none" w:sz="0" w:space="0" w:color="auto"/>
        <w:left w:val="none" w:sz="0" w:space="0" w:color="auto"/>
        <w:bottom w:val="none" w:sz="0" w:space="0" w:color="auto"/>
        <w:right w:val="none" w:sz="0" w:space="0" w:color="auto"/>
      </w:divBdr>
    </w:div>
    <w:div w:id="1270508590">
      <w:bodyDiv w:val="1"/>
      <w:marLeft w:val="0"/>
      <w:marRight w:val="0"/>
      <w:marTop w:val="0"/>
      <w:marBottom w:val="0"/>
      <w:divBdr>
        <w:top w:val="none" w:sz="0" w:space="0" w:color="auto"/>
        <w:left w:val="none" w:sz="0" w:space="0" w:color="auto"/>
        <w:bottom w:val="none" w:sz="0" w:space="0" w:color="auto"/>
        <w:right w:val="none" w:sz="0" w:space="0" w:color="auto"/>
      </w:divBdr>
    </w:div>
    <w:div w:id="1293707347">
      <w:bodyDiv w:val="1"/>
      <w:marLeft w:val="0"/>
      <w:marRight w:val="0"/>
      <w:marTop w:val="0"/>
      <w:marBottom w:val="0"/>
      <w:divBdr>
        <w:top w:val="none" w:sz="0" w:space="0" w:color="auto"/>
        <w:left w:val="none" w:sz="0" w:space="0" w:color="auto"/>
        <w:bottom w:val="none" w:sz="0" w:space="0" w:color="auto"/>
        <w:right w:val="none" w:sz="0" w:space="0" w:color="auto"/>
      </w:divBdr>
    </w:div>
    <w:div w:id="1325279456">
      <w:bodyDiv w:val="1"/>
      <w:marLeft w:val="0"/>
      <w:marRight w:val="0"/>
      <w:marTop w:val="0"/>
      <w:marBottom w:val="0"/>
      <w:divBdr>
        <w:top w:val="none" w:sz="0" w:space="0" w:color="auto"/>
        <w:left w:val="none" w:sz="0" w:space="0" w:color="auto"/>
        <w:bottom w:val="none" w:sz="0" w:space="0" w:color="auto"/>
        <w:right w:val="none" w:sz="0" w:space="0" w:color="auto"/>
      </w:divBdr>
    </w:div>
    <w:div w:id="1425833665">
      <w:bodyDiv w:val="1"/>
      <w:marLeft w:val="0"/>
      <w:marRight w:val="0"/>
      <w:marTop w:val="0"/>
      <w:marBottom w:val="0"/>
      <w:divBdr>
        <w:top w:val="none" w:sz="0" w:space="0" w:color="auto"/>
        <w:left w:val="none" w:sz="0" w:space="0" w:color="auto"/>
        <w:bottom w:val="none" w:sz="0" w:space="0" w:color="auto"/>
        <w:right w:val="none" w:sz="0" w:space="0" w:color="auto"/>
      </w:divBdr>
    </w:div>
    <w:div w:id="1481728655">
      <w:bodyDiv w:val="1"/>
      <w:marLeft w:val="0"/>
      <w:marRight w:val="0"/>
      <w:marTop w:val="0"/>
      <w:marBottom w:val="0"/>
      <w:divBdr>
        <w:top w:val="none" w:sz="0" w:space="0" w:color="auto"/>
        <w:left w:val="none" w:sz="0" w:space="0" w:color="auto"/>
        <w:bottom w:val="none" w:sz="0" w:space="0" w:color="auto"/>
        <w:right w:val="none" w:sz="0" w:space="0" w:color="auto"/>
      </w:divBdr>
    </w:div>
    <w:div w:id="1552114796">
      <w:bodyDiv w:val="1"/>
      <w:marLeft w:val="0"/>
      <w:marRight w:val="0"/>
      <w:marTop w:val="0"/>
      <w:marBottom w:val="0"/>
      <w:divBdr>
        <w:top w:val="none" w:sz="0" w:space="0" w:color="auto"/>
        <w:left w:val="none" w:sz="0" w:space="0" w:color="auto"/>
        <w:bottom w:val="none" w:sz="0" w:space="0" w:color="auto"/>
        <w:right w:val="none" w:sz="0" w:space="0" w:color="auto"/>
      </w:divBdr>
    </w:div>
    <w:div w:id="1554002134">
      <w:bodyDiv w:val="1"/>
      <w:marLeft w:val="0"/>
      <w:marRight w:val="0"/>
      <w:marTop w:val="0"/>
      <w:marBottom w:val="0"/>
      <w:divBdr>
        <w:top w:val="none" w:sz="0" w:space="0" w:color="auto"/>
        <w:left w:val="none" w:sz="0" w:space="0" w:color="auto"/>
        <w:bottom w:val="none" w:sz="0" w:space="0" w:color="auto"/>
        <w:right w:val="none" w:sz="0" w:space="0" w:color="auto"/>
      </w:divBdr>
    </w:div>
    <w:div w:id="1561209212">
      <w:bodyDiv w:val="1"/>
      <w:marLeft w:val="0"/>
      <w:marRight w:val="0"/>
      <w:marTop w:val="0"/>
      <w:marBottom w:val="0"/>
      <w:divBdr>
        <w:top w:val="none" w:sz="0" w:space="0" w:color="auto"/>
        <w:left w:val="none" w:sz="0" w:space="0" w:color="auto"/>
        <w:bottom w:val="none" w:sz="0" w:space="0" w:color="auto"/>
        <w:right w:val="none" w:sz="0" w:space="0" w:color="auto"/>
      </w:divBdr>
    </w:div>
    <w:div w:id="1630745061">
      <w:bodyDiv w:val="1"/>
      <w:marLeft w:val="0"/>
      <w:marRight w:val="0"/>
      <w:marTop w:val="0"/>
      <w:marBottom w:val="0"/>
      <w:divBdr>
        <w:top w:val="none" w:sz="0" w:space="0" w:color="auto"/>
        <w:left w:val="none" w:sz="0" w:space="0" w:color="auto"/>
        <w:bottom w:val="none" w:sz="0" w:space="0" w:color="auto"/>
        <w:right w:val="none" w:sz="0" w:space="0" w:color="auto"/>
      </w:divBdr>
    </w:div>
    <w:div w:id="1652901583">
      <w:marLeft w:val="0"/>
      <w:marRight w:val="0"/>
      <w:marTop w:val="0"/>
      <w:marBottom w:val="0"/>
      <w:divBdr>
        <w:top w:val="none" w:sz="0" w:space="0" w:color="auto"/>
        <w:left w:val="none" w:sz="0" w:space="0" w:color="auto"/>
        <w:bottom w:val="none" w:sz="0" w:space="0" w:color="auto"/>
        <w:right w:val="none" w:sz="0" w:space="0" w:color="auto"/>
      </w:divBdr>
      <w:divsChild>
        <w:div w:id="1652901581">
          <w:marLeft w:val="0"/>
          <w:marRight w:val="0"/>
          <w:marTop w:val="0"/>
          <w:marBottom w:val="0"/>
          <w:divBdr>
            <w:top w:val="none" w:sz="0" w:space="0" w:color="auto"/>
            <w:left w:val="none" w:sz="0" w:space="0" w:color="auto"/>
            <w:bottom w:val="none" w:sz="0" w:space="0" w:color="auto"/>
            <w:right w:val="none" w:sz="0" w:space="0" w:color="auto"/>
          </w:divBdr>
          <w:divsChild>
            <w:div w:id="1652901585">
              <w:marLeft w:val="0"/>
              <w:marRight w:val="120"/>
              <w:marTop w:val="0"/>
              <w:marBottom w:val="0"/>
              <w:divBdr>
                <w:top w:val="none" w:sz="0" w:space="0" w:color="auto"/>
                <w:left w:val="none" w:sz="0" w:space="0" w:color="auto"/>
                <w:bottom w:val="none" w:sz="0" w:space="0" w:color="auto"/>
                <w:right w:val="none" w:sz="0" w:space="0" w:color="auto"/>
              </w:divBdr>
              <w:divsChild>
                <w:div w:id="1652901582">
                  <w:marLeft w:val="0"/>
                  <w:marRight w:val="0"/>
                  <w:marTop w:val="0"/>
                  <w:marBottom w:val="0"/>
                  <w:divBdr>
                    <w:top w:val="none" w:sz="0" w:space="0" w:color="auto"/>
                    <w:left w:val="none" w:sz="0" w:space="0" w:color="auto"/>
                    <w:bottom w:val="none" w:sz="0" w:space="0" w:color="auto"/>
                    <w:right w:val="none" w:sz="0" w:space="0" w:color="auto"/>
                  </w:divBdr>
                  <w:divsChild>
                    <w:div w:id="1652901584">
                      <w:marLeft w:val="0"/>
                      <w:marRight w:val="0"/>
                      <w:marTop w:val="300"/>
                      <w:marBottom w:val="420"/>
                      <w:divBdr>
                        <w:top w:val="none" w:sz="0" w:space="0" w:color="auto"/>
                        <w:left w:val="none" w:sz="0" w:space="0" w:color="auto"/>
                        <w:bottom w:val="none" w:sz="0" w:space="0" w:color="auto"/>
                        <w:right w:val="none" w:sz="0" w:space="0" w:color="auto"/>
                      </w:divBdr>
                    </w:div>
                  </w:divsChild>
                </w:div>
              </w:divsChild>
            </w:div>
          </w:divsChild>
        </w:div>
      </w:divsChild>
    </w:div>
    <w:div w:id="1676684293">
      <w:bodyDiv w:val="1"/>
      <w:marLeft w:val="0"/>
      <w:marRight w:val="0"/>
      <w:marTop w:val="0"/>
      <w:marBottom w:val="0"/>
      <w:divBdr>
        <w:top w:val="none" w:sz="0" w:space="0" w:color="auto"/>
        <w:left w:val="none" w:sz="0" w:space="0" w:color="auto"/>
        <w:bottom w:val="none" w:sz="0" w:space="0" w:color="auto"/>
        <w:right w:val="none" w:sz="0" w:space="0" w:color="auto"/>
      </w:divBdr>
    </w:div>
    <w:div w:id="1772310512">
      <w:bodyDiv w:val="1"/>
      <w:marLeft w:val="0"/>
      <w:marRight w:val="0"/>
      <w:marTop w:val="0"/>
      <w:marBottom w:val="0"/>
      <w:divBdr>
        <w:top w:val="none" w:sz="0" w:space="0" w:color="auto"/>
        <w:left w:val="none" w:sz="0" w:space="0" w:color="auto"/>
        <w:bottom w:val="none" w:sz="0" w:space="0" w:color="auto"/>
        <w:right w:val="none" w:sz="0" w:space="0" w:color="auto"/>
      </w:divBdr>
    </w:div>
    <w:div w:id="1784691489">
      <w:bodyDiv w:val="1"/>
      <w:marLeft w:val="0"/>
      <w:marRight w:val="0"/>
      <w:marTop w:val="0"/>
      <w:marBottom w:val="0"/>
      <w:divBdr>
        <w:top w:val="none" w:sz="0" w:space="0" w:color="auto"/>
        <w:left w:val="none" w:sz="0" w:space="0" w:color="auto"/>
        <w:bottom w:val="none" w:sz="0" w:space="0" w:color="auto"/>
        <w:right w:val="none" w:sz="0" w:space="0" w:color="auto"/>
      </w:divBdr>
    </w:div>
    <w:div w:id="1936857780">
      <w:bodyDiv w:val="1"/>
      <w:marLeft w:val="0"/>
      <w:marRight w:val="0"/>
      <w:marTop w:val="0"/>
      <w:marBottom w:val="0"/>
      <w:divBdr>
        <w:top w:val="none" w:sz="0" w:space="0" w:color="auto"/>
        <w:left w:val="none" w:sz="0" w:space="0" w:color="auto"/>
        <w:bottom w:val="none" w:sz="0" w:space="0" w:color="auto"/>
        <w:right w:val="none" w:sz="0" w:space="0" w:color="auto"/>
      </w:divBdr>
    </w:div>
    <w:div w:id="2022396393">
      <w:bodyDiv w:val="1"/>
      <w:marLeft w:val="0"/>
      <w:marRight w:val="0"/>
      <w:marTop w:val="0"/>
      <w:marBottom w:val="0"/>
      <w:divBdr>
        <w:top w:val="none" w:sz="0" w:space="0" w:color="auto"/>
        <w:left w:val="none" w:sz="0" w:space="0" w:color="auto"/>
        <w:bottom w:val="none" w:sz="0" w:space="0" w:color="auto"/>
        <w:right w:val="none" w:sz="0" w:space="0" w:color="auto"/>
      </w:divBdr>
    </w:div>
    <w:div w:id="2056544033">
      <w:bodyDiv w:val="1"/>
      <w:marLeft w:val="0"/>
      <w:marRight w:val="0"/>
      <w:marTop w:val="0"/>
      <w:marBottom w:val="0"/>
      <w:divBdr>
        <w:top w:val="none" w:sz="0" w:space="0" w:color="auto"/>
        <w:left w:val="none" w:sz="0" w:space="0" w:color="auto"/>
        <w:bottom w:val="none" w:sz="0" w:space="0" w:color="auto"/>
        <w:right w:val="none" w:sz="0" w:space="0" w:color="auto"/>
      </w:divBdr>
    </w:div>
    <w:div w:id="20658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5237;&#36164;&#38750;&#20844;&#24320;&#21457;&#34892;&#35777;&#21048;&#20844;&#21578;)_LS0000_&#20844;&#21215;&#20020;&#26102;&#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EC33B-2BCC-450E-BAF7-30BB6D28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共同基金_临时公告(投资非公开发行证券公告)_LS0000_公募临时公告.dot</Template>
  <TotalTime>0</TotalTime>
  <Pages>2</Pages>
  <Words>198</Words>
  <Characters>1135</Characters>
  <Application>Microsoft Office Word</Application>
  <DocSecurity>4</DocSecurity>
  <Lines>9</Lines>
  <Paragraphs>2</Paragraphs>
  <ScaleCrop>false</ScaleCrop>
  <Company>fullgoal</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富国基金管理有限公司投资非公开发行证券公告(公募临时公告)</dc:title>
  <dc:subject>1187215</dc:subject>
  <dc:creator>高琳</dc:creator>
  <cp:keywords/>
  <cp:lastModifiedBy>ZHONGM</cp:lastModifiedBy>
  <cp:revision>2</cp:revision>
  <cp:lastPrinted>2010-07-02T11:05:00Z</cp:lastPrinted>
  <dcterms:created xsi:type="dcterms:W3CDTF">2025-10-23T16:02:00Z</dcterms:created>
  <dcterms:modified xsi:type="dcterms:W3CDTF">2025-10-23T16:02:00Z</dcterms:modified>
</cp:coreProperties>
</file>