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37F" w:rsidRDefault="003A4DA8">
      <w:pPr>
        <w:pStyle w:val="Default"/>
        <w:spacing w:line="360" w:lineRule="auto"/>
        <w:jc w:val="center"/>
        <w:rPr>
          <w:rFonts w:asciiTheme="minorEastAsia" w:eastAsiaTheme="minorEastAsia" w:hAnsiTheme="minorEastAsia"/>
          <w:b/>
          <w:color w:val="000000" w:themeColor="text1"/>
          <w:sz w:val="28"/>
        </w:rPr>
      </w:pPr>
      <w:r>
        <w:rPr>
          <w:rFonts w:asciiTheme="minorEastAsia" w:eastAsiaTheme="minorEastAsia" w:hAnsiTheme="minorEastAsia" w:hint="eastAsia"/>
          <w:b/>
          <w:color w:val="000000" w:themeColor="text1"/>
          <w:sz w:val="28"/>
        </w:rPr>
        <w:t>万家基金管理有限公司关于增加国信嘉利基金为旗下部分基金</w:t>
      </w:r>
    </w:p>
    <w:p w:rsidR="00A1437F" w:rsidRDefault="003A4DA8">
      <w:pPr>
        <w:pStyle w:val="Default"/>
        <w:spacing w:line="360" w:lineRule="auto"/>
        <w:jc w:val="center"/>
        <w:rPr>
          <w:rFonts w:asciiTheme="minorEastAsia" w:eastAsiaTheme="minorEastAsia" w:hAnsiTheme="minorEastAsia"/>
          <w:b/>
          <w:color w:val="000000" w:themeColor="text1"/>
          <w:sz w:val="28"/>
        </w:rPr>
      </w:pPr>
      <w:r>
        <w:rPr>
          <w:rFonts w:asciiTheme="minorEastAsia" w:eastAsiaTheme="minorEastAsia" w:hAnsiTheme="minorEastAsia" w:hint="eastAsia"/>
          <w:b/>
          <w:color w:val="000000" w:themeColor="text1"/>
          <w:sz w:val="28"/>
        </w:rPr>
        <w:t>销售机构并开通定投及参与费率优惠活动的公告</w:t>
      </w:r>
    </w:p>
    <w:p w:rsidR="00A1437F" w:rsidRDefault="00A1437F">
      <w:pPr>
        <w:pStyle w:val="Default"/>
        <w:spacing w:line="360" w:lineRule="auto"/>
        <w:jc w:val="both"/>
        <w:rPr>
          <w:rFonts w:asciiTheme="minorEastAsia" w:eastAsiaTheme="minorEastAsia" w:hAnsiTheme="minorEastAsia"/>
          <w:b/>
          <w:color w:val="000000" w:themeColor="text1"/>
        </w:rPr>
      </w:pP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根据万家基金管理有限公司（以下简称“本公司”）与上海国信嘉利基金销售有限公司（以下简称“国信嘉利基金”）签订的销售协议，自</w:t>
      </w:r>
      <w:r>
        <w:rPr>
          <w:rFonts w:asciiTheme="minorEastAsia" w:eastAsiaTheme="minorEastAsia" w:hAnsiTheme="minorEastAsia"/>
          <w:color w:val="000000" w:themeColor="text1"/>
        </w:rPr>
        <w:t>2025年</w:t>
      </w:r>
      <w:r>
        <w:rPr>
          <w:rFonts w:asciiTheme="minorEastAsia" w:eastAsiaTheme="minorEastAsia" w:hAnsiTheme="minorEastAsia" w:hint="eastAsia"/>
          <w:color w:val="000000" w:themeColor="text1"/>
        </w:rPr>
        <w:t>10</w:t>
      </w:r>
      <w:r>
        <w:rPr>
          <w:rFonts w:asciiTheme="minorEastAsia" w:eastAsiaTheme="minorEastAsia" w:hAnsiTheme="minorEastAsia"/>
          <w:color w:val="000000" w:themeColor="text1"/>
        </w:rPr>
        <w:t>月</w:t>
      </w:r>
      <w:r>
        <w:rPr>
          <w:rFonts w:asciiTheme="minorEastAsia" w:eastAsiaTheme="minorEastAsia" w:hAnsiTheme="minorEastAsia" w:hint="eastAsia"/>
          <w:color w:val="000000" w:themeColor="text1"/>
        </w:rPr>
        <w:t>24</w:t>
      </w:r>
      <w:r>
        <w:rPr>
          <w:rFonts w:asciiTheme="minorEastAsia" w:eastAsiaTheme="minorEastAsia" w:hAnsiTheme="minorEastAsia"/>
          <w:color w:val="000000" w:themeColor="text1"/>
        </w:rPr>
        <w:t>日</w:t>
      </w:r>
      <w:r>
        <w:rPr>
          <w:rFonts w:asciiTheme="minorEastAsia" w:eastAsiaTheme="minorEastAsia" w:hAnsiTheme="minorEastAsia" w:hint="eastAsia"/>
          <w:color w:val="000000" w:themeColor="text1"/>
        </w:rPr>
        <w:t>起，本公司旗下部分基金在国信嘉利基金开通申购、赎回、转换、定投及参与费率优惠活动。投资者可在国信嘉利基金办理产品开户及申购、赎回等业务。业务办理的具体事宜请遵从各销售机构的相关规定。</w:t>
      </w:r>
    </w:p>
    <w:p w:rsidR="00A1437F" w:rsidRDefault="003A4DA8">
      <w:pPr>
        <w:autoSpaceDE w:val="0"/>
        <w:autoSpaceDN w:val="0"/>
        <w:adjustRightInd w:val="0"/>
        <w:spacing w:line="360" w:lineRule="auto"/>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一、本次增加国信嘉利基金为销售机构的基金产品如下：</w:t>
      </w:r>
    </w:p>
    <w:tbl>
      <w:tblPr>
        <w:tblW w:w="8040" w:type="dxa"/>
        <w:tblInd w:w="-10" w:type="dxa"/>
        <w:tblLook w:val="04A0"/>
      </w:tblPr>
      <w:tblGrid>
        <w:gridCol w:w="1560"/>
        <w:gridCol w:w="6480"/>
      </w:tblGrid>
      <w:tr w:rsidR="00A1437F">
        <w:trPr>
          <w:trHeight w:val="300"/>
        </w:trPr>
        <w:tc>
          <w:tcPr>
            <w:tcW w:w="15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基金代码</w:t>
            </w:r>
          </w:p>
        </w:tc>
        <w:tc>
          <w:tcPr>
            <w:tcW w:w="6480" w:type="dxa"/>
            <w:tcBorders>
              <w:top w:val="single" w:sz="8" w:space="0" w:color="auto"/>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基金名称</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004717</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万家天添宝货币市场基金A类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004718</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万家天添宝货币市场基金B类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004169</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万家现金增利货币市场基金A类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004170</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万家现金增利货币市场基金B类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018614</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万家货币市场证券投资基金D类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519507</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万家货币市场证券投资基金B类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000773</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万家现金宝货币市场证券投资基金A类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004811</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万家现金宝货币市场证券投资基金B类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017818</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万家CFETS0-3年期政策性金融债指数证券投资基金A类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017819</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万家CFETS0-3年期政策性金融债指数证券投资基金C类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015471</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万家鑫橙纯债债券型证券投资基金A类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015472</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万家鑫橙纯债债券型证券投资基金C类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007926</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万家家享中短债债券型证券投资基金C类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016787</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万家家享中短债债券型证券投资基金D类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519199</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万家家享中短债债券型证券投资基金A类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016414</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万家鑫耀纯债债券型证券投资基金A类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016415</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万家鑫耀纯债债券型证券投资基金C类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019684</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万家添利债券型证券投资基金(LOF)A类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161908</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万家添利债券型证券投资基金(LOF)C类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003327</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万家鑫璟纯债债券型证券投资基金A类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003328</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万家鑫璟纯债债券型证券投资基金C类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016928</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万家鑫怡债券型证券投资基金A类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016929</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万家鑫怡债券型证券投资基金C类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020218</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万家锦利债券型发起式证券投资基金A类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020219</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万家锦利债券型发起式证券投资基金C类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018741</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万家集利债券型发起式证券投资基金A类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018742</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万家集利债券型发起式证券投资基金C类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lastRenderedPageBreak/>
              <w:t>519186</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万家稳健增利债券型证券投资基金A类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519187</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万家稳健增利债券型证券投资基金C类</w:t>
            </w:r>
          </w:p>
        </w:tc>
      </w:tr>
      <w:tr w:rsidR="00A1437F">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024152</w:t>
            </w:r>
          </w:p>
        </w:tc>
        <w:tc>
          <w:tcPr>
            <w:tcW w:w="6480"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万家稳健增利债券型证券投资基金D类</w:t>
            </w:r>
          </w:p>
        </w:tc>
      </w:tr>
    </w:tbl>
    <w:p w:rsidR="00A1437F" w:rsidRDefault="00A1437F">
      <w:pPr>
        <w:rPr>
          <w:rFonts w:asciiTheme="minorEastAsia" w:hAnsiTheme="minorEastAsia"/>
          <w:color w:val="000000" w:themeColor="text1"/>
          <w:sz w:val="24"/>
          <w:szCs w:val="24"/>
        </w:rPr>
      </w:pPr>
    </w:p>
    <w:p w:rsidR="00A1437F" w:rsidRDefault="003A4DA8">
      <w:pPr>
        <w:autoSpaceDE w:val="0"/>
        <w:autoSpaceDN w:val="0"/>
        <w:adjustRightInd w:val="0"/>
        <w:spacing w:line="360" w:lineRule="auto"/>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二、开通旗下基金转换业务</w:t>
      </w:r>
    </w:p>
    <w:p w:rsidR="00A1437F" w:rsidRDefault="003A4DA8" w:rsidP="003A4DA8">
      <w:pPr>
        <w:autoSpaceDE w:val="0"/>
        <w:autoSpaceDN w:val="0"/>
        <w:adjustRightInd w:val="0"/>
        <w:spacing w:line="360" w:lineRule="auto"/>
        <w:ind w:firstLineChars="200" w:firstLine="48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为满足广大投资者的理财需求，自2025年10月24日起本公司上述基金开通在国信嘉利基金的基金转换业务（以下简称“基金转换”）。基金转换最低转出份额为</w:t>
      </w:r>
      <w:r>
        <w:rPr>
          <w:rFonts w:asciiTheme="minorEastAsia" w:hAnsiTheme="minorEastAsia" w:cs="宋体"/>
          <w:color w:val="000000" w:themeColor="text1"/>
          <w:kern w:val="0"/>
          <w:sz w:val="24"/>
          <w:szCs w:val="24"/>
        </w:rPr>
        <w:t>500</w:t>
      </w:r>
      <w:r>
        <w:rPr>
          <w:rFonts w:asciiTheme="minorEastAsia" w:hAnsiTheme="minorEastAsia" w:cs="宋体" w:hint="eastAsia"/>
          <w:color w:val="000000" w:themeColor="text1"/>
          <w:kern w:val="0"/>
          <w:sz w:val="24"/>
          <w:szCs w:val="24"/>
        </w:rPr>
        <w:t>份。同一注册登记机构下的基金之间可以互相转换。基金转换业务规则与转换费用请仔细阅读各基金的基金合同、招募说明书（更新）等法律文件及相关公告。</w:t>
      </w:r>
    </w:p>
    <w:p w:rsidR="00A1437F" w:rsidRDefault="003A4DA8">
      <w:pPr>
        <w:autoSpaceDE w:val="0"/>
        <w:autoSpaceDN w:val="0"/>
        <w:adjustRightInd w:val="0"/>
        <w:spacing w:line="360" w:lineRule="auto"/>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1</w:t>
      </w:r>
      <w:r>
        <w:rPr>
          <w:rFonts w:asciiTheme="minorEastAsia" w:hAnsiTheme="minorEastAsia" w:cs="宋体" w:hint="eastAsia"/>
          <w:color w:val="000000" w:themeColor="text1"/>
          <w:kern w:val="0"/>
          <w:sz w:val="24"/>
          <w:szCs w:val="24"/>
        </w:rPr>
        <w:t>、适用投资者范围</w:t>
      </w:r>
    </w:p>
    <w:p w:rsidR="00A1437F" w:rsidRDefault="003A4DA8">
      <w:pPr>
        <w:autoSpaceDE w:val="0"/>
        <w:autoSpaceDN w:val="0"/>
        <w:adjustRightInd w:val="0"/>
        <w:spacing w:line="360" w:lineRule="auto"/>
        <w:ind w:firstLineChars="200" w:firstLine="48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符合相关基金合同规定的所有投资者。</w:t>
      </w:r>
    </w:p>
    <w:p w:rsidR="00A1437F" w:rsidRDefault="003A4DA8">
      <w:pPr>
        <w:autoSpaceDE w:val="0"/>
        <w:autoSpaceDN w:val="0"/>
        <w:adjustRightInd w:val="0"/>
        <w:spacing w:line="360" w:lineRule="auto"/>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2、基金间转换费用的计算规则</w:t>
      </w:r>
    </w:p>
    <w:p w:rsidR="00A1437F" w:rsidRDefault="003A4DA8">
      <w:pPr>
        <w:autoSpaceDE w:val="0"/>
        <w:autoSpaceDN w:val="0"/>
        <w:adjustRightInd w:val="0"/>
        <w:spacing w:line="360" w:lineRule="auto"/>
        <w:ind w:firstLine="42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基金转换费用由转出基金的赎回费用加上转出与转入基金申购费用补差两部分构成，具体收取情况视每次转换时两只基金的申购费差异情况和转出基金的赎回费而定。基金转换费用由基金份额持有人承担。</w:t>
      </w:r>
    </w:p>
    <w:p w:rsidR="00A1437F" w:rsidRDefault="003A4DA8">
      <w:pPr>
        <w:autoSpaceDE w:val="0"/>
        <w:autoSpaceDN w:val="0"/>
        <w:adjustRightInd w:val="0"/>
        <w:spacing w:line="360" w:lineRule="auto"/>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 xml:space="preserve">(1) </w:t>
      </w:r>
      <w:r>
        <w:rPr>
          <w:rFonts w:asciiTheme="minorEastAsia" w:hAnsiTheme="minorEastAsia" w:cs="宋体" w:hint="eastAsia"/>
          <w:color w:val="000000" w:themeColor="text1"/>
          <w:kern w:val="0"/>
          <w:sz w:val="24"/>
          <w:szCs w:val="24"/>
        </w:rPr>
        <w:t>基金转换申购补差费：按照转入基金与转出基金的申购费率的差额收取补差费。转出基金金额所对应的转出基金申购费率低于转入基金的申购费率的，补差费率为转入基金的申购费率和转出基金的申购费率之差额；转出基金金额所对应的转出基金申购费率高于转入基金的申购费率的，补差费为零。</w:t>
      </w:r>
    </w:p>
    <w:p w:rsidR="00A1437F" w:rsidRDefault="003A4DA8">
      <w:pPr>
        <w:autoSpaceDE w:val="0"/>
        <w:autoSpaceDN w:val="0"/>
        <w:adjustRightInd w:val="0"/>
        <w:spacing w:line="360" w:lineRule="auto"/>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 xml:space="preserve">(2) </w:t>
      </w:r>
      <w:r>
        <w:rPr>
          <w:rFonts w:asciiTheme="minorEastAsia" w:hAnsiTheme="minorEastAsia" w:cs="宋体" w:hint="eastAsia"/>
          <w:color w:val="000000" w:themeColor="text1"/>
          <w:kern w:val="0"/>
          <w:sz w:val="24"/>
          <w:szCs w:val="24"/>
        </w:rPr>
        <w:t>转出基金赎回费：按转出基金正常赎回时的赎回费率收取费用，赎回费最低</w:t>
      </w:r>
      <w:r>
        <w:rPr>
          <w:rFonts w:asciiTheme="minorEastAsia" w:hAnsiTheme="minorEastAsia" w:cs="宋体"/>
          <w:color w:val="000000" w:themeColor="text1"/>
          <w:kern w:val="0"/>
          <w:sz w:val="24"/>
          <w:szCs w:val="24"/>
        </w:rPr>
        <w:t>25%</w:t>
      </w:r>
      <w:r>
        <w:rPr>
          <w:rFonts w:asciiTheme="minorEastAsia" w:hAnsiTheme="minorEastAsia" w:cs="宋体" w:hint="eastAsia"/>
          <w:color w:val="000000" w:themeColor="text1"/>
          <w:kern w:val="0"/>
          <w:sz w:val="24"/>
          <w:szCs w:val="24"/>
        </w:rPr>
        <w:t>归入转出基金资产。</w:t>
      </w:r>
    </w:p>
    <w:p w:rsidR="00A1437F" w:rsidRDefault="00A1437F">
      <w:pPr>
        <w:rPr>
          <w:rFonts w:asciiTheme="minorEastAsia" w:hAnsiTheme="minorEastAsia"/>
          <w:color w:val="000000" w:themeColor="text1"/>
          <w:sz w:val="24"/>
          <w:szCs w:val="24"/>
        </w:rPr>
      </w:pPr>
    </w:p>
    <w:p w:rsidR="00A1437F" w:rsidRDefault="003A4DA8">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三、开通基金定投业务</w:t>
      </w: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基金定投是指投资者通过向国信嘉利基金提交申请，约定申购周期、申购时间和申购金额，由各销售机构在设定期限内按照约定的自动投资日在投资者指定资金账户内自动完成基金申购申请的一种长期投资方式。有关基金定投事宜公告如下：</w:t>
      </w:r>
    </w:p>
    <w:p w:rsidR="00A1437F" w:rsidRDefault="003A4DA8">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、适用投资者范围</w:t>
      </w: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符合相关基金合同规定的所有投资者。</w:t>
      </w:r>
    </w:p>
    <w:p w:rsidR="00A1437F" w:rsidRDefault="003A4DA8">
      <w:pPr>
        <w:autoSpaceDE w:val="0"/>
        <w:autoSpaceDN w:val="0"/>
        <w:adjustRightInd w:val="0"/>
        <w:spacing w:line="360" w:lineRule="auto"/>
        <w:rPr>
          <w:rFonts w:asciiTheme="minorEastAsia" w:hAnsiTheme="minorEastAsia" w:cs="宋体"/>
          <w:color w:val="000000" w:themeColor="text1"/>
          <w:kern w:val="0"/>
          <w:sz w:val="24"/>
          <w:szCs w:val="24"/>
        </w:rPr>
      </w:pPr>
      <w:r>
        <w:rPr>
          <w:rStyle w:val="fontstyle11"/>
          <w:rFonts w:asciiTheme="minorEastAsia" w:hAnsiTheme="minorEastAsia"/>
          <w:color w:val="000000" w:themeColor="text1"/>
          <w:sz w:val="24"/>
          <w:szCs w:val="24"/>
        </w:rPr>
        <w:t>2</w:t>
      </w:r>
      <w:r>
        <w:rPr>
          <w:rStyle w:val="fontstyle11"/>
          <w:rFonts w:asciiTheme="minorEastAsia" w:hAnsiTheme="minorEastAsia" w:hint="eastAsia"/>
          <w:color w:val="000000" w:themeColor="text1"/>
          <w:sz w:val="24"/>
          <w:szCs w:val="24"/>
        </w:rPr>
        <w:t>、</w:t>
      </w:r>
      <w:r>
        <w:rPr>
          <w:rFonts w:asciiTheme="minorEastAsia" w:hAnsiTheme="minorEastAsia" w:cs="宋体" w:hint="eastAsia"/>
          <w:color w:val="000000" w:themeColor="text1"/>
          <w:kern w:val="0"/>
          <w:sz w:val="24"/>
          <w:szCs w:val="24"/>
        </w:rPr>
        <w:t>本次</w:t>
      </w:r>
      <w:r>
        <w:rPr>
          <w:rStyle w:val="fontstyle01"/>
          <w:rFonts w:asciiTheme="minorEastAsia" w:eastAsiaTheme="minorEastAsia" w:hAnsiTheme="minorEastAsia" w:hint="default"/>
          <w:color w:val="000000" w:themeColor="text1"/>
          <w:sz w:val="24"/>
          <w:szCs w:val="24"/>
        </w:rPr>
        <w:t>开通基金定投业务的基金产品如下：</w:t>
      </w:r>
    </w:p>
    <w:tbl>
      <w:tblPr>
        <w:tblW w:w="8040" w:type="dxa"/>
        <w:tblInd w:w="-10" w:type="dxa"/>
        <w:tblLook w:val="04A0"/>
      </w:tblPr>
      <w:tblGrid>
        <w:gridCol w:w="1418"/>
        <w:gridCol w:w="6622"/>
      </w:tblGrid>
      <w:tr w:rsidR="00A1437F">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lastRenderedPageBreak/>
              <w:t>基金代码</w:t>
            </w:r>
          </w:p>
        </w:tc>
        <w:tc>
          <w:tcPr>
            <w:tcW w:w="6622" w:type="dxa"/>
            <w:tcBorders>
              <w:top w:val="single" w:sz="8" w:space="0" w:color="auto"/>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基金名称</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004717</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万家天添宝货币市场基金A类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004718</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万家天添宝货币市场基金B类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004169</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万家现金增利货币市场基金A类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004170</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万家现金增利货币市场基金B类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018614</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万家货币市场证券投资基金D类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519507</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万家货币市场证券投资基金B类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000773</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万家现金宝货币市场证券投资基金A类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004811</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万家现金宝货币市场证券投资基金B类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017818</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万家CFETS0-3年期政策性金融债指数证券投资基金A类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017819</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万家CFETS0-3年期政策性金融债指数证券投资基金C类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015471</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万家鑫橙纯债债券型证券投资基金A类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015472</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万家鑫橙纯债债券型证券投资基金C类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007926</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万家家享中短债债券型证券投资基金C类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016787</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万家家享中短债债券型证券投资基金D类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519199</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万家家享中短债债券型证券投资基金A类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016414</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万家鑫耀纯债债券型证券投资基金A类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016415</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万家鑫耀纯债债券型证券投资基金C类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019684</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万家添利债券型证券投资基金(LOF)A类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161908</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万家添利债券型证券投资基金(LOF)C类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003327</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万家鑫璟纯债债券型证券投资基金A类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003328</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万家鑫璟纯债债券型证券投资基金C类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016928</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万家鑫怡债券型证券投资基金A类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016929</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万家鑫怡债券型证券投资基金C类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020218</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万家锦利债券型发起式证券投资基金A类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020219</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万家锦利债券型发起式证券投资基金C类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018741</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万家集利债券型发起式证券投资基金A类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018742</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万家集利债券型发起式证券投资基金C类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519186</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万家稳健增利债券型证券投资基金A类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519187</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万家稳健增利债券型证券投资基金C类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024152</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万家稳健增利债券型证券投资基金D类</w:t>
            </w:r>
          </w:p>
        </w:tc>
      </w:tr>
    </w:tbl>
    <w:p w:rsidR="00A1437F" w:rsidRDefault="00A1437F">
      <w:pPr>
        <w:pStyle w:val="Default"/>
        <w:spacing w:line="360" w:lineRule="auto"/>
        <w:jc w:val="both"/>
        <w:rPr>
          <w:rFonts w:asciiTheme="minorEastAsia" w:eastAsiaTheme="minorEastAsia" w:hAnsiTheme="minorEastAsia"/>
          <w:color w:val="000000" w:themeColor="text1"/>
        </w:rPr>
      </w:pPr>
    </w:p>
    <w:p w:rsidR="00A1437F" w:rsidRDefault="003A4DA8">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3、办理方式</w:t>
      </w:r>
    </w:p>
    <w:p w:rsidR="00A1437F" w:rsidRDefault="003A4DA8" w:rsidP="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申请办理定期定额申购业务的投资者须拥有开放式基金账户，具体开户程序请遵循各销售机构的相关规定。</w:t>
      </w:r>
      <w:bookmarkStart w:id="0" w:name="_GoBack"/>
      <w:bookmarkEnd w:id="0"/>
      <w:r>
        <w:rPr>
          <w:rFonts w:asciiTheme="minorEastAsia" w:eastAsiaTheme="minorEastAsia" w:hAnsiTheme="minorEastAsia" w:hint="eastAsia"/>
          <w:color w:val="000000" w:themeColor="text1"/>
        </w:rPr>
        <w:t>投资者开立基金账户后即可到各销售机构申请办理相关万家开放式基金的基金定投业务，具体办理程序请遵循各销售机构的相关规定。</w:t>
      </w:r>
    </w:p>
    <w:p w:rsidR="00A1437F" w:rsidRDefault="003A4DA8">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4</w:t>
      </w:r>
      <w:r>
        <w:rPr>
          <w:rFonts w:asciiTheme="minorEastAsia" w:eastAsiaTheme="minorEastAsia" w:hAnsiTheme="minorEastAsia" w:hint="eastAsia"/>
          <w:color w:val="000000" w:themeColor="text1"/>
        </w:rPr>
        <w:t>、办理时间</w:t>
      </w: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本业务的申请受理时间与基金日常申购业务受理时间相同。</w:t>
      </w:r>
    </w:p>
    <w:p w:rsidR="00A1437F" w:rsidRDefault="003A4DA8">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、申购金额</w:t>
      </w: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投资者可与国信嘉利基金约定每期固定投资金额，每期定期定额申购金额最低下限为人民币10元，无级差。</w:t>
      </w:r>
    </w:p>
    <w:p w:rsidR="00A1437F" w:rsidRDefault="003A4DA8">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、扣款日期及扣款方式</w:t>
      </w: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（1）投资者应遵循相关各销售机构的规定与其约定每期扣款日期。</w:t>
      </w: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（2）各销售机构将按照投资者申请时所约定的每期约定扣款日、扣款金额扣款，若遇非基金开放日则顺延到下一基金开放日，并以该日为基金申购申请日。</w:t>
      </w: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（3）投资者需指定相关各销售机构认可的资金账户作为每期固定扣款账户。</w:t>
      </w: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（4）扣款等其他相关事项请以各销售机构的规定为准。</w:t>
      </w:r>
    </w:p>
    <w:p w:rsidR="00A1437F" w:rsidRDefault="003A4DA8">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7</w:t>
      </w:r>
      <w:r>
        <w:rPr>
          <w:rFonts w:asciiTheme="minorEastAsia" w:eastAsiaTheme="minorEastAsia" w:hAnsiTheme="minorEastAsia" w:hint="eastAsia"/>
          <w:color w:val="000000" w:themeColor="text1"/>
        </w:rPr>
        <w:t>、申购费率</w:t>
      </w: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同基金申购费率，若有费率优惠活动请以各销售机构公告为准。 </w:t>
      </w:r>
    </w:p>
    <w:p w:rsidR="00A1437F" w:rsidRDefault="003A4DA8">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8</w:t>
      </w:r>
      <w:r>
        <w:rPr>
          <w:rFonts w:asciiTheme="minorEastAsia" w:eastAsiaTheme="minorEastAsia" w:hAnsiTheme="minorEastAsia" w:hint="eastAsia"/>
          <w:color w:val="000000" w:themeColor="text1"/>
        </w:rPr>
        <w:t>、扣款和交易确认</w:t>
      </w: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基金的注册登记人按照本款第（六）条规则确定的基金申购申请日（T 日）的基金份额净值为基准计算申购份额。申购份额将在确认成功后直接计入投资者的基金账户。投资者可自确认成功后1个工作日起查询申购成交情况。</w:t>
      </w:r>
    </w:p>
    <w:p w:rsidR="00A1437F" w:rsidRDefault="003A4DA8">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9</w:t>
      </w:r>
      <w:r>
        <w:rPr>
          <w:rFonts w:asciiTheme="minorEastAsia" w:eastAsiaTheme="minorEastAsia" w:hAnsiTheme="minorEastAsia" w:hint="eastAsia"/>
          <w:color w:val="000000" w:themeColor="text1"/>
        </w:rPr>
        <w:t>、变更与解约</w:t>
      </w: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如果投资者想变更每月扣款金额和扣款日期，可提出变更申请；如果投资者想终止定期定额申购业务，可提出解除申请，具体办理程序请遵循各销售机构的相关规定。</w:t>
      </w:r>
    </w:p>
    <w:p w:rsidR="00A1437F" w:rsidRDefault="00A1437F">
      <w:pPr>
        <w:pStyle w:val="Default"/>
        <w:spacing w:line="360" w:lineRule="auto"/>
        <w:ind w:firstLineChars="200" w:firstLine="480"/>
        <w:jc w:val="both"/>
        <w:rPr>
          <w:rFonts w:asciiTheme="minorEastAsia" w:eastAsiaTheme="minorEastAsia" w:hAnsiTheme="minorEastAsia"/>
          <w:color w:val="000000" w:themeColor="text1"/>
        </w:rPr>
      </w:pPr>
    </w:p>
    <w:p w:rsidR="00A1437F" w:rsidRDefault="003A4DA8">
      <w:pPr>
        <w:adjustRightInd w:val="0"/>
        <w:snapToGrid w:val="0"/>
        <w:spacing w:line="360" w:lineRule="auto"/>
        <w:rPr>
          <w:rFonts w:asciiTheme="minorEastAsia" w:hAnsiTheme="minorEastAsia" w:cs="Arial"/>
          <w:color w:val="000000" w:themeColor="text1"/>
          <w:sz w:val="24"/>
          <w:szCs w:val="24"/>
        </w:rPr>
      </w:pPr>
      <w:r>
        <w:rPr>
          <w:rFonts w:asciiTheme="minorEastAsia" w:hAnsiTheme="minorEastAsia" w:cs="Arial" w:hint="eastAsia"/>
          <w:color w:val="000000" w:themeColor="text1"/>
          <w:sz w:val="24"/>
          <w:szCs w:val="24"/>
        </w:rPr>
        <w:t>四、参与费率优惠活动</w:t>
      </w:r>
    </w:p>
    <w:p w:rsidR="00A1437F" w:rsidRDefault="003A4DA8">
      <w:pP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本次参与费率优惠活动</w:t>
      </w:r>
      <w:r>
        <w:rPr>
          <w:rStyle w:val="fontstyle01"/>
          <w:rFonts w:asciiTheme="minorEastAsia" w:eastAsiaTheme="minorEastAsia" w:hAnsiTheme="minorEastAsia" w:hint="default"/>
          <w:color w:val="000000" w:themeColor="text1"/>
          <w:sz w:val="24"/>
          <w:szCs w:val="24"/>
        </w:rPr>
        <w:t>的基金产品如下：</w:t>
      </w:r>
    </w:p>
    <w:tbl>
      <w:tblPr>
        <w:tblW w:w="8040" w:type="dxa"/>
        <w:tblInd w:w="-10" w:type="dxa"/>
        <w:tblLook w:val="04A0"/>
      </w:tblPr>
      <w:tblGrid>
        <w:gridCol w:w="1418"/>
        <w:gridCol w:w="6622"/>
      </w:tblGrid>
      <w:tr w:rsidR="00A1437F">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基金代码</w:t>
            </w:r>
          </w:p>
        </w:tc>
        <w:tc>
          <w:tcPr>
            <w:tcW w:w="6622" w:type="dxa"/>
            <w:tcBorders>
              <w:top w:val="single" w:sz="8" w:space="0" w:color="auto"/>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基金名称</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004717</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万家天添宝货币市场基金A类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004718</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万家天添宝货币市场基金B类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004169</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万家现金增利货币市场基金A类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004170</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万家现金增利货币市场基金B类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018614</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万家货币市场证券投资基金D类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519507</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万家货币市场证券投资基金B类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000773</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万家现金宝货币市场证券投资基金A类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004811</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万家现金宝货币市场证券投资基金B类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017818</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万家CFETS0-3年期政策性金融债指数证券投资基金A类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017819</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万家CFETS0-3年期政策性金融债指数证券投资基金C类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015471</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万家鑫橙纯债债券型证券投资基金A类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015472</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万家鑫橙纯债债券型证券投资基金C类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007926</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万家家享中短债债券型证券投资基金C类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016787</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万家家享中短债债券型证券投资基金D类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519199</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万家家享中短债债券型证券投资基金A类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016414</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万家鑫耀纯债债券型证券投资基金A类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016415</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万家鑫耀纯债债券型证券投资基金C类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019684</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万家添利债券型证券投资基金(LOF)A类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161908</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万家添利债券型证券投资基金(LOF)C类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003327</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万家鑫璟纯债债券型证券投资基金A类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003328</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万家鑫璟纯债债券型证券投资基金C类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016928</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万家鑫怡债券型证券投资基金A类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016929</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万家鑫怡债券型证券投资基金C类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020218</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万家锦利债券型发起式证券投资基金A类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020219</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万家锦利债券型发起式证券投资基金C类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018741</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万家集利债券型发起式证券投资基金A类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018742</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万家集利债券型发起式证券投资基金C类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519186</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万家稳健增利债券型证券投资基金A类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519187</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万家稳健增利债券型证券投资基金C类</w:t>
            </w:r>
          </w:p>
        </w:tc>
      </w:tr>
      <w:tr w:rsidR="00A1437F">
        <w:trPr>
          <w:trHeight w:val="300"/>
        </w:trPr>
        <w:tc>
          <w:tcPr>
            <w:tcW w:w="1418" w:type="dxa"/>
            <w:tcBorders>
              <w:top w:val="nil"/>
              <w:left w:val="single" w:sz="8" w:space="0" w:color="auto"/>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024152</w:t>
            </w:r>
          </w:p>
        </w:tc>
        <w:tc>
          <w:tcPr>
            <w:tcW w:w="6622" w:type="dxa"/>
            <w:tcBorders>
              <w:top w:val="nil"/>
              <w:left w:val="nil"/>
              <w:bottom w:val="single" w:sz="8" w:space="0" w:color="auto"/>
              <w:right w:val="single" w:sz="8" w:space="0" w:color="auto"/>
            </w:tcBorders>
            <w:shd w:val="clear" w:color="auto" w:fill="auto"/>
            <w:noWrap/>
            <w:vAlign w:val="center"/>
          </w:tcPr>
          <w:p w:rsidR="00A1437F" w:rsidRDefault="003A4DA8">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万家稳健增利债券型证券投资基金D类</w:t>
            </w:r>
          </w:p>
        </w:tc>
      </w:tr>
    </w:tbl>
    <w:p w:rsidR="00A1437F" w:rsidRDefault="00A1437F">
      <w:pPr>
        <w:adjustRightInd w:val="0"/>
        <w:snapToGrid w:val="0"/>
        <w:spacing w:line="360" w:lineRule="auto"/>
        <w:rPr>
          <w:rFonts w:asciiTheme="minorEastAsia" w:hAnsiTheme="minorEastAsia" w:cs="Arial"/>
          <w:color w:val="000000" w:themeColor="text1"/>
          <w:sz w:val="24"/>
          <w:szCs w:val="24"/>
        </w:rPr>
      </w:pPr>
    </w:p>
    <w:p w:rsidR="00A1437F" w:rsidRDefault="003A4DA8">
      <w:pPr>
        <w:adjustRightInd w:val="0"/>
        <w:snapToGrid w:val="0"/>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自2025年10月24日起，投资者通过国信嘉利基金申购本公司旗下基金的具体折扣费率以该销售机构的活动为准。基金费率请详见基金合同、招募说明书（更新）等法律文件，以及本公司发布的最新业务公告。</w:t>
      </w:r>
      <w:r>
        <w:rPr>
          <w:rFonts w:asciiTheme="minorEastAsia" w:hAnsiTheme="minorEastAsia" w:hint="eastAsia"/>
          <w:color w:val="000000" w:themeColor="text1"/>
          <w:sz w:val="24"/>
          <w:szCs w:val="24"/>
        </w:rPr>
        <w:br/>
      </w:r>
      <w:r>
        <w:rPr>
          <w:rFonts w:asciiTheme="minorEastAsia" w:hAnsiTheme="minorEastAsia" w:cs="Tahoma" w:hint="eastAsia"/>
          <w:color w:val="000000" w:themeColor="text1"/>
          <w:kern w:val="0"/>
          <w:sz w:val="24"/>
          <w:szCs w:val="24"/>
        </w:rPr>
        <w:t xml:space="preserve">  </w:t>
      </w:r>
      <w:r>
        <w:rPr>
          <w:rFonts w:asciiTheme="minorEastAsia" w:hAnsiTheme="minorEastAsia" w:hint="eastAsia"/>
          <w:color w:val="000000" w:themeColor="text1"/>
          <w:sz w:val="24"/>
          <w:szCs w:val="24"/>
        </w:rPr>
        <w:t xml:space="preserve">  费率优惠期限内，如本公司新增通过上述销售机构销售的基金产品，则自该基金产品开放申购当日起，将同时开通该基金上述费率优惠，具体费率以上述销售机构所示公告为准。</w:t>
      </w:r>
    </w:p>
    <w:p w:rsidR="00A1437F" w:rsidRDefault="00A1437F">
      <w:pPr>
        <w:pStyle w:val="Default"/>
        <w:spacing w:line="360" w:lineRule="auto"/>
        <w:jc w:val="both"/>
        <w:rPr>
          <w:rFonts w:asciiTheme="minorEastAsia" w:eastAsiaTheme="minorEastAsia" w:hAnsiTheme="minorEastAsia"/>
          <w:color w:val="000000" w:themeColor="text1"/>
        </w:rPr>
      </w:pP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投资者可以通过以下途径咨询有关详情：</w:t>
      </w:r>
      <w:r>
        <w:rPr>
          <w:rFonts w:asciiTheme="minorEastAsia" w:eastAsiaTheme="minorEastAsia" w:hAnsiTheme="minorEastAsia"/>
          <w:color w:val="000000" w:themeColor="text1"/>
        </w:rPr>
        <w:t xml:space="preserve"> </w:t>
      </w:r>
    </w:p>
    <w:p w:rsidR="00A1437F" w:rsidRDefault="003A4DA8">
      <w:pPr>
        <w:pStyle w:val="ab"/>
        <w:numPr>
          <w:ilvl w:val="0"/>
          <w:numId w:val="1"/>
        </w:numPr>
        <w:autoSpaceDE w:val="0"/>
        <w:autoSpaceDN w:val="0"/>
        <w:adjustRightInd w:val="0"/>
        <w:spacing w:line="360" w:lineRule="auto"/>
        <w:ind w:firstLineChars="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上海国信嘉利基金销售有限公司</w:t>
      </w:r>
    </w:p>
    <w:p w:rsidR="00A1437F" w:rsidRDefault="003A4DA8">
      <w:pPr>
        <w:autoSpaceDE w:val="0"/>
        <w:autoSpaceDN w:val="0"/>
        <w:adjustRightInd w:val="0"/>
        <w:spacing w:line="360" w:lineRule="auto"/>
        <w:ind w:left="420"/>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客服电话：021-68809999</w:t>
      </w:r>
    </w:p>
    <w:p w:rsidR="00A1437F" w:rsidRDefault="003A4DA8">
      <w:pPr>
        <w:autoSpaceDE w:val="0"/>
        <w:autoSpaceDN w:val="0"/>
        <w:adjustRightInd w:val="0"/>
        <w:spacing w:line="360" w:lineRule="auto"/>
        <w:ind w:firstLine="420"/>
        <w:rPr>
          <w:rFonts w:asciiTheme="minorEastAsia" w:hAnsiTheme="minorEastAsia"/>
          <w:color w:val="000000" w:themeColor="text1"/>
          <w:sz w:val="24"/>
          <w:szCs w:val="24"/>
        </w:rPr>
      </w:pPr>
      <w:r>
        <w:rPr>
          <w:rFonts w:asciiTheme="minorEastAsia" w:hAnsiTheme="minorEastAsia" w:cs="宋体"/>
          <w:color w:val="000000" w:themeColor="text1"/>
          <w:kern w:val="0"/>
          <w:sz w:val="24"/>
          <w:szCs w:val="24"/>
        </w:rPr>
        <w:t>网址：https://www.gxjlcn.com/</w:t>
      </w:r>
    </w:p>
    <w:p w:rsidR="00A1437F" w:rsidRDefault="003A4DA8">
      <w:pPr>
        <w:autoSpaceDE w:val="0"/>
        <w:autoSpaceDN w:val="0"/>
        <w:adjustRightInd w:val="0"/>
        <w:spacing w:line="360" w:lineRule="auto"/>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万家基金管理有限公司</w:t>
      </w:r>
    </w:p>
    <w:p w:rsidR="00A1437F" w:rsidRDefault="003A4DA8">
      <w:pPr>
        <w:autoSpaceDE w:val="0"/>
        <w:autoSpaceDN w:val="0"/>
        <w:adjustRightInd w:val="0"/>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客服电话：</w:t>
      </w:r>
      <w:r>
        <w:rPr>
          <w:rFonts w:asciiTheme="minorEastAsia" w:hAnsiTheme="minorEastAsia"/>
          <w:color w:val="000000" w:themeColor="text1"/>
          <w:sz w:val="24"/>
          <w:szCs w:val="24"/>
        </w:rPr>
        <w:t xml:space="preserve"> 400-888-0800</w:t>
      </w:r>
    </w:p>
    <w:p w:rsidR="00A1437F" w:rsidRDefault="003A4DA8">
      <w:pPr>
        <w:autoSpaceDE w:val="0"/>
        <w:autoSpaceDN w:val="0"/>
        <w:adjustRightInd w:val="0"/>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客服传真：</w:t>
      </w:r>
      <w:r>
        <w:rPr>
          <w:rFonts w:asciiTheme="minorEastAsia" w:hAnsiTheme="minorEastAsia"/>
          <w:color w:val="000000" w:themeColor="text1"/>
          <w:sz w:val="24"/>
          <w:szCs w:val="24"/>
        </w:rPr>
        <w:t>021-38909778</w:t>
      </w:r>
    </w:p>
    <w:p w:rsidR="00A1437F" w:rsidRDefault="003A4DA8">
      <w:pPr>
        <w:autoSpaceDE w:val="0"/>
        <w:autoSpaceDN w:val="0"/>
        <w:adjustRightInd w:val="0"/>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网址：</w:t>
      </w:r>
      <w:r>
        <w:rPr>
          <w:rFonts w:asciiTheme="minorEastAsia" w:hAnsiTheme="minorEastAsia"/>
          <w:color w:val="000000" w:themeColor="text1"/>
          <w:sz w:val="24"/>
          <w:szCs w:val="24"/>
        </w:rPr>
        <w:t xml:space="preserve"> www.wjasset.com</w:t>
      </w:r>
    </w:p>
    <w:p w:rsidR="00A1437F" w:rsidRDefault="00A1437F">
      <w:pPr>
        <w:rPr>
          <w:rFonts w:asciiTheme="minorEastAsia" w:hAnsiTheme="minorEastAsia"/>
          <w:color w:val="000000" w:themeColor="text1"/>
          <w:sz w:val="24"/>
          <w:szCs w:val="24"/>
        </w:rPr>
      </w:pPr>
    </w:p>
    <w:p w:rsidR="00A1437F" w:rsidRDefault="003A4DA8">
      <w:pPr>
        <w:pStyle w:val="Default"/>
        <w:spacing w:line="360" w:lineRule="auto"/>
        <w:ind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风险提示：投资者欲了解上述基金详细情况，请参看该基金的《基金合同》和《招募说明书》，基金管理人不承诺基金投资最低收益、也不保证基金投资一定赢利，请投资者在充分考虑风险的情况下谨慎做出投资决策。</w:t>
      </w:r>
      <w:r>
        <w:rPr>
          <w:rFonts w:asciiTheme="minorEastAsia" w:eastAsiaTheme="minorEastAsia" w:hAnsiTheme="minorEastAsia"/>
          <w:color w:val="000000" w:themeColor="text1"/>
        </w:rPr>
        <w:t xml:space="preserve"> </w:t>
      </w:r>
    </w:p>
    <w:p w:rsidR="00A1437F" w:rsidRDefault="00A1437F">
      <w:pPr>
        <w:pStyle w:val="Default"/>
        <w:spacing w:line="360" w:lineRule="auto"/>
        <w:ind w:firstLine="420"/>
        <w:jc w:val="both"/>
        <w:rPr>
          <w:rFonts w:asciiTheme="minorEastAsia" w:eastAsiaTheme="minorEastAsia" w:hAnsiTheme="minorEastAsia"/>
          <w:color w:val="000000" w:themeColor="text1"/>
        </w:rPr>
      </w:pPr>
    </w:p>
    <w:p w:rsidR="00A1437F" w:rsidRDefault="003A4DA8">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特此公告。</w:t>
      </w:r>
      <w:r>
        <w:rPr>
          <w:rFonts w:asciiTheme="minorEastAsia" w:eastAsiaTheme="minorEastAsia" w:hAnsiTheme="minorEastAsia"/>
          <w:color w:val="000000" w:themeColor="text1"/>
        </w:rPr>
        <w:t xml:space="preserve"> </w:t>
      </w:r>
    </w:p>
    <w:p w:rsidR="00A1437F" w:rsidRDefault="00A1437F">
      <w:pPr>
        <w:pStyle w:val="Default"/>
        <w:spacing w:line="360" w:lineRule="auto"/>
        <w:jc w:val="both"/>
        <w:rPr>
          <w:rFonts w:asciiTheme="minorEastAsia" w:eastAsiaTheme="minorEastAsia" w:hAnsiTheme="minorEastAsia"/>
          <w:color w:val="000000" w:themeColor="text1"/>
        </w:rPr>
      </w:pPr>
    </w:p>
    <w:p w:rsidR="00A1437F" w:rsidRDefault="003A4DA8">
      <w:pPr>
        <w:pStyle w:val="Default"/>
        <w:spacing w:line="360" w:lineRule="auto"/>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万家基金管理有限公司</w:t>
      </w:r>
    </w:p>
    <w:p w:rsidR="00A1437F" w:rsidRDefault="003A4DA8">
      <w:pPr>
        <w:pStyle w:val="Default"/>
        <w:spacing w:line="360" w:lineRule="auto"/>
        <w:ind w:right="42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202</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年10月23日</w:t>
      </w:r>
    </w:p>
    <w:sectPr w:rsidR="00A1437F" w:rsidSect="00B207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altName w:val="Verdana"/>
    <w:panose1 w:val="020B0604030504040204"/>
    <w:charset w:val="00"/>
    <w:family w:val="swiss"/>
    <w:pitch w:val="default"/>
    <w:sig w:usb0="00000000" w:usb1="00000000" w:usb2="00000029" w:usb3="00000000" w:csb0="200101FF" w:csb1="2028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170D7"/>
    <w:multiLevelType w:val="multilevel"/>
    <w:tmpl w:val="0DB170D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2A95"/>
    <w:rsid w:val="00004F8F"/>
    <w:rsid w:val="00025211"/>
    <w:rsid w:val="00035172"/>
    <w:rsid w:val="00066170"/>
    <w:rsid w:val="00085DF7"/>
    <w:rsid w:val="0009406C"/>
    <w:rsid w:val="000C4E27"/>
    <w:rsid w:val="000C5555"/>
    <w:rsid w:val="00112F8A"/>
    <w:rsid w:val="001234D3"/>
    <w:rsid w:val="00136341"/>
    <w:rsid w:val="001A0E3F"/>
    <w:rsid w:val="001A2209"/>
    <w:rsid w:val="001D62A1"/>
    <w:rsid w:val="00202004"/>
    <w:rsid w:val="00215A96"/>
    <w:rsid w:val="0022004A"/>
    <w:rsid w:val="00221DD5"/>
    <w:rsid w:val="00252804"/>
    <w:rsid w:val="00272A95"/>
    <w:rsid w:val="002756F6"/>
    <w:rsid w:val="002767C0"/>
    <w:rsid w:val="002A305D"/>
    <w:rsid w:val="002A3D4B"/>
    <w:rsid w:val="002D5A60"/>
    <w:rsid w:val="003365DD"/>
    <w:rsid w:val="003608E2"/>
    <w:rsid w:val="00372C41"/>
    <w:rsid w:val="0038664D"/>
    <w:rsid w:val="003A4DA8"/>
    <w:rsid w:val="003B3466"/>
    <w:rsid w:val="003B5CDD"/>
    <w:rsid w:val="003D1348"/>
    <w:rsid w:val="003E348F"/>
    <w:rsid w:val="003F1F99"/>
    <w:rsid w:val="00474D6C"/>
    <w:rsid w:val="004E493F"/>
    <w:rsid w:val="005123A8"/>
    <w:rsid w:val="005572AE"/>
    <w:rsid w:val="0058534C"/>
    <w:rsid w:val="0058779A"/>
    <w:rsid w:val="005A5016"/>
    <w:rsid w:val="005D1F2B"/>
    <w:rsid w:val="005D6777"/>
    <w:rsid w:val="00631C72"/>
    <w:rsid w:val="00636551"/>
    <w:rsid w:val="006935F0"/>
    <w:rsid w:val="006A6205"/>
    <w:rsid w:val="00737520"/>
    <w:rsid w:val="00783BF9"/>
    <w:rsid w:val="007B1A1E"/>
    <w:rsid w:val="007B35EA"/>
    <w:rsid w:val="007C0584"/>
    <w:rsid w:val="007C14CD"/>
    <w:rsid w:val="007C277E"/>
    <w:rsid w:val="007C5F80"/>
    <w:rsid w:val="007D5993"/>
    <w:rsid w:val="007E301A"/>
    <w:rsid w:val="00801662"/>
    <w:rsid w:val="00833D49"/>
    <w:rsid w:val="00843A33"/>
    <w:rsid w:val="00867CFA"/>
    <w:rsid w:val="008B04B9"/>
    <w:rsid w:val="0094211E"/>
    <w:rsid w:val="009631D3"/>
    <w:rsid w:val="009E1D3B"/>
    <w:rsid w:val="009E514A"/>
    <w:rsid w:val="00A138A4"/>
    <w:rsid w:val="00A1437F"/>
    <w:rsid w:val="00A305CB"/>
    <w:rsid w:val="00A351DF"/>
    <w:rsid w:val="00A45008"/>
    <w:rsid w:val="00A5194E"/>
    <w:rsid w:val="00A82706"/>
    <w:rsid w:val="00AA5FD1"/>
    <w:rsid w:val="00B00FA0"/>
    <w:rsid w:val="00B2074F"/>
    <w:rsid w:val="00B33BC7"/>
    <w:rsid w:val="00BA3B5E"/>
    <w:rsid w:val="00BA4B03"/>
    <w:rsid w:val="00BB2F1A"/>
    <w:rsid w:val="00BB472C"/>
    <w:rsid w:val="00BD385A"/>
    <w:rsid w:val="00BE05AF"/>
    <w:rsid w:val="00C033BA"/>
    <w:rsid w:val="00C24B99"/>
    <w:rsid w:val="00C458BE"/>
    <w:rsid w:val="00C57955"/>
    <w:rsid w:val="00C61780"/>
    <w:rsid w:val="00C72481"/>
    <w:rsid w:val="00CA5C3D"/>
    <w:rsid w:val="00CB0D0D"/>
    <w:rsid w:val="00CC1BEA"/>
    <w:rsid w:val="00D71AEB"/>
    <w:rsid w:val="00D94864"/>
    <w:rsid w:val="00DA1DC3"/>
    <w:rsid w:val="00DA3CD6"/>
    <w:rsid w:val="00DB4D84"/>
    <w:rsid w:val="00DE3D36"/>
    <w:rsid w:val="00DE4511"/>
    <w:rsid w:val="00E82B22"/>
    <w:rsid w:val="00EA4EF3"/>
    <w:rsid w:val="00EC071C"/>
    <w:rsid w:val="00EC745D"/>
    <w:rsid w:val="00EF642D"/>
    <w:rsid w:val="00F022E1"/>
    <w:rsid w:val="00F147E4"/>
    <w:rsid w:val="00F15EE6"/>
    <w:rsid w:val="00F235E1"/>
    <w:rsid w:val="00F65E66"/>
    <w:rsid w:val="00F832E0"/>
    <w:rsid w:val="00FB19C7"/>
    <w:rsid w:val="00FC5CCC"/>
    <w:rsid w:val="5CAA0BA3"/>
    <w:rsid w:val="75FE026B"/>
    <w:rsid w:val="7B91727A"/>
    <w:rsid w:val="7DDFC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74F"/>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2074F"/>
    <w:pPr>
      <w:jc w:val="left"/>
    </w:pPr>
  </w:style>
  <w:style w:type="paragraph" w:styleId="a4">
    <w:name w:val="Balloon Text"/>
    <w:basedOn w:val="a"/>
    <w:link w:val="Char0"/>
    <w:uiPriority w:val="99"/>
    <w:semiHidden/>
    <w:unhideWhenUsed/>
    <w:qFormat/>
    <w:rsid w:val="00B2074F"/>
    <w:rPr>
      <w:sz w:val="18"/>
      <w:szCs w:val="18"/>
    </w:rPr>
  </w:style>
  <w:style w:type="paragraph" w:styleId="a5">
    <w:name w:val="footer"/>
    <w:basedOn w:val="a"/>
    <w:link w:val="Char1"/>
    <w:uiPriority w:val="99"/>
    <w:unhideWhenUsed/>
    <w:qFormat/>
    <w:rsid w:val="00B2074F"/>
    <w:pPr>
      <w:tabs>
        <w:tab w:val="center" w:pos="4153"/>
        <w:tab w:val="right" w:pos="8306"/>
      </w:tabs>
      <w:snapToGrid w:val="0"/>
      <w:jc w:val="left"/>
    </w:pPr>
    <w:rPr>
      <w:sz w:val="18"/>
      <w:szCs w:val="18"/>
    </w:rPr>
  </w:style>
  <w:style w:type="paragraph" w:styleId="a6">
    <w:name w:val="header"/>
    <w:basedOn w:val="a"/>
    <w:link w:val="Char2"/>
    <w:uiPriority w:val="99"/>
    <w:unhideWhenUsed/>
    <w:rsid w:val="00B2074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B2074F"/>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B2074F"/>
    <w:rPr>
      <w:b/>
      <w:bCs/>
    </w:rPr>
  </w:style>
  <w:style w:type="character" w:styleId="a9">
    <w:name w:val="Hyperlink"/>
    <w:basedOn w:val="a0"/>
    <w:uiPriority w:val="99"/>
    <w:unhideWhenUsed/>
    <w:qFormat/>
    <w:rsid w:val="00B2074F"/>
    <w:rPr>
      <w:color w:val="0000FF"/>
      <w:u w:val="single"/>
    </w:rPr>
  </w:style>
  <w:style w:type="character" w:styleId="aa">
    <w:name w:val="annotation reference"/>
    <w:basedOn w:val="a0"/>
    <w:uiPriority w:val="99"/>
    <w:semiHidden/>
    <w:unhideWhenUsed/>
    <w:qFormat/>
    <w:rsid w:val="00B2074F"/>
    <w:rPr>
      <w:sz w:val="21"/>
      <w:szCs w:val="21"/>
    </w:rPr>
  </w:style>
  <w:style w:type="paragraph" w:customStyle="1" w:styleId="Default">
    <w:name w:val="Default"/>
    <w:rsid w:val="00B2074F"/>
    <w:pPr>
      <w:widowControl w:val="0"/>
      <w:autoSpaceDE w:val="0"/>
      <w:autoSpaceDN w:val="0"/>
      <w:adjustRightInd w:val="0"/>
    </w:pPr>
    <w:rPr>
      <w:rFonts w:ascii="宋体" w:eastAsia="宋体" w:hAnsiTheme="minorHAnsi" w:cs="宋体"/>
      <w:color w:val="000000"/>
      <w:sz w:val="24"/>
      <w:szCs w:val="24"/>
    </w:rPr>
  </w:style>
  <w:style w:type="character" w:customStyle="1" w:styleId="Char2">
    <w:name w:val="页眉 Char"/>
    <w:basedOn w:val="a0"/>
    <w:link w:val="a6"/>
    <w:uiPriority w:val="99"/>
    <w:rsid w:val="00B2074F"/>
    <w:rPr>
      <w:sz w:val="18"/>
      <w:szCs w:val="18"/>
    </w:rPr>
  </w:style>
  <w:style w:type="character" w:customStyle="1" w:styleId="Char1">
    <w:name w:val="页脚 Char"/>
    <w:basedOn w:val="a0"/>
    <w:link w:val="a5"/>
    <w:uiPriority w:val="99"/>
    <w:rsid w:val="00B2074F"/>
    <w:rPr>
      <w:sz w:val="18"/>
      <w:szCs w:val="18"/>
    </w:rPr>
  </w:style>
  <w:style w:type="paragraph" w:styleId="ab">
    <w:name w:val="List Paragraph"/>
    <w:basedOn w:val="a"/>
    <w:uiPriority w:val="34"/>
    <w:qFormat/>
    <w:rsid w:val="00B2074F"/>
    <w:pPr>
      <w:ind w:firstLineChars="200" w:firstLine="420"/>
    </w:pPr>
  </w:style>
  <w:style w:type="character" w:customStyle="1" w:styleId="fontstyle01">
    <w:name w:val="fontstyle01"/>
    <w:basedOn w:val="a0"/>
    <w:qFormat/>
    <w:rsid w:val="00B2074F"/>
    <w:rPr>
      <w:rFonts w:ascii="宋体" w:eastAsia="宋体" w:hAnsi="宋体" w:hint="eastAsia"/>
      <w:color w:val="000000"/>
      <w:sz w:val="22"/>
      <w:szCs w:val="22"/>
    </w:rPr>
  </w:style>
  <w:style w:type="character" w:customStyle="1" w:styleId="fontstyle11">
    <w:name w:val="fontstyle11"/>
    <w:basedOn w:val="a0"/>
    <w:qFormat/>
    <w:rsid w:val="00B2074F"/>
    <w:rPr>
      <w:rFonts w:ascii="Calibri" w:hAnsi="Calibri" w:cs="Calibri" w:hint="default"/>
      <w:color w:val="000000"/>
      <w:sz w:val="22"/>
      <w:szCs w:val="22"/>
    </w:rPr>
  </w:style>
  <w:style w:type="character" w:customStyle="1" w:styleId="Char0">
    <w:name w:val="批注框文本 Char"/>
    <w:basedOn w:val="a0"/>
    <w:link w:val="a4"/>
    <w:uiPriority w:val="99"/>
    <w:semiHidden/>
    <w:qFormat/>
    <w:rsid w:val="00B2074F"/>
    <w:rPr>
      <w:sz w:val="18"/>
      <w:szCs w:val="18"/>
    </w:rPr>
  </w:style>
  <w:style w:type="character" w:customStyle="1" w:styleId="Char">
    <w:name w:val="批注文字 Char"/>
    <w:basedOn w:val="a0"/>
    <w:link w:val="a3"/>
    <w:uiPriority w:val="99"/>
    <w:semiHidden/>
    <w:rsid w:val="00B2074F"/>
  </w:style>
  <w:style w:type="character" w:customStyle="1" w:styleId="Char3">
    <w:name w:val="批注主题 Char"/>
    <w:basedOn w:val="Char"/>
    <w:link w:val="a8"/>
    <w:uiPriority w:val="99"/>
    <w:semiHidden/>
    <w:rsid w:val="00B2074F"/>
    <w:rPr>
      <w:b/>
      <w:bCs/>
    </w:rPr>
  </w:style>
  <w:style w:type="paragraph" w:customStyle="1" w:styleId="1">
    <w:name w:val="修订1"/>
    <w:hidden/>
    <w:uiPriority w:val="99"/>
    <w:unhideWhenUsed/>
    <w:rsid w:val="00B2074F"/>
    <w:rPr>
      <w:rFonts w:asciiTheme="minorHAnsi"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3743</Characters>
  <Application>Microsoft Office Word</Application>
  <DocSecurity>4</DocSecurity>
  <Lines>31</Lines>
  <Paragraphs>8</Paragraphs>
  <ScaleCrop>false</ScaleCrop>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周楚楚</dc:creator>
  <cp:lastModifiedBy>ZHONGM</cp:lastModifiedBy>
  <cp:revision>2</cp:revision>
  <cp:lastPrinted>2025-03-21T15:42:00Z</cp:lastPrinted>
  <dcterms:created xsi:type="dcterms:W3CDTF">2025-10-22T16:01:00Z</dcterms:created>
  <dcterms:modified xsi:type="dcterms:W3CDTF">2025-10-22T16:01:00Z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eyJoZGlkIjoiZTY5OTI2ZWRmN2E3Y2Q2NTYwYmQ4YjAwMjVhNTczN2YiLCJ1c2VySWQiOiIyNzMwNjYxMDgifQ==</vt:lpwstr>
  </property>
  <property fmtid="{D5CDD505-2E9C-101B-9397-08002B2CF9AE}" pid="3" name="KSOProductBuildVer">
    <vt:lpwstr>2052-0.0.0.0</vt:lpwstr>
  </property>
  <property fmtid="{D5CDD505-2E9C-101B-9397-08002B2CF9AE}" pid="4" name="ICV">
    <vt:lpwstr>436588625045D818F0FDF668EFE1F138_43</vt:lpwstr>
  </property>
</Properties>
</file>