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17" w:rsidRPr="00DA353C" w:rsidRDefault="00DA353C" w:rsidP="00A33C41">
      <w:pPr>
        <w:jc w:val="center"/>
        <w:rPr>
          <w:rFonts w:ascii="宋体" w:eastAsia="宋体" w:hAnsi="宋体" w:cs="Times New Roman"/>
          <w:b/>
          <w:sz w:val="32"/>
          <w:szCs w:val="20"/>
        </w:rPr>
      </w:pPr>
      <w:r w:rsidRPr="00DA353C">
        <w:rPr>
          <w:rFonts w:ascii="宋体" w:eastAsia="宋体" w:hAnsi="宋体" w:cs="Times New Roman" w:hint="eastAsia"/>
          <w:b/>
          <w:sz w:val="32"/>
          <w:szCs w:val="20"/>
        </w:rPr>
        <w:t>关于</w:t>
      </w:r>
      <w:r w:rsidR="00A33C41" w:rsidRPr="00A33C41">
        <w:rPr>
          <w:rFonts w:ascii="宋体" w:eastAsia="宋体" w:hAnsi="宋体" w:cs="Times New Roman" w:hint="eastAsia"/>
          <w:b/>
          <w:sz w:val="32"/>
          <w:szCs w:val="20"/>
        </w:rPr>
        <w:t>浦银安盛普旭3个月定期开放债券型证券投资基金</w:t>
      </w:r>
      <w:r w:rsidRPr="00DA353C">
        <w:rPr>
          <w:rFonts w:ascii="宋体" w:eastAsia="宋体" w:hAnsi="宋体" w:cs="Times New Roman" w:hint="eastAsia"/>
          <w:b/>
          <w:sz w:val="32"/>
          <w:szCs w:val="20"/>
        </w:rPr>
        <w:t>提前结束开放期并进入下一封闭期的公告</w:t>
      </w:r>
    </w:p>
    <w:p w:rsidR="00DA353C" w:rsidRDefault="00DA353C" w:rsidP="00DA353C">
      <w:pPr>
        <w:spacing w:line="360" w:lineRule="auto"/>
      </w:pPr>
    </w:p>
    <w:p w:rsidR="00DA353C" w:rsidRDefault="00DA353C" w:rsidP="002B4266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根据</w:t>
      </w:r>
      <w:r w:rsidR="002B4266" w:rsidRPr="002B4266">
        <w:rPr>
          <w:rFonts w:ascii="宋体" w:eastAsia="宋体" w:hAnsi="宋体" w:cs="Times New Roman" w:hint="eastAsia"/>
          <w:color w:val="000000"/>
          <w:szCs w:val="21"/>
        </w:rPr>
        <w:t>《中华人民共和国证券投资基金法》、《公开募集证券投资基金运作管理办法》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以及《</w:t>
      </w:r>
      <w:r w:rsidR="00A33C41" w:rsidRPr="00A33C41">
        <w:rPr>
          <w:rFonts w:ascii="宋体" w:eastAsia="宋体" w:hAnsi="宋体" w:cs="Times New Roman" w:hint="eastAsia"/>
          <w:color w:val="000000"/>
          <w:szCs w:val="21"/>
        </w:rPr>
        <w:t>浦银安盛普旭3个月定期开放债券型证券投资基金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基金合同》</w:t>
      </w:r>
      <w:r w:rsidR="002B4266">
        <w:rPr>
          <w:rFonts w:ascii="宋体" w:eastAsia="宋体" w:hAnsi="宋体" w:cs="Times New Roman" w:hint="eastAsia"/>
          <w:color w:val="000000"/>
          <w:szCs w:val="21"/>
        </w:rPr>
        <w:t>（以下简称“</w:t>
      </w:r>
      <w:r w:rsidR="001B2661" w:rsidRPr="001B2661">
        <w:rPr>
          <w:rFonts w:ascii="宋体" w:eastAsia="宋体" w:hAnsi="宋体" w:cs="Times New Roman" w:hint="eastAsia"/>
          <w:color w:val="000000"/>
          <w:szCs w:val="21"/>
        </w:rPr>
        <w:t>基金合同”）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、《</w:t>
      </w:r>
      <w:r w:rsidR="00A33C41" w:rsidRPr="00A33C41">
        <w:rPr>
          <w:rFonts w:ascii="宋体" w:eastAsia="宋体" w:hAnsi="宋体" w:cs="Times New Roman" w:hint="eastAsia"/>
          <w:color w:val="000000"/>
          <w:szCs w:val="21"/>
        </w:rPr>
        <w:t>浦银安盛普旭3个月定期开放债券型证券投资基金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招募说明书》</w:t>
      </w:r>
      <w:r w:rsidR="002B4266">
        <w:rPr>
          <w:rFonts w:ascii="宋体" w:eastAsia="宋体" w:hAnsi="宋体" w:cs="Times New Roman" w:hint="eastAsia"/>
          <w:color w:val="000000"/>
          <w:szCs w:val="21"/>
        </w:rPr>
        <w:t>（以下简称“</w:t>
      </w:r>
      <w:r w:rsidR="001B2661" w:rsidRPr="00DA353C">
        <w:rPr>
          <w:rFonts w:ascii="宋体" w:eastAsia="宋体" w:hAnsi="宋体" w:cs="Times New Roman" w:hint="eastAsia"/>
          <w:color w:val="000000"/>
          <w:szCs w:val="21"/>
        </w:rPr>
        <w:t>招募说明书</w:t>
      </w:r>
      <w:r w:rsidR="001B2661" w:rsidRPr="001B2661">
        <w:rPr>
          <w:rFonts w:ascii="宋体" w:eastAsia="宋体" w:hAnsi="宋体" w:cs="Times New Roman" w:hint="eastAsia"/>
          <w:color w:val="000000"/>
          <w:szCs w:val="21"/>
        </w:rPr>
        <w:t>”）</w:t>
      </w:r>
      <w:r w:rsidR="001B2661">
        <w:rPr>
          <w:rFonts w:ascii="宋体" w:eastAsia="宋体" w:hAnsi="宋体" w:cs="Times New Roman" w:hint="eastAsia"/>
          <w:color w:val="000000"/>
          <w:szCs w:val="21"/>
        </w:rPr>
        <w:t>等法律文件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的有关规定，以及</w:t>
      </w:r>
      <w:r w:rsidR="002B4266" w:rsidRPr="002B4266">
        <w:rPr>
          <w:rFonts w:ascii="宋体" w:eastAsia="宋体" w:hAnsi="宋体" w:cs="Times New Roman" w:hint="eastAsia"/>
          <w:color w:val="000000"/>
          <w:szCs w:val="21"/>
        </w:rPr>
        <w:t>2025年10月10日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发布的《</w:t>
      </w:r>
      <w:r w:rsidR="002B4266" w:rsidRPr="002B4266">
        <w:rPr>
          <w:rFonts w:ascii="宋体" w:eastAsia="宋体" w:hAnsi="宋体" w:cs="Times New Roman" w:hint="eastAsia"/>
          <w:color w:val="000000"/>
          <w:szCs w:val="21"/>
        </w:rPr>
        <w:t>浦银安盛普旭3个月定期开放债券型证券投资基金2025年度第三次开放日常申购、赎回、转换及定期定额投资业务的公告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》，</w:t>
      </w:r>
      <w:r w:rsidR="00217775" w:rsidRPr="00217775">
        <w:rPr>
          <w:rFonts w:ascii="宋体" w:eastAsia="宋体" w:hAnsi="宋体" w:cs="Times New Roman" w:hint="eastAsia"/>
          <w:color w:val="000000"/>
          <w:szCs w:val="21"/>
        </w:rPr>
        <w:t>浦银安盛普旭3个月定期开放债券型证券投资基金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（以下简称“本基金”；基金简称：</w:t>
      </w:r>
      <w:r w:rsidR="00217775" w:rsidRPr="00217775">
        <w:rPr>
          <w:rFonts w:ascii="宋体" w:eastAsia="宋体" w:hAnsi="宋体" w:cs="Times New Roman" w:hint="eastAsia"/>
          <w:color w:val="000000"/>
          <w:szCs w:val="21"/>
        </w:rPr>
        <w:t>浦银安盛普旭3个月定开债券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；基金代码</w:t>
      </w:r>
      <w:r w:rsidR="004441C6">
        <w:rPr>
          <w:rFonts w:ascii="宋体" w:eastAsia="宋体" w:hAnsi="宋体" w:cs="Times New Roman" w:hint="eastAsia"/>
          <w:color w:val="000000"/>
          <w:szCs w:val="21"/>
        </w:rPr>
        <w:t>：</w:t>
      </w:r>
      <w:r w:rsidR="00217775">
        <w:rPr>
          <w:rFonts w:ascii="宋体" w:eastAsia="宋体" w:hAnsi="宋体" w:cs="Times New Roman" w:hint="eastAsia"/>
          <w:color w:val="000000"/>
          <w:szCs w:val="21"/>
        </w:rPr>
        <w:t>017671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）本次开放期原定为</w:t>
      </w:r>
      <w:r w:rsidR="002B4266" w:rsidRPr="002B4266">
        <w:rPr>
          <w:rFonts w:ascii="宋体" w:eastAsia="宋体" w:hAnsi="宋体" w:cs="Times New Roman" w:hint="eastAsia"/>
          <w:color w:val="000000"/>
          <w:szCs w:val="21"/>
        </w:rPr>
        <w:t>2025年10月13日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（含该日）至</w:t>
      </w:r>
      <w:r w:rsidR="002B4266" w:rsidRPr="002B4266">
        <w:rPr>
          <w:rFonts w:ascii="宋体" w:eastAsia="宋体" w:hAnsi="宋体" w:cs="Times New Roman" w:hint="eastAsia"/>
          <w:color w:val="000000"/>
          <w:szCs w:val="21"/>
        </w:rPr>
        <w:t>2025年11月7日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（含该日），在开放期内的每个工作日接受办理本基金份额的申购、赎回</w:t>
      </w:r>
      <w:r w:rsidR="00FA0316" w:rsidRPr="00FA0316">
        <w:rPr>
          <w:rFonts w:ascii="宋体" w:eastAsia="宋体" w:hAnsi="宋体" w:cs="Times New Roman" w:hint="eastAsia"/>
          <w:color w:val="000000"/>
          <w:szCs w:val="21"/>
        </w:rPr>
        <w:t>、转换及定期定额投资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业务。</w:t>
      </w:r>
    </w:p>
    <w:p w:rsid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为维护基金份额持有人的利益，做好本基金的投资管理和风险控制工作，根据本基金</w:t>
      </w:r>
      <w:r w:rsidR="001B2661" w:rsidRPr="001B2661">
        <w:rPr>
          <w:rFonts w:ascii="宋体" w:eastAsia="宋体" w:hAnsi="宋体" w:cs="Times New Roman" w:hint="eastAsia"/>
          <w:color w:val="000000"/>
          <w:szCs w:val="21"/>
        </w:rPr>
        <w:t>《基金合同》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及</w:t>
      </w:r>
      <w:r w:rsidR="001B2661" w:rsidRPr="001B2661">
        <w:rPr>
          <w:rFonts w:ascii="宋体" w:eastAsia="宋体" w:hAnsi="宋体" w:cs="Times New Roman" w:hint="eastAsia"/>
          <w:color w:val="000000"/>
          <w:szCs w:val="21"/>
        </w:rPr>
        <w:t>《招募说明书》</w:t>
      </w:r>
      <w:r w:rsidR="00FA0316">
        <w:rPr>
          <w:rFonts w:ascii="宋体" w:eastAsia="宋体" w:hAnsi="宋体" w:cs="Times New Roman" w:hint="eastAsia"/>
          <w:color w:val="000000"/>
          <w:szCs w:val="21"/>
        </w:rPr>
        <w:t>（含更新）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等规定，本公司决定提前结束本基金本次开放期，即决定将</w:t>
      </w:r>
      <w:r w:rsidR="00A33C41">
        <w:rPr>
          <w:rFonts w:ascii="宋体" w:eastAsia="宋体" w:hAnsi="宋体" w:cs="Times New Roman" w:hint="eastAsia"/>
          <w:color w:val="000000"/>
          <w:szCs w:val="21"/>
        </w:rPr>
        <w:t>202</w:t>
      </w:r>
      <w:r w:rsidR="002B4266">
        <w:rPr>
          <w:rFonts w:ascii="宋体" w:eastAsia="宋体" w:hAnsi="宋体" w:cs="Times New Roman"/>
          <w:color w:val="000000"/>
          <w:szCs w:val="21"/>
        </w:rPr>
        <w:t>5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年</w:t>
      </w:r>
      <w:r w:rsidR="002B4266">
        <w:rPr>
          <w:rFonts w:ascii="宋体" w:eastAsia="宋体" w:hAnsi="宋体" w:cs="Times New Roman"/>
          <w:color w:val="000000"/>
          <w:szCs w:val="21"/>
        </w:rPr>
        <w:t>10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月</w:t>
      </w:r>
      <w:r w:rsidR="002B4266">
        <w:rPr>
          <w:rFonts w:ascii="宋体" w:eastAsia="宋体" w:hAnsi="宋体" w:cs="Times New Roman"/>
          <w:color w:val="000000"/>
          <w:szCs w:val="21"/>
        </w:rPr>
        <w:t>23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日（含当日）定为本基金本次开放期最后一日，本基金自</w:t>
      </w:r>
      <w:r w:rsidR="00A33C41">
        <w:rPr>
          <w:rFonts w:ascii="宋体" w:eastAsia="宋体" w:hAnsi="宋体" w:cs="Times New Roman" w:hint="eastAsia"/>
          <w:color w:val="000000"/>
          <w:szCs w:val="21"/>
        </w:rPr>
        <w:t>202</w:t>
      </w:r>
      <w:r w:rsidR="002B4266">
        <w:rPr>
          <w:rFonts w:ascii="宋体" w:eastAsia="宋体" w:hAnsi="宋体" w:cs="Times New Roman"/>
          <w:color w:val="000000"/>
          <w:szCs w:val="21"/>
        </w:rPr>
        <w:t>5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年</w:t>
      </w:r>
      <w:r w:rsidR="002B4266">
        <w:rPr>
          <w:rFonts w:ascii="宋体" w:eastAsia="宋体" w:hAnsi="宋体" w:cs="Times New Roman"/>
          <w:color w:val="000000"/>
          <w:szCs w:val="21"/>
        </w:rPr>
        <w:t>10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月</w:t>
      </w:r>
      <w:r w:rsidR="002B4266">
        <w:rPr>
          <w:rFonts w:ascii="宋体" w:eastAsia="宋体" w:hAnsi="宋体" w:cs="Times New Roman"/>
          <w:color w:val="000000"/>
          <w:szCs w:val="21"/>
        </w:rPr>
        <w:t>24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日起进入下一个封闭期。本基金在封闭期内不办理申购、赎回</w:t>
      </w:r>
      <w:r w:rsidR="00FA0316">
        <w:rPr>
          <w:rFonts w:ascii="宋体" w:eastAsia="宋体" w:hAnsi="宋体" w:cs="Times New Roman" w:hint="eastAsia"/>
          <w:color w:val="000000"/>
          <w:szCs w:val="21"/>
        </w:rPr>
        <w:t>、转换及定期定额投资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业务。</w:t>
      </w:r>
    </w:p>
    <w:p w:rsidR="00DA353C" w:rsidRP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重要提示：</w:t>
      </w:r>
    </w:p>
    <w:p w:rsidR="00DA353C" w:rsidRDefault="00DA353C" w:rsidP="00A33C41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（1）除本次开放期时间变化外，本基金其余申购、赎回</w:t>
      </w:r>
      <w:r w:rsidR="00FA0316">
        <w:rPr>
          <w:rFonts w:ascii="宋体" w:eastAsia="宋体" w:hAnsi="宋体" w:cs="Times New Roman" w:hint="eastAsia"/>
          <w:color w:val="000000"/>
          <w:szCs w:val="21"/>
        </w:rPr>
        <w:t>、转换及定期定额投资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业务办理事项未发生变化，投资者在本次开放期内办理本基金申购、赎回</w:t>
      </w:r>
      <w:r w:rsidR="00FA0316">
        <w:rPr>
          <w:rFonts w:ascii="宋体" w:eastAsia="宋体" w:hAnsi="宋体" w:cs="Times New Roman" w:hint="eastAsia"/>
          <w:color w:val="000000"/>
          <w:szCs w:val="21"/>
        </w:rPr>
        <w:t>、转换及定期定额投资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业务的具体事宜请遵循本公司于</w:t>
      </w:r>
      <w:r w:rsidR="002B4266" w:rsidRPr="002B4266">
        <w:rPr>
          <w:rFonts w:ascii="宋体" w:eastAsia="宋体" w:hAnsi="宋体" w:cs="Times New Roman" w:hint="eastAsia"/>
          <w:color w:val="000000"/>
          <w:szCs w:val="21"/>
        </w:rPr>
        <w:t>2025年10月10日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发布的《</w:t>
      </w:r>
      <w:r w:rsidR="002B4266" w:rsidRPr="002B4266">
        <w:rPr>
          <w:rFonts w:ascii="宋体" w:eastAsia="宋体" w:hAnsi="宋体" w:cs="Times New Roman" w:hint="eastAsia"/>
          <w:color w:val="000000"/>
          <w:szCs w:val="21"/>
        </w:rPr>
        <w:t>浦银安盛普旭3个月定期开放债券型证券投资基金2025年度第三次开放日常申购、赎回、转换及定期定额投资业务的公告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》以及本基金的</w:t>
      </w:r>
      <w:r w:rsidR="001B2661" w:rsidRPr="00DA353C">
        <w:rPr>
          <w:rFonts w:ascii="宋体" w:eastAsia="宋体" w:hAnsi="宋体" w:cs="Times New Roman" w:hint="eastAsia"/>
          <w:color w:val="000000"/>
          <w:szCs w:val="21"/>
        </w:rPr>
        <w:t>招募说明书</w:t>
      </w:r>
      <w:r w:rsidR="00FA0316">
        <w:rPr>
          <w:rFonts w:ascii="宋体" w:eastAsia="宋体" w:hAnsi="宋体" w:cs="Times New Roman" w:hint="eastAsia"/>
          <w:color w:val="000000"/>
          <w:szCs w:val="21"/>
        </w:rPr>
        <w:t>（含更新）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。</w:t>
      </w:r>
    </w:p>
    <w:p w:rsidR="00DA353C" w:rsidRPr="00DA353C" w:rsidRDefault="00DA353C" w:rsidP="00A33C41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（2）</w:t>
      </w:r>
      <w:r w:rsidR="002B4266">
        <w:rPr>
          <w:rFonts w:ascii="宋体" w:eastAsia="宋体" w:hAnsi="宋体" w:cs="Times New Roman" w:hint="eastAsia"/>
          <w:color w:val="000000"/>
          <w:szCs w:val="21"/>
        </w:rPr>
        <w:t>本基金的封闭期为自基金合同</w:t>
      </w:r>
      <w:r w:rsidR="000E3B80" w:rsidRPr="000E3B80">
        <w:rPr>
          <w:rFonts w:ascii="宋体" w:eastAsia="宋体" w:hAnsi="宋体" w:cs="Times New Roman" w:hint="eastAsia"/>
          <w:color w:val="000000"/>
          <w:szCs w:val="21"/>
        </w:rPr>
        <w:t>生效之日（包括该日）起或自每一开放期结束之日次日起（包括该日）3个月的期间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。</w:t>
      </w:r>
      <w:r w:rsidR="000E3B80" w:rsidRPr="000E3B80">
        <w:rPr>
          <w:rFonts w:ascii="宋体" w:eastAsia="宋体" w:hAnsi="宋体" w:cs="Times New Roman" w:hint="eastAsia"/>
          <w:color w:val="000000"/>
          <w:szCs w:val="21"/>
        </w:rPr>
        <w:t>本基金办理申购与赎回</w:t>
      </w:r>
      <w:r w:rsidR="00FA0316" w:rsidRPr="00FA0316">
        <w:rPr>
          <w:rFonts w:ascii="宋体" w:eastAsia="宋体" w:hAnsi="宋体" w:cs="Times New Roman" w:hint="eastAsia"/>
          <w:color w:val="000000"/>
          <w:szCs w:val="21"/>
        </w:rPr>
        <w:t>、转换及定期定额投资</w:t>
      </w:r>
      <w:r w:rsidR="000E3B80" w:rsidRPr="000E3B80">
        <w:rPr>
          <w:rFonts w:ascii="宋体" w:eastAsia="宋体" w:hAnsi="宋体" w:cs="Times New Roman" w:hint="eastAsia"/>
          <w:color w:val="000000"/>
          <w:szCs w:val="21"/>
        </w:rPr>
        <w:t>业务的开放期为本基金每个封闭期结束之后第一个工作日（包括该日）起不少于1个工作日且不超过</w:t>
      </w:r>
      <w:r w:rsidR="00A33C41">
        <w:rPr>
          <w:rFonts w:ascii="宋体" w:eastAsia="宋体" w:hAnsi="宋体" w:cs="Times New Roman" w:hint="eastAsia"/>
          <w:color w:val="000000"/>
          <w:szCs w:val="21"/>
        </w:rPr>
        <w:t>2</w:t>
      </w:r>
      <w:r w:rsidR="002A1CA4">
        <w:rPr>
          <w:rFonts w:ascii="宋体" w:eastAsia="宋体" w:hAnsi="宋体" w:cs="Times New Roman" w:hint="eastAsia"/>
          <w:color w:val="000000"/>
          <w:szCs w:val="21"/>
        </w:rPr>
        <w:t>0</w:t>
      </w:r>
      <w:r w:rsidR="000E3B80" w:rsidRPr="000E3B80">
        <w:rPr>
          <w:rFonts w:ascii="宋体" w:eastAsia="宋体" w:hAnsi="宋体" w:cs="Times New Roman" w:hint="eastAsia"/>
          <w:color w:val="000000"/>
          <w:szCs w:val="21"/>
        </w:rPr>
        <w:t>个工作日的期间。</w:t>
      </w:r>
    </w:p>
    <w:p w:rsidR="00DA353C" w:rsidRP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（</w:t>
      </w:r>
      <w:r w:rsidR="00A33C41">
        <w:rPr>
          <w:rFonts w:ascii="宋体" w:eastAsia="宋体" w:hAnsi="宋体" w:cs="Times New Roman" w:hint="eastAsia"/>
          <w:color w:val="000000"/>
          <w:szCs w:val="21"/>
        </w:rPr>
        <w:t>3</w:t>
      </w:r>
      <w:r w:rsidR="002B4266">
        <w:rPr>
          <w:rFonts w:ascii="宋体" w:eastAsia="宋体" w:hAnsi="宋体" w:cs="Times New Roman" w:hint="eastAsia"/>
          <w:color w:val="000000"/>
          <w:szCs w:val="21"/>
        </w:rPr>
        <w:t>）投资者欲了解本基金详细情况，请认真阅读本基金基金合同和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招</w:t>
      </w:r>
      <w:r w:rsidR="002B4266">
        <w:rPr>
          <w:rFonts w:ascii="宋体" w:eastAsia="宋体" w:hAnsi="宋体" w:cs="Times New Roman" w:hint="eastAsia"/>
          <w:color w:val="000000"/>
          <w:szCs w:val="21"/>
        </w:rPr>
        <w:t>募说明书</w:t>
      </w:r>
      <w:bookmarkStart w:id="0" w:name="_GoBack"/>
      <w:bookmarkEnd w:id="0"/>
      <w:r w:rsidRPr="00DA353C">
        <w:rPr>
          <w:rFonts w:ascii="宋体" w:eastAsia="宋体" w:hAnsi="宋体" w:cs="Times New Roman" w:hint="eastAsia"/>
          <w:color w:val="000000"/>
          <w:szCs w:val="21"/>
        </w:rPr>
        <w:t>（</w:t>
      </w:r>
      <w:r w:rsidR="00FA0316">
        <w:rPr>
          <w:rFonts w:ascii="宋体" w:eastAsia="宋体" w:hAnsi="宋体" w:cs="Times New Roman" w:hint="eastAsia"/>
          <w:color w:val="000000"/>
          <w:szCs w:val="21"/>
        </w:rPr>
        <w:t>含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更新）。</w:t>
      </w:r>
    </w:p>
    <w:p w:rsidR="00DA353C" w:rsidRPr="00DA353C" w:rsidRDefault="00DA353C" w:rsidP="001B2661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lastRenderedPageBreak/>
        <w:t>（</w:t>
      </w:r>
      <w:r w:rsidR="00A33C41">
        <w:rPr>
          <w:rFonts w:ascii="宋体" w:eastAsia="宋体" w:hAnsi="宋体" w:cs="Times New Roman" w:hint="eastAsia"/>
          <w:color w:val="000000"/>
          <w:szCs w:val="21"/>
        </w:rPr>
        <w:t>4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）咨询方式：</w:t>
      </w:r>
    </w:p>
    <w:p w:rsidR="00DA353C" w:rsidRP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浦银安盛基金管理有限公司</w:t>
      </w:r>
    </w:p>
    <w:p w:rsidR="00DA353C" w:rsidRP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客户服务热线：4008828999、021-33079999；</w:t>
      </w:r>
    </w:p>
    <w:p w:rsidR="00DA353C" w:rsidRP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公司网址：www.py-axa.com；</w:t>
      </w:r>
    </w:p>
    <w:p w:rsidR="00DA353C" w:rsidRP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客户端：“浦银安盛基金”APP；</w:t>
      </w:r>
    </w:p>
    <w:p w:rsid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公司微信公众号：浦银安盛基金（AXASPDB），浦银安盛微理财（AXASPDB-E）。</w:t>
      </w:r>
    </w:p>
    <w:p w:rsidR="001B2661" w:rsidRDefault="001B2661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:rsidR="001B2661" w:rsidRPr="00DA353C" w:rsidRDefault="001B2661" w:rsidP="001B2661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风险提示：本基金管理人承诺以诚实信用、勤勉尽责的原则管理和运用基金财产，但不保证基金一定盈利，也不保证最低收益。投资者在投资本基金前请务必认真阅读《基金合同》和《招募说明书》</w:t>
      </w:r>
      <w:r w:rsidR="00FA0316">
        <w:rPr>
          <w:rFonts w:ascii="宋体" w:eastAsia="宋体" w:hAnsi="宋体" w:cs="Times New Roman" w:hint="eastAsia"/>
          <w:color w:val="000000"/>
          <w:szCs w:val="21"/>
        </w:rPr>
        <w:t>（含更新）</w:t>
      </w:r>
      <w:r w:rsidRPr="00DA353C">
        <w:rPr>
          <w:rFonts w:ascii="宋体" w:eastAsia="宋体" w:hAnsi="宋体" w:cs="Times New Roman" w:hint="eastAsia"/>
          <w:color w:val="000000"/>
          <w:szCs w:val="21"/>
        </w:rPr>
        <w:t>等法律文件。敬请投资者注意风险，并选择适合自身风险承受能力的投资品种进行投资。</w:t>
      </w:r>
    </w:p>
    <w:p w:rsidR="001B2661" w:rsidRPr="00DA353C" w:rsidRDefault="001B2661" w:rsidP="001B2661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:rsidR="00DA353C" w:rsidRPr="00DA353C" w:rsidRDefault="00DA353C" w:rsidP="00DA353C">
      <w:pPr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Cs w:val="21"/>
        </w:rPr>
        <w:t>特此公告。</w:t>
      </w:r>
    </w:p>
    <w:p w:rsidR="00DA353C" w:rsidRPr="00DA353C" w:rsidRDefault="00DA353C" w:rsidP="00DA353C">
      <w:pPr>
        <w:spacing w:line="560" w:lineRule="exact"/>
        <w:ind w:firstLine="480"/>
        <w:jc w:val="right"/>
        <w:rPr>
          <w:rFonts w:ascii="宋体" w:eastAsia="宋体" w:hAnsi="宋体" w:cs="Times New Roman"/>
          <w:color w:val="000000"/>
          <w:sz w:val="24"/>
          <w:szCs w:val="21"/>
        </w:rPr>
      </w:pPr>
      <w:r w:rsidRPr="00DA353C">
        <w:rPr>
          <w:rFonts w:ascii="宋体" w:eastAsia="宋体" w:hAnsi="宋体" w:cs="Times New Roman" w:hint="eastAsia"/>
          <w:color w:val="000000"/>
          <w:sz w:val="24"/>
          <w:szCs w:val="21"/>
        </w:rPr>
        <w:t xml:space="preserve"> 浦银安盛基金管理有限公司</w:t>
      </w:r>
    </w:p>
    <w:p w:rsidR="00DA353C" w:rsidRPr="00DA353C" w:rsidRDefault="00A33C41" w:rsidP="00DA353C">
      <w:pPr>
        <w:spacing w:line="560" w:lineRule="exact"/>
        <w:ind w:firstLine="480"/>
        <w:jc w:val="right"/>
        <w:rPr>
          <w:rFonts w:ascii="宋体" w:eastAsia="宋体" w:hAnsi="宋体" w:cs="Times New Roman"/>
          <w:color w:val="000000"/>
          <w:sz w:val="24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1"/>
        </w:rPr>
        <w:t>202</w:t>
      </w:r>
      <w:r w:rsidR="002B4266">
        <w:rPr>
          <w:rFonts w:ascii="宋体" w:eastAsia="宋体" w:hAnsi="宋体" w:cs="Times New Roman"/>
          <w:color w:val="000000"/>
          <w:sz w:val="24"/>
          <w:szCs w:val="21"/>
        </w:rPr>
        <w:t>5</w:t>
      </w:r>
      <w:r w:rsidR="00DA353C" w:rsidRPr="00DA353C">
        <w:rPr>
          <w:rFonts w:ascii="宋体" w:eastAsia="宋体" w:hAnsi="宋体" w:cs="Times New Roman" w:hint="eastAsia"/>
          <w:color w:val="000000"/>
          <w:sz w:val="24"/>
          <w:szCs w:val="21"/>
        </w:rPr>
        <w:t>年</w:t>
      </w:r>
      <w:r w:rsidR="002B4266">
        <w:rPr>
          <w:rFonts w:ascii="宋体" w:eastAsia="宋体" w:hAnsi="宋体" w:cs="Times New Roman"/>
          <w:color w:val="000000"/>
          <w:sz w:val="24"/>
          <w:szCs w:val="21"/>
        </w:rPr>
        <w:t>10</w:t>
      </w:r>
      <w:r w:rsidR="00DA353C" w:rsidRPr="00DA353C">
        <w:rPr>
          <w:rFonts w:ascii="宋体" w:eastAsia="宋体" w:hAnsi="宋体" w:cs="Times New Roman" w:hint="eastAsia"/>
          <w:color w:val="000000"/>
          <w:sz w:val="24"/>
          <w:szCs w:val="21"/>
        </w:rPr>
        <w:t>月</w:t>
      </w:r>
      <w:r w:rsidR="002B4266">
        <w:rPr>
          <w:rFonts w:ascii="宋体" w:eastAsia="宋体" w:hAnsi="宋体" w:cs="Times New Roman"/>
          <w:color w:val="000000"/>
          <w:sz w:val="24"/>
          <w:szCs w:val="21"/>
        </w:rPr>
        <w:t>23</w:t>
      </w:r>
      <w:r w:rsidR="00DA353C" w:rsidRPr="00DA353C">
        <w:rPr>
          <w:rFonts w:ascii="宋体" w:eastAsia="宋体" w:hAnsi="宋体" w:cs="Times New Roman" w:hint="eastAsia"/>
          <w:color w:val="000000"/>
          <w:sz w:val="24"/>
          <w:szCs w:val="21"/>
        </w:rPr>
        <w:t>日</w:t>
      </w:r>
    </w:p>
    <w:sectPr w:rsidR="00DA353C" w:rsidRPr="00DA353C" w:rsidSect="00EE0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D5" w:rsidRDefault="005A4ED5"/>
  </w:endnote>
  <w:endnote w:type="continuationSeparator" w:id="0">
    <w:p w:rsidR="005A4ED5" w:rsidRDefault="005A4E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D5" w:rsidRDefault="005A4ED5"/>
  </w:footnote>
  <w:footnote w:type="continuationSeparator" w:id="0">
    <w:p w:rsidR="005A4ED5" w:rsidRDefault="005A4ED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53C"/>
    <w:rsid w:val="00061AE1"/>
    <w:rsid w:val="000E3B80"/>
    <w:rsid w:val="001B2661"/>
    <w:rsid w:val="00217775"/>
    <w:rsid w:val="002A1CA4"/>
    <w:rsid w:val="002B4266"/>
    <w:rsid w:val="00315D17"/>
    <w:rsid w:val="00344262"/>
    <w:rsid w:val="00372876"/>
    <w:rsid w:val="00380081"/>
    <w:rsid w:val="003B5A70"/>
    <w:rsid w:val="003E4CD5"/>
    <w:rsid w:val="003F2564"/>
    <w:rsid w:val="004441C6"/>
    <w:rsid w:val="00446764"/>
    <w:rsid w:val="0047738C"/>
    <w:rsid w:val="00490493"/>
    <w:rsid w:val="004A02F2"/>
    <w:rsid w:val="00503DBD"/>
    <w:rsid w:val="00521A74"/>
    <w:rsid w:val="00525A25"/>
    <w:rsid w:val="005A4ED5"/>
    <w:rsid w:val="005B4CB6"/>
    <w:rsid w:val="0066375F"/>
    <w:rsid w:val="00674D5D"/>
    <w:rsid w:val="00793302"/>
    <w:rsid w:val="008B70B7"/>
    <w:rsid w:val="008D2DAA"/>
    <w:rsid w:val="00A33C41"/>
    <w:rsid w:val="00A54B65"/>
    <w:rsid w:val="00A84C57"/>
    <w:rsid w:val="00B304A7"/>
    <w:rsid w:val="00BD1875"/>
    <w:rsid w:val="00C0101F"/>
    <w:rsid w:val="00C74855"/>
    <w:rsid w:val="00D428D0"/>
    <w:rsid w:val="00DA353C"/>
    <w:rsid w:val="00DF13A7"/>
    <w:rsid w:val="00E13CF0"/>
    <w:rsid w:val="00EA35D0"/>
    <w:rsid w:val="00ED1DB1"/>
    <w:rsid w:val="00EE0D49"/>
    <w:rsid w:val="00EF5FAB"/>
    <w:rsid w:val="00FA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2661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1B2661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1B2661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B2661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1B266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B26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2661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D42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428D0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42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428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4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陈光</dc:creator>
  <cp:lastModifiedBy>ZHONGM</cp:lastModifiedBy>
  <cp:revision>2</cp:revision>
  <dcterms:created xsi:type="dcterms:W3CDTF">2025-10-22T16:02:00Z</dcterms:created>
  <dcterms:modified xsi:type="dcterms:W3CDTF">2025-10-22T16:02:00Z</dcterms:modified>
</cp:coreProperties>
</file>