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052" w:rsidRDefault="00223052" w:rsidP="00E671BF">
      <w:pPr>
        <w:spacing w:line="360" w:lineRule="auto"/>
        <w:jc w:val="center"/>
        <w:rPr>
          <w:rFonts w:ascii="黑体" w:eastAsia="黑体" w:hAnsi="黑体"/>
          <w:b/>
          <w:w w:val="95"/>
          <w:sz w:val="32"/>
          <w:szCs w:val="32"/>
        </w:rPr>
      </w:pPr>
      <w:bookmarkStart w:id="0" w:name="_Toc249760023"/>
      <w:r w:rsidRPr="00223052">
        <w:rPr>
          <w:rFonts w:ascii="黑体" w:eastAsia="黑体" w:hAnsi="黑体" w:hint="eastAsia"/>
          <w:b/>
          <w:w w:val="95"/>
          <w:sz w:val="32"/>
          <w:szCs w:val="32"/>
        </w:rPr>
        <w:t>华安基金管理有限公司</w:t>
      </w:r>
    </w:p>
    <w:p w:rsidR="00E671BF" w:rsidRPr="003E55B1" w:rsidRDefault="003C0C01" w:rsidP="00E671BF">
      <w:pPr>
        <w:spacing w:line="360" w:lineRule="auto"/>
        <w:jc w:val="center"/>
        <w:rPr>
          <w:rFonts w:ascii="黑体" w:eastAsia="黑体" w:hAnsi="黑体"/>
          <w:b/>
          <w:w w:val="95"/>
          <w:sz w:val="32"/>
          <w:szCs w:val="32"/>
        </w:rPr>
      </w:pPr>
      <w:r>
        <w:rPr>
          <w:rFonts w:ascii="黑体" w:eastAsia="黑体" w:hAnsi="黑体" w:hint="eastAsia"/>
          <w:b/>
          <w:w w:val="95"/>
          <w:sz w:val="32"/>
          <w:szCs w:val="32"/>
        </w:rPr>
        <w:t>关于</w:t>
      </w:r>
      <w:r w:rsidR="0075705E">
        <w:rPr>
          <w:rFonts w:ascii="黑体" w:eastAsia="黑体" w:hAnsi="黑体" w:hint="eastAsia"/>
          <w:b/>
          <w:w w:val="95"/>
          <w:sz w:val="32"/>
          <w:szCs w:val="32"/>
        </w:rPr>
        <w:t>华安国证航天航空行业交易型开放式指数证券投资基金发起式联接基金</w:t>
      </w:r>
      <w:r w:rsidR="00485145" w:rsidRPr="00485145">
        <w:rPr>
          <w:rFonts w:ascii="黑体" w:eastAsia="黑体" w:hAnsi="黑体" w:hint="eastAsia"/>
          <w:b/>
          <w:w w:val="95"/>
          <w:sz w:val="32"/>
          <w:szCs w:val="32"/>
        </w:rPr>
        <w:t>开放日常申购、赎回</w:t>
      </w:r>
      <w:r w:rsidR="00485145" w:rsidRPr="006300B0">
        <w:rPr>
          <w:rFonts w:ascii="黑体" w:eastAsia="黑体" w:hAnsi="黑体" w:hint="eastAsia"/>
          <w:b/>
          <w:w w:val="95"/>
          <w:sz w:val="32"/>
          <w:szCs w:val="32"/>
        </w:rPr>
        <w:t>、转换</w:t>
      </w:r>
      <w:r w:rsidR="00485145" w:rsidRPr="00485145">
        <w:rPr>
          <w:rFonts w:ascii="黑体" w:eastAsia="黑体" w:hAnsi="黑体" w:hint="eastAsia"/>
          <w:b/>
          <w:w w:val="95"/>
          <w:sz w:val="32"/>
          <w:szCs w:val="32"/>
        </w:rPr>
        <w:t>和定期定额投资业务公告</w:t>
      </w:r>
    </w:p>
    <w:p w:rsidR="009630B7" w:rsidRPr="003E55B1" w:rsidRDefault="00105568" w:rsidP="00E671BF">
      <w:pPr>
        <w:spacing w:line="360" w:lineRule="auto"/>
        <w:jc w:val="center"/>
        <w:rPr>
          <w:rFonts w:ascii="宋体" w:hAnsi="宋体"/>
          <w:b/>
          <w:sz w:val="24"/>
        </w:rPr>
      </w:pPr>
      <w:r w:rsidRPr="00105568">
        <w:rPr>
          <w:rFonts w:ascii="宋体" w:hAnsi="宋体" w:hint="eastAsia"/>
          <w:b/>
          <w:sz w:val="24"/>
        </w:rPr>
        <w:t>公告送出日期：</w:t>
      </w:r>
      <w:r w:rsidR="00F54C6D" w:rsidRPr="00F54C6D">
        <w:rPr>
          <w:rFonts w:ascii="宋体" w:hAnsi="宋体" w:hint="eastAsia"/>
          <w:b/>
          <w:sz w:val="24"/>
        </w:rPr>
        <w:t>2025年10月22日</w:t>
      </w:r>
    </w:p>
    <w:bookmarkEnd w:id="0"/>
    <w:p w:rsidR="00195240" w:rsidRPr="00F512B6" w:rsidRDefault="00F27805" w:rsidP="00F512B6">
      <w:pPr>
        <w:spacing w:line="360" w:lineRule="auto"/>
        <w:ind w:firstLineChars="196" w:firstLine="472"/>
        <w:outlineLvl w:val="2"/>
        <w:rPr>
          <w:b/>
          <w:sz w:val="24"/>
        </w:rPr>
      </w:pPr>
      <w:r w:rsidRPr="00F512B6">
        <w:rPr>
          <w:b/>
          <w:sz w:val="24"/>
        </w:rPr>
        <w:t>1</w:t>
      </w:r>
      <w:r w:rsidR="006F1D2C" w:rsidRPr="00F512B6">
        <w:rPr>
          <w:rFonts w:hint="eastAsia"/>
          <w:b/>
          <w:sz w:val="24"/>
        </w:rPr>
        <w:t>.</w:t>
      </w:r>
      <w:r w:rsidR="00EA5512" w:rsidRPr="00F512B6">
        <w:rPr>
          <w:b/>
          <w:sz w:val="24"/>
        </w:rPr>
        <w:t>公告基本信息</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830"/>
        <w:gridCol w:w="2994"/>
        <w:gridCol w:w="2853"/>
      </w:tblGrid>
      <w:tr w:rsidR="00475A85" w:rsidRPr="003E55B1" w:rsidTr="00D443AF">
        <w:trPr>
          <w:trHeight w:hRule="exact" w:val="1028"/>
        </w:trPr>
        <w:tc>
          <w:tcPr>
            <w:tcW w:w="2830" w:type="dxa"/>
            <w:shd w:val="clear" w:color="auto" w:fill="auto"/>
            <w:vAlign w:val="center"/>
          </w:tcPr>
          <w:p w:rsidR="00475A85" w:rsidRPr="003E55B1" w:rsidRDefault="00475A85" w:rsidP="003F7872">
            <w:pPr>
              <w:pStyle w:val="TableParagraph"/>
              <w:spacing w:line="360" w:lineRule="auto"/>
              <w:ind w:left="103"/>
              <w:rPr>
                <w:rFonts w:cs="Times New Roman"/>
                <w:sz w:val="24"/>
                <w:szCs w:val="24"/>
              </w:rPr>
            </w:pPr>
            <w:r w:rsidRPr="003E55B1">
              <w:rPr>
                <w:rFonts w:cs="Times New Roman"/>
                <w:sz w:val="24"/>
                <w:szCs w:val="24"/>
              </w:rPr>
              <w:t>基金名称</w:t>
            </w:r>
          </w:p>
        </w:tc>
        <w:tc>
          <w:tcPr>
            <w:tcW w:w="5847" w:type="dxa"/>
            <w:gridSpan w:val="2"/>
            <w:shd w:val="clear" w:color="auto" w:fill="auto"/>
            <w:vAlign w:val="center"/>
          </w:tcPr>
          <w:p w:rsidR="00475A85" w:rsidRPr="003E55B1" w:rsidRDefault="0075705E" w:rsidP="003F7872">
            <w:pPr>
              <w:pStyle w:val="TableParagraph"/>
              <w:spacing w:line="360" w:lineRule="auto"/>
              <w:rPr>
                <w:rFonts w:cs="Times New Roman"/>
                <w:sz w:val="24"/>
                <w:szCs w:val="24"/>
                <w:lang w:eastAsia="zh-CN"/>
              </w:rPr>
            </w:pPr>
            <w:r>
              <w:rPr>
                <w:rFonts w:cs="Times New Roman"/>
                <w:color w:val="000000"/>
                <w:sz w:val="24"/>
                <w:szCs w:val="24"/>
                <w:lang w:eastAsia="zh-CN"/>
              </w:rPr>
              <w:t>华安国证航天航空行业交易型开放式指数证券投资基金发起式联接基金</w:t>
            </w:r>
          </w:p>
        </w:tc>
      </w:tr>
      <w:tr w:rsidR="00475A85" w:rsidRPr="003E55B1" w:rsidTr="00644325">
        <w:trPr>
          <w:trHeight w:hRule="exact" w:val="510"/>
        </w:trPr>
        <w:tc>
          <w:tcPr>
            <w:tcW w:w="2830" w:type="dxa"/>
            <w:shd w:val="clear" w:color="auto" w:fill="auto"/>
            <w:vAlign w:val="center"/>
          </w:tcPr>
          <w:p w:rsidR="00475A85" w:rsidRPr="003E55B1" w:rsidRDefault="00475A85" w:rsidP="003F7872">
            <w:pPr>
              <w:pStyle w:val="TableParagraph"/>
              <w:spacing w:line="360" w:lineRule="auto"/>
              <w:ind w:left="103"/>
              <w:rPr>
                <w:rFonts w:cs="Times New Roman"/>
                <w:sz w:val="24"/>
                <w:szCs w:val="24"/>
              </w:rPr>
            </w:pPr>
            <w:r w:rsidRPr="003E55B1">
              <w:rPr>
                <w:rFonts w:cs="Times New Roman"/>
                <w:sz w:val="24"/>
                <w:szCs w:val="24"/>
              </w:rPr>
              <w:t>基金简称</w:t>
            </w:r>
          </w:p>
        </w:tc>
        <w:tc>
          <w:tcPr>
            <w:tcW w:w="5847" w:type="dxa"/>
            <w:gridSpan w:val="2"/>
            <w:shd w:val="clear" w:color="auto" w:fill="auto"/>
            <w:vAlign w:val="center"/>
          </w:tcPr>
          <w:p w:rsidR="00475A85" w:rsidRPr="003E55B1" w:rsidRDefault="003C542E" w:rsidP="003F7872">
            <w:pPr>
              <w:pStyle w:val="TableParagraph"/>
              <w:spacing w:line="360" w:lineRule="auto"/>
              <w:rPr>
                <w:rFonts w:cs="Times New Roman"/>
                <w:sz w:val="24"/>
                <w:szCs w:val="24"/>
                <w:lang w:eastAsia="zh-CN"/>
              </w:rPr>
            </w:pPr>
            <w:r>
              <w:rPr>
                <w:rFonts w:cs="Times New Roman" w:hint="eastAsia"/>
                <w:sz w:val="24"/>
                <w:szCs w:val="24"/>
                <w:lang w:eastAsia="zh-CN"/>
              </w:rPr>
              <w:t>华安国证航天航空行业ETF发起式联接</w:t>
            </w:r>
          </w:p>
        </w:tc>
      </w:tr>
      <w:tr w:rsidR="00475A85" w:rsidRPr="003E55B1" w:rsidTr="00644325">
        <w:trPr>
          <w:trHeight w:hRule="exact" w:val="510"/>
        </w:trPr>
        <w:tc>
          <w:tcPr>
            <w:tcW w:w="2830" w:type="dxa"/>
            <w:shd w:val="clear" w:color="auto" w:fill="auto"/>
            <w:vAlign w:val="center"/>
          </w:tcPr>
          <w:p w:rsidR="00475A85" w:rsidRPr="003E55B1" w:rsidRDefault="00475A85" w:rsidP="003F7872">
            <w:pPr>
              <w:pStyle w:val="TableParagraph"/>
              <w:spacing w:line="360" w:lineRule="auto"/>
              <w:ind w:left="103"/>
              <w:rPr>
                <w:rFonts w:cs="Times New Roman"/>
                <w:sz w:val="24"/>
                <w:szCs w:val="24"/>
              </w:rPr>
            </w:pPr>
            <w:r w:rsidRPr="003E55B1">
              <w:rPr>
                <w:rFonts w:cs="Times New Roman"/>
                <w:sz w:val="24"/>
                <w:szCs w:val="24"/>
              </w:rPr>
              <w:t>基金主代码</w:t>
            </w:r>
          </w:p>
        </w:tc>
        <w:tc>
          <w:tcPr>
            <w:tcW w:w="5847" w:type="dxa"/>
            <w:gridSpan w:val="2"/>
            <w:shd w:val="clear" w:color="auto" w:fill="auto"/>
            <w:vAlign w:val="center"/>
          </w:tcPr>
          <w:p w:rsidR="00475A85" w:rsidRPr="003E55B1" w:rsidRDefault="0075705E" w:rsidP="003F7872">
            <w:pPr>
              <w:pStyle w:val="TableParagraph"/>
              <w:spacing w:before="16" w:line="360" w:lineRule="auto"/>
              <w:rPr>
                <w:rFonts w:cs="Times New Roman"/>
                <w:sz w:val="24"/>
                <w:szCs w:val="24"/>
                <w:lang w:eastAsia="zh-CN"/>
              </w:rPr>
            </w:pPr>
            <w:r>
              <w:rPr>
                <w:rFonts w:cs="Times New Roman"/>
                <w:sz w:val="24"/>
                <w:szCs w:val="24"/>
              </w:rPr>
              <w:t>025732</w:t>
            </w:r>
          </w:p>
        </w:tc>
      </w:tr>
      <w:tr w:rsidR="00475A85" w:rsidRPr="003E55B1" w:rsidTr="00644325">
        <w:trPr>
          <w:trHeight w:hRule="exact" w:val="510"/>
        </w:trPr>
        <w:tc>
          <w:tcPr>
            <w:tcW w:w="2830" w:type="dxa"/>
            <w:shd w:val="clear" w:color="auto" w:fill="auto"/>
            <w:vAlign w:val="center"/>
          </w:tcPr>
          <w:p w:rsidR="00475A85" w:rsidRPr="003E55B1" w:rsidRDefault="00475A85" w:rsidP="003F7872">
            <w:pPr>
              <w:pStyle w:val="TableParagraph"/>
              <w:spacing w:line="360" w:lineRule="auto"/>
              <w:ind w:left="103"/>
              <w:rPr>
                <w:rFonts w:cs="Times New Roman"/>
                <w:sz w:val="24"/>
                <w:szCs w:val="24"/>
              </w:rPr>
            </w:pPr>
            <w:r w:rsidRPr="003E55B1">
              <w:rPr>
                <w:rFonts w:cs="Times New Roman"/>
                <w:sz w:val="24"/>
                <w:szCs w:val="24"/>
              </w:rPr>
              <w:t>基金运作方式</w:t>
            </w:r>
          </w:p>
        </w:tc>
        <w:tc>
          <w:tcPr>
            <w:tcW w:w="5847" w:type="dxa"/>
            <w:gridSpan w:val="2"/>
            <w:shd w:val="clear" w:color="auto" w:fill="auto"/>
            <w:vAlign w:val="center"/>
          </w:tcPr>
          <w:p w:rsidR="00475A85" w:rsidRPr="003E55B1" w:rsidRDefault="00320404" w:rsidP="003F7872">
            <w:pPr>
              <w:pStyle w:val="TableParagraph"/>
              <w:spacing w:line="360" w:lineRule="auto"/>
              <w:rPr>
                <w:rFonts w:cs="Times New Roman"/>
                <w:sz w:val="24"/>
                <w:szCs w:val="24"/>
                <w:lang w:eastAsia="zh-CN"/>
              </w:rPr>
            </w:pPr>
            <w:r w:rsidRPr="00320404">
              <w:rPr>
                <w:rFonts w:cs="Times New Roman" w:hint="eastAsia"/>
                <w:sz w:val="24"/>
                <w:szCs w:val="24"/>
                <w:lang w:eastAsia="zh-CN"/>
              </w:rPr>
              <w:t>契约型开放式</w:t>
            </w:r>
            <w:bookmarkStart w:id="1" w:name="_GoBack"/>
            <w:bookmarkEnd w:id="1"/>
          </w:p>
        </w:tc>
      </w:tr>
      <w:tr w:rsidR="00475A85" w:rsidRPr="003E55B1" w:rsidTr="00644325">
        <w:trPr>
          <w:trHeight w:hRule="exact" w:val="510"/>
        </w:trPr>
        <w:tc>
          <w:tcPr>
            <w:tcW w:w="2830" w:type="dxa"/>
            <w:shd w:val="clear" w:color="auto" w:fill="auto"/>
            <w:vAlign w:val="center"/>
          </w:tcPr>
          <w:p w:rsidR="00475A85" w:rsidRPr="003E55B1" w:rsidRDefault="00475A85" w:rsidP="003F7872">
            <w:pPr>
              <w:pStyle w:val="TableParagraph"/>
              <w:spacing w:line="360" w:lineRule="auto"/>
              <w:ind w:left="103"/>
              <w:rPr>
                <w:rFonts w:cs="Times New Roman"/>
                <w:sz w:val="24"/>
                <w:szCs w:val="24"/>
              </w:rPr>
            </w:pPr>
            <w:r w:rsidRPr="003E55B1">
              <w:rPr>
                <w:rFonts w:cs="Times New Roman"/>
                <w:sz w:val="24"/>
                <w:szCs w:val="24"/>
              </w:rPr>
              <w:t>基金合同生效日</w:t>
            </w:r>
          </w:p>
        </w:tc>
        <w:tc>
          <w:tcPr>
            <w:tcW w:w="5847" w:type="dxa"/>
            <w:gridSpan w:val="2"/>
            <w:shd w:val="clear" w:color="auto" w:fill="auto"/>
            <w:vAlign w:val="center"/>
          </w:tcPr>
          <w:p w:rsidR="00475A85" w:rsidRPr="003E55B1" w:rsidRDefault="0075705E" w:rsidP="003F7872">
            <w:pPr>
              <w:pStyle w:val="TableParagraph"/>
              <w:spacing w:line="360" w:lineRule="auto"/>
              <w:rPr>
                <w:rFonts w:cs="Times New Roman"/>
                <w:sz w:val="24"/>
                <w:szCs w:val="24"/>
                <w:lang w:eastAsia="zh-CN"/>
              </w:rPr>
            </w:pPr>
            <w:r>
              <w:rPr>
                <w:rFonts w:cs="Times New Roman" w:hint="eastAsia"/>
                <w:sz w:val="24"/>
                <w:szCs w:val="24"/>
                <w:lang w:eastAsia="zh-CN"/>
              </w:rPr>
              <w:t>2025年10月17日</w:t>
            </w:r>
          </w:p>
        </w:tc>
      </w:tr>
      <w:tr w:rsidR="00475A85" w:rsidRPr="003E55B1" w:rsidTr="00644325">
        <w:trPr>
          <w:trHeight w:hRule="exact" w:val="510"/>
        </w:trPr>
        <w:tc>
          <w:tcPr>
            <w:tcW w:w="2830" w:type="dxa"/>
            <w:shd w:val="clear" w:color="auto" w:fill="auto"/>
            <w:vAlign w:val="center"/>
          </w:tcPr>
          <w:p w:rsidR="00475A85" w:rsidRPr="003E55B1" w:rsidRDefault="00475A85" w:rsidP="003F7872">
            <w:pPr>
              <w:pStyle w:val="TableParagraph"/>
              <w:spacing w:line="360" w:lineRule="auto"/>
              <w:ind w:left="103"/>
              <w:rPr>
                <w:rFonts w:cs="Times New Roman"/>
                <w:sz w:val="24"/>
                <w:szCs w:val="24"/>
              </w:rPr>
            </w:pPr>
            <w:r w:rsidRPr="003E55B1">
              <w:rPr>
                <w:rFonts w:cs="Times New Roman"/>
                <w:sz w:val="24"/>
                <w:szCs w:val="24"/>
              </w:rPr>
              <w:t>基金管理人名称</w:t>
            </w:r>
          </w:p>
        </w:tc>
        <w:tc>
          <w:tcPr>
            <w:tcW w:w="5847" w:type="dxa"/>
            <w:gridSpan w:val="2"/>
            <w:shd w:val="clear" w:color="auto" w:fill="auto"/>
            <w:vAlign w:val="center"/>
          </w:tcPr>
          <w:p w:rsidR="00475A85" w:rsidRPr="003E55B1" w:rsidRDefault="003E55B1" w:rsidP="003F7872">
            <w:pPr>
              <w:pStyle w:val="TableParagraph"/>
              <w:spacing w:line="360" w:lineRule="auto"/>
              <w:rPr>
                <w:rFonts w:cs="Times New Roman"/>
                <w:sz w:val="24"/>
                <w:szCs w:val="24"/>
                <w:lang w:eastAsia="zh-CN"/>
              </w:rPr>
            </w:pPr>
            <w:r>
              <w:rPr>
                <w:rFonts w:cs="Times New Roman"/>
                <w:sz w:val="24"/>
                <w:szCs w:val="24"/>
                <w:lang w:eastAsia="zh-CN"/>
              </w:rPr>
              <w:t>华安基金</w:t>
            </w:r>
            <w:r w:rsidR="00475A85" w:rsidRPr="003E55B1">
              <w:rPr>
                <w:rFonts w:cs="Times New Roman"/>
                <w:sz w:val="24"/>
                <w:szCs w:val="24"/>
                <w:lang w:eastAsia="zh-CN"/>
              </w:rPr>
              <w:t>管理有限公司</w:t>
            </w:r>
          </w:p>
        </w:tc>
      </w:tr>
      <w:tr w:rsidR="003C1DCA" w:rsidRPr="005B77F7" w:rsidTr="00644325">
        <w:trPr>
          <w:trHeight w:hRule="exact" w:val="510"/>
        </w:trPr>
        <w:tc>
          <w:tcPr>
            <w:tcW w:w="2830" w:type="dxa"/>
            <w:shd w:val="clear" w:color="auto" w:fill="auto"/>
            <w:vAlign w:val="center"/>
          </w:tcPr>
          <w:p w:rsidR="003C1DCA" w:rsidRPr="003E55B1" w:rsidRDefault="003C1DCA" w:rsidP="003F7872">
            <w:pPr>
              <w:pStyle w:val="TableParagraph"/>
              <w:spacing w:line="360" w:lineRule="auto"/>
              <w:ind w:left="103"/>
              <w:rPr>
                <w:rFonts w:cs="Times New Roman"/>
                <w:sz w:val="24"/>
                <w:szCs w:val="24"/>
              </w:rPr>
            </w:pPr>
            <w:r w:rsidRPr="003E55B1">
              <w:rPr>
                <w:rFonts w:cs="Times New Roman"/>
                <w:sz w:val="24"/>
                <w:szCs w:val="24"/>
              </w:rPr>
              <w:t>基金托管人名称</w:t>
            </w:r>
          </w:p>
        </w:tc>
        <w:tc>
          <w:tcPr>
            <w:tcW w:w="5847" w:type="dxa"/>
            <w:gridSpan w:val="2"/>
            <w:shd w:val="clear" w:color="auto" w:fill="auto"/>
            <w:vAlign w:val="center"/>
          </w:tcPr>
          <w:p w:rsidR="003C1DCA" w:rsidRPr="00B4640C" w:rsidRDefault="0075705E" w:rsidP="002A0893">
            <w:pPr>
              <w:pStyle w:val="TableParagraph"/>
              <w:spacing w:line="360" w:lineRule="auto"/>
              <w:ind w:left="103"/>
              <w:rPr>
                <w:sz w:val="24"/>
                <w:lang w:eastAsia="zh-CN"/>
              </w:rPr>
            </w:pPr>
            <w:r>
              <w:rPr>
                <w:rFonts w:cs="Times New Roman" w:hint="eastAsia"/>
                <w:sz w:val="24"/>
                <w:szCs w:val="24"/>
                <w:lang w:eastAsia="zh-CN"/>
              </w:rPr>
              <w:t>国投证券股份有限公司</w:t>
            </w:r>
          </w:p>
        </w:tc>
      </w:tr>
      <w:tr w:rsidR="003C1DCA" w:rsidRPr="003E55B1" w:rsidTr="001A25B6">
        <w:trPr>
          <w:trHeight w:hRule="exact" w:val="582"/>
        </w:trPr>
        <w:tc>
          <w:tcPr>
            <w:tcW w:w="2830" w:type="dxa"/>
            <w:shd w:val="clear" w:color="auto" w:fill="auto"/>
            <w:vAlign w:val="center"/>
          </w:tcPr>
          <w:p w:rsidR="003C1DCA" w:rsidRPr="003E55B1" w:rsidRDefault="005E78EE" w:rsidP="003F7872">
            <w:pPr>
              <w:pStyle w:val="TableParagraph"/>
              <w:spacing w:line="360" w:lineRule="auto"/>
              <w:ind w:left="103"/>
              <w:rPr>
                <w:rFonts w:cs="Times New Roman"/>
                <w:sz w:val="24"/>
                <w:szCs w:val="24"/>
                <w:lang w:eastAsia="zh-CN"/>
              </w:rPr>
            </w:pPr>
            <w:r w:rsidRPr="005E78EE">
              <w:rPr>
                <w:rFonts w:cs="Times New Roman" w:hint="eastAsia"/>
                <w:sz w:val="24"/>
                <w:szCs w:val="24"/>
                <w:lang w:eastAsia="zh-CN"/>
              </w:rPr>
              <w:t>基金注册登记机构名称</w:t>
            </w:r>
          </w:p>
        </w:tc>
        <w:tc>
          <w:tcPr>
            <w:tcW w:w="5847" w:type="dxa"/>
            <w:gridSpan w:val="2"/>
            <w:shd w:val="clear" w:color="auto" w:fill="auto"/>
            <w:vAlign w:val="center"/>
          </w:tcPr>
          <w:p w:rsidR="003C1DCA" w:rsidRPr="003E55B1" w:rsidRDefault="006469FF" w:rsidP="003F7872">
            <w:pPr>
              <w:pStyle w:val="TableParagraph"/>
              <w:spacing w:line="360" w:lineRule="auto"/>
              <w:rPr>
                <w:rFonts w:cs="Times New Roman"/>
                <w:sz w:val="24"/>
                <w:szCs w:val="24"/>
                <w:lang w:eastAsia="zh-CN"/>
              </w:rPr>
            </w:pPr>
            <w:r>
              <w:rPr>
                <w:rFonts w:cs="Times New Roman" w:hint="eastAsia"/>
                <w:sz w:val="24"/>
                <w:szCs w:val="24"/>
                <w:lang w:eastAsia="zh-CN"/>
              </w:rPr>
              <w:t>华安基金管理有限公司</w:t>
            </w:r>
          </w:p>
        </w:tc>
      </w:tr>
      <w:tr w:rsidR="003C1DCA" w:rsidRPr="003E55B1" w:rsidTr="00DC7AE6">
        <w:trPr>
          <w:trHeight w:hRule="exact" w:val="2405"/>
        </w:trPr>
        <w:tc>
          <w:tcPr>
            <w:tcW w:w="2830" w:type="dxa"/>
            <w:shd w:val="clear" w:color="auto" w:fill="auto"/>
            <w:vAlign w:val="center"/>
          </w:tcPr>
          <w:p w:rsidR="003C1DCA" w:rsidRPr="003E55B1" w:rsidRDefault="003C1DCA" w:rsidP="003F7872">
            <w:pPr>
              <w:pStyle w:val="TableParagraph"/>
              <w:spacing w:line="360" w:lineRule="auto"/>
              <w:ind w:left="103"/>
              <w:rPr>
                <w:rFonts w:cs="Times New Roman"/>
                <w:sz w:val="24"/>
                <w:szCs w:val="24"/>
              </w:rPr>
            </w:pPr>
            <w:r w:rsidRPr="003E55B1">
              <w:rPr>
                <w:rFonts w:cs="Times New Roman"/>
                <w:sz w:val="24"/>
                <w:szCs w:val="24"/>
              </w:rPr>
              <w:t>公告依据</w:t>
            </w:r>
          </w:p>
        </w:tc>
        <w:tc>
          <w:tcPr>
            <w:tcW w:w="5847" w:type="dxa"/>
            <w:gridSpan w:val="2"/>
            <w:shd w:val="clear" w:color="auto" w:fill="auto"/>
            <w:vAlign w:val="center"/>
          </w:tcPr>
          <w:p w:rsidR="003C1DCA" w:rsidRPr="003E55B1" w:rsidRDefault="003C1DCA" w:rsidP="009678DD">
            <w:pPr>
              <w:pStyle w:val="TableParagraph"/>
              <w:spacing w:before="29" w:line="360" w:lineRule="auto"/>
              <w:jc w:val="both"/>
              <w:rPr>
                <w:rFonts w:cs="Times New Roman"/>
                <w:sz w:val="24"/>
                <w:szCs w:val="24"/>
                <w:lang w:eastAsia="zh-CN"/>
              </w:rPr>
            </w:pPr>
            <w:r w:rsidRPr="003E55B1">
              <w:rPr>
                <w:rFonts w:cs="Times New Roman"/>
                <w:color w:val="000000"/>
                <w:sz w:val="24"/>
                <w:szCs w:val="24"/>
                <w:lang w:eastAsia="zh-CN"/>
              </w:rPr>
              <w:t>《中华人民共和国证券投资基金法》</w:t>
            </w:r>
            <w:r w:rsidR="00145E44" w:rsidRPr="00145E44">
              <w:rPr>
                <w:rFonts w:cs="Times New Roman" w:hint="eastAsia"/>
                <w:color w:val="000000"/>
                <w:sz w:val="24"/>
                <w:szCs w:val="24"/>
                <w:lang w:eastAsia="zh-CN"/>
              </w:rPr>
              <w:t>《公开募集证券投资基金运作管理办法》以及</w:t>
            </w:r>
            <w:r w:rsidRPr="003E55B1">
              <w:rPr>
                <w:rFonts w:cs="Times New Roman"/>
                <w:color w:val="000000"/>
                <w:sz w:val="24"/>
                <w:szCs w:val="24"/>
                <w:lang w:eastAsia="zh-CN"/>
              </w:rPr>
              <w:t>《</w:t>
            </w:r>
            <w:r w:rsidR="0075705E">
              <w:rPr>
                <w:rFonts w:cs="Times New Roman"/>
                <w:color w:val="000000"/>
                <w:sz w:val="24"/>
                <w:szCs w:val="24"/>
                <w:lang w:eastAsia="zh-CN"/>
              </w:rPr>
              <w:t>华安国证航天航空行业交易型开放式指数证券投资基金发起式联接基金</w:t>
            </w:r>
            <w:r w:rsidR="001D0857">
              <w:rPr>
                <w:rFonts w:cs="Times New Roman"/>
                <w:color w:val="000000"/>
                <w:sz w:val="24"/>
                <w:szCs w:val="24"/>
                <w:lang w:eastAsia="zh-CN"/>
              </w:rPr>
              <w:t>基金合同》</w:t>
            </w:r>
            <w:r w:rsidRPr="003E55B1">
              <w:rPr>
                <w:rFonts w:cs="Times New Roman"/>
                <w:color w:val="000000"/>
                <w:sz w:val="24"/>
                <w:szCs w:val="24"/>
                <w:lang w:eastAsia="zh-CN"/>
              </w:rPr>
              <w:t>《</w:t>
            </w:r>
            <w:r w:rsidR="0075705E">
              <w:rPr>
                <w:rFonts w:cs="Times New Roman"/>
                <w:color w:val="000000"/>
                <w:sz w:val="24"/>
                <w:szCs w:val="24"/>
                <w:lang w:eastAsia="zh-CN"/>
              </w:rPr>
              <w:t>华安国证航天航空行业交易型开放式指数证券投资基金发起式联接基金</w:t>
            </w:r>
            <w:r w:rsidRPr="003E55B1">
              <w:rPr>
                <w:rFonts w:cs="Times New Roman"/>
                <w:color w:val="000000"/>
                <w:sz w:val="24"/>
                <w:szCs w:val="24"/>
                <w:lang w:eastAsia="zh-CN"/>
              </w:rPr>
              <w:t>招募说明书》</w:t>
            </w:r>
          </w:p>
        </w:tc>
      </w:tr>
      <w:tr w:rsidR="003C1DCA" w:rsidRPr="003E55B1" w:rsidTr="00644325">
        <w:trPr>
          <w:trHeight w:hRule="exact" w:val="510"/>
        </w:trPr>
        <w:tc>
          <w:tcPr>
            <w:tcW w:w="2830" w:type="dxa"/>
            <w:shd w:val="clear" w:color="auto" w:fill="auto"/>
            <w:vAlign w:val="center"/>
          </w:tcPr>
          <w:p w:rsidR="003C1DCA" w:rsidRPr="003E55B1" w:rsidRDefault="003C1DCA" w:rsidP="003F7872">
            <w:pPr>
              <w:pStyle w:val="TableParagraph"/>
              <w:spacing w:line="360" w:lineRule="auto"/>
              <w:ind w:left="103"/>
              <w:rPr>
                <w:rFonts w:cs="Times New Roman"/>
                <w:sz w:val="24"/>
                <w:szCs w:val="24"/>
              </w:rPr>
            </w:pPr>
            <w:r w:rsidRPr="003E55B1">
              <w:rPr>
                <w:rFonts w:cs="Times New Roman"/>
                <w:sz w:val="24"/>
                <w:szCs w:val="24"/>
              </w:rPr>
              <w:t>申购起始日</w:t>
            </w:r>
          </w:p>
        </w:tc>
        <w:tc>
          <w:tcPr>
            <w:tcW w:w="5847" w:type="dxa"/>
            <w:gridSpan w:val="2"/>
            <w:shd w:val="clear" w:color="auto" w:fill="auto"/>
            <w:vAlign w:val="center"/>
          </w:tcPr>
          <w:p w:rsidR="003C1DCA" w:rsidRPr="003E55B1" w:rsidRDefault="0075705E" w:rsidP="003F7872">
            <w:pPr>
              <w:pStyle w:val="TableParagraph"/>
              <w:spacing w:line="360" w:lineRule="auto"/>
              <w:rPr>
                <w:rFonts w:cs="Times New Roman"/>
                <w:sz w:val="24"/>
                <w:szCs w:val="24"/>
              </w:rPr>
            </w:pPr>
            <w:r>
              <w:rPr>
                <w:rFonts w:cs="Times New Roman"/>
                <w:sz w:val="24"/>
                <w:szCs w:val="24"/>
              </w:rPr>
              <w:t>2025年10月27日</w:t>
            </w:r>
          </w:p>
        </w:tc>
      </w:tr>
      <w:tr w:rsidR="003C1DCA" w:rsidRPr="003E55B1" w:rsidTr="00644325">
        <w:trPr>
          <w:trHeight w:hRule="exact" w:val="510"/>
        </w:trPr>
        <w:tc>
          <w:tcPr>
            <w:tcW w:w="2830" w:type="dxa"/>
            <w:shd w:val="clear" w:color="auto" w:fill="auto"/>
            <w:vAlign w:val="center"/>
          </w:tcPr>
          <w:p w:rsidR="003C1DCA" w:rsidRPr="003E55B1" w:rsidRDefault="003C1DCA" w:rsidP="003F7872">
            <w:pPr>
              <w:pStyle w:val="TableParagraph"/>
              <w:spacing w:line="360" w:lineRule="auto"/>
              <w:ind w:left="103"/>
              <w:rPr>
                <w:rFonts w:cs="Times New Roman"/>
                <w:sz w:val="24"/>
                <w:szCs w:val="24"/>
              </w:rPr>
            </w:pPr>
            <w:r w:rsidRPr="003E55B1">
              <w:rPr>
                <w:rFonts w:cs="Times New Roman"/>
                <w:sz w:val="24"/>
                <w:szCs w:val="24"/>
              </w:rPr>
              <w:t>赎回起始日</w:t>
            </w:r>
          </w:p>
        </w:tc>
        <w:tc>
          <w:tcPr>
            <w:tcW w:w="5847" w:type="dxa"/>
            <w:gridSpan w:val="2"/>
            <w:shd w:val="clear" w:color="auto" w:fill="auto"/>
            <w:vAlign w:val="center"/>
          </w:tcPr>
          <w:p w:rsidR="003C1DCA" w:rsidRPr="003E55B1" w:rsidRDefault="0075705E" w:rsidP="003F7872">
            <w:pPr>
              <w:pStyle w:val="TableParagraph"/>
              <w:spacing w:line="360" w:lineRule="auto"/>
              <w:rPr>
                <w:rFonts w:cs="Times New Roman"/>
                <w:sz w:val="24"/>
                <w:szCs w:val="24"/>
              </w:rPr>
            </w:pPr>
            <w:r>
              <w:rPr>
                <w:rFonts w:cs="Times New Roman"/>
                <w:sz w:val="24"/>
                <w:szCs w:val="24"/>
              </w:rPr>
              <w:t>2025年10月27日</w:t>
            </w:r>
          </w:p>
        </w:tc>
      </w:tr>
      <w:tr w:rsidR="00F67B0B" w:rsidRPr="003E55B1" w:rsidTr="00644325">
        <w:trPr>
          <w:trHeight w:hRule="exact" w:val="510"/>
        </w:trPr>
        <w:tc>
          <w:tcPr>
            <w:tcW w:w="2830" w:type="dxa"/>
            <w:shd w:val="clear" w:color="auto" w:fill="auto"/>
            <w:vAlign w:val="center"/>
          </w:tcPr>
          <w:p w:rsidR="00F67B0B" w:rsidRPr="003E55B1" w:rsidRDefault="00F67B0B" w:rsidP="00F67B0B">
            <w:pPr>
              <w:pStyle w:val="TableParagraph"/>
              <w:spacing w:line="360" w:lineRule="auto"/>
              <w:ind w:left="103"/>
              <w:rPr>
                <w:rFonts w:cs="Times New Roman"/>
                <w:sz w:val="24"/>
                <w:szCs w:val="24"/>
              </w:rPr>
            </w:pPr>
            <w:r w:rsidRPr="006A50FF">
              <w:rPr>
                <w:sz w:val="24"/>
              </w:rPr>
              <w:t>转换起始日</w:t>
            </w:r>
          </w:p>
        </w:tc>
        <w:tc>
          <w:tcPr>
            <w:tcW w:w="5847" w:type="dxa"/>
            <w:gridSpan w:val="2"/>
            <w:shd w:val="clear" w:color="auto" w:fill="auto"/>
            <w:vAlign w:val="center"/>
          </w:tcPr>
          <w:p w:rsidR="00F67B0B" w:rsidRDefault="00F67B0B" w:rsidP="00F67B0B">
            <w:pPr>
              <w:pStyle w:val="TableParagraph"/>
              <w:spacing w:line="360" w:lineRule="auto"/>
              <w:rPr>
                <w:rFonts w:cs="Times New Roman"/>
                <w:sz w:val="24"/>
                <w:szCs w:val="24"/>
              </w:rPr>
            </w:pPr>
            <w:r w:rsidRPr="00F67B0B">
              <w:rPr>
                <w:rFonts w:cs="Times New Roman" w:hint="eastAsia"/>
                <w:sz w:val="24"/>
                <w:szCs w:val="24"/>
              </w:rPr>
              <w:t>2025年10月27日</w:t>
            </w:r>
          </w:p>
        </w:tc>
      </w:tr>
      <w:tr w:rsidR="00B32934" w:rsidRPr="003E55B1" w:rsidTr="00644325">
        <w:trPr>
          <w:trHeight w:hRule="exact" w:val="510"/>
        </w:trPr>
        <w:tc>
          <w:tcPr>
            <w:tcW w:w="2830" w:type="dxa"/>
            <w:shd w:val="clear" w:color="auto" w:fill="auto"/>
          </w:tcPr>
          <w:p w:rsidR="00B32934" w:rsidRPr="006A50FF" w:rsidRDefault="00B32934" w:rsidP="00B32934">
            <w:pPr>
              <w:pStyle w:val="TableParagraph"/>
              <w:spacing w:line="360" w:lineRule="auto"/>
              <w:ind w:left="103"/>
              <w:rPr>
                <w:sz w:val="24"/>
              </w:rPr>
            </w:pPr>
            <w:r w:rsidRPr="006736CE">
              <w:rPr>
                <w:rFonts w:hint="eastAsia"/>
                <w:sz w:val="24"/>
              </w:rPr>
              <w:t>定期定额投资起始日</w:t>
            </w:r>
          </w:p>
        </w:tc>
        <w:tc>
          <w:tcPr>
            <w:tcW w:w="5847" w:type="dxa"/>
            <w:gridSpan w:val="2"/>
            <w:shd w:val="clear" w:color="auto" w:fill="auto"/>
            <w:vAlign w:val="center"/>
          </w:tcPr>
          <w:p w:rsidR="00B32934" w:rsidRPr="00F67B0B" w:rsidRDefault="00F910F9" w:rsidP="00B32934">
            <w:pPr>
              <w:pStyle w:val="TableParagraph"/>
              <w:spacing w:line="360" w:lineRule="auto"/>
              <w:rPr>
                <w:rFonts w:cs="Times New Roman"/>
                <w:sz w:val="24"/>
                <w:szCs w:val="24"/>
              </w:rPr>
            </w:pPr>
            <w:r w:rsidRPr="00F910F9">
              <w:rPr>
                <w:rFonts w:cs="Times New Roman" w:hint="eastAsia"/>
                <w:sz w:val="24"/>
                <w:szCs w:val="24"/>
              </w:rPr>
              <w:t>2025年10月27日</w:t>
            </w:r>
          </w:p>
        </w:tc>
      </w:tr>
      <w:tr w:rsidR="0080376A" w:rsidRPr="003E55B1" w:rsidTr="00C52E41">
        <w:trPr>
          <w:trHeight w:hRule="exact" w:val="1158"/>
        </w:trPr>
        <w:tc>
          <w:tcPr>
            <w:tcW w:w="2830" w:type="dxa"/>
            <w:shd w:val="clear" w:color="auto" w:fill="auto"/>
          </w:tcPr>
          <w:p w:rsidR="0080376A" w:rsidRPr="006A50FF" w:rsidRDefault="0080376A" w:rsidP="0080376A">
            <w:pPr>
              <w:pStyle w:val="TableParagraph"/>
              <w:spacing w:line="360" w:lineRule="auto"/>
              <w:ind w:left="103"/>
              <w:rPr>
                <w:sz w:val="24"/>
                <w:lang w:eastAsia="zh-CN"/>
              </w:rPr>
            </w:pPr>
            <w:r>
              <w:rPr>
                <w:rFonts w:hint="eastAsia"/>
                <w:sz w:val="24"/>
                <w:lang w:eastAsia="zh-CN"/>
              </w:rPr>
              <w:t>下属分级基金的基金简称</w:t>
            </w:r>
          </w:p>
        </w:tc>
        <w:tc>
          <w:tcPr>
            <w:tcW w:w="2994" w:type="dxa"/>
            <w:shd w:val="clear" w:color="auto" w:fill="auto"/>
            <w:vAlign w:val="center"/>
          </w:tcPr>
          <w:p w:rsidR="0080376A" w:rsidRPr="00F67B0B" w:rsidRDefault="009C1949" w:rsidP="0080376A">
            <w:pPr>
              <w:pStyle w:val="TableParagraph"/>
              <w:spacing w:line="360" w:lineRule="auto"/>
              <w:rPr>
                <w:rFonts w:cs="Times New Roman"/>
                <w:sz w:val="24"/>
                <w:szCs w:val="24"/>
                <w:lang w:eastAsia="zh-CN"/>
              </w:rPr>
            </w:pPr>
            <w:r>
              <w:rPr>
                <w:rFonts w:hint="eastAsia"/>
                <w:sz w:val="24"/>
                <w:lang w:eastAsia="zh-CN"/>
              </w:rPr>
              <w:t>华安国证航天航空行业ETF发起式联接</w:t>
            </w:r>
            <w:r w:rsidR="0080376A" w:rsidRPr="001928C1">
              <w:rPr>
                <w:rFonts w:hint="eastAsia"/>
                <w:sz w:val="24"/>
                <w:lang w:eastAsia="zh-CN"/>
              </w:rPr>
              <w:t>A</w:t>
            </w:r>
          </w:p>
        </w:tc>
        <w:tc>
          <w:tcPr>
            <w:tcW w:w="2853" w:type="dxa"/>
            <w:shd w:val="clear" w:color="auto" w:fill="auto"/>
            <w:vAlign w:val="center"/>
          </w:tcPr>
          <w:p w:rsidR="0080376A" w:rsidRPr="00F67B0B" w:rsidRDefault="00B84678" w:rsidP="0080376A">
            <w:pPr>
              <w:pStyle w:val="TableParagraph"/>
              <w:spacing w:line="360" w:lineRule="auto"/>
              <w:rPr>
                <w:rFonts w:cs="Times New Roman"/>
                <w:sz w:val="24"/>
                <w:szCs w:val="24"/>
                <w:lang w:eastAsia="zh-CN"/>
              </w:rPr>
            </w:pPr>
            <w:r w:rsidRPr="00B84678">
              <w:rPr>
                <w:rFonts w:hint="eastAsia"/>
                <w:sz w:val="24"/>
                <w:lang w:eastAsia="zh-CN"/>
              </w:rPr>
              <w:t>华安国证航天航空行业ETF发起式联接</w:t>
            </w:r>
            <w:r w:rsidR="0080376A" w:rsidRPr="00F734DF">
              <w:rPr>
                <w:rFonts w:hint="eastAsia"/>
                <w:sz w:val="24"/>
                <w:lang w:eastAsia="zh-CN"/>
              </w:rPr>
              <w:t>C</w:t>
            </w:r>
          </w:p>
        </w:tc>
      </w:tr>
      <w:tr w:rsidR="0080376A" w:rsidRPr="003E55B1" w:rsidTr="00C52E41">
        <w:trPr>
          <w:trHeight w:hRule="exact" w:val="577"/>
        </w:trPr>
        <w:tc>
          <w:tcPr>
            <w:tcW w:w="2830" w:type="dxa"/>
            <w:shd w:val="clear" w:color="auto" w:fill="auto"/>
          </w:tcPr>
          <w:p w:rsidR="0080376A" w:rsidRPr="006A50FF" w:rsidRDefault="0080376A" w:rsidP="0080376A">
            <w:pPr>
              <w:pStyle w:val="TableParagraph"/>
              <w:spacing w:line="360" w:lineRule="auto"/>
              <w:ind w:left="103"/>
              <w:rPr>
                <w:sz w:val="24"/>
                <w:lang w:eastAsia="zh-CN"/>
              </w:rPr>
            </w:pPr>
            <w:r>
              <w:rPr>
                <w:rFonts w:hint="eastAsia"/>
                <w:sz w:val="24"/>
                <w:lang w:eastAsia="zh-CN"/>
              </w:rPr>
              <w:t>下属分级基金的交易代码</w:t>
            </w:r>
          </w:p>
        </w:tc>
        <w:tc>
          <w:tcPr>
            <w:tcW w:w="2994" w:type="dxa"/>
            <w:shd w:val="clear" w:color="auto" w:fill="auto"/>
          </w:tcPr>
          <w:p w:rsidR="0080376A" w:rsidRPr="00F67B0B" w:rsidRDefault="00D248E0" w:rsidP="0080376A">
            <w:pPr>
              <w:pStyle w:val="TableParagraph"/>
              <w:spacing w:line="360" w:lineRule="auto"/>
              <w:rPr>
                <w:rFonts w:cs="Times New Roman"/>
                <w:sz w:val="24"/>
                <w:szCs w:val="24"/>
                <w:lang w:eastAsia="zh-CN"/>
              </w:rPr>
            </w:pPr>
            <w:r>
              <w:rPr>
                <w:rFonts w:cs="Times New Roman" w:hint="eastAsia"/>
                <w:sz w:val="24"/>
                <w:szCs w:val="24"/>
                <w:lang w:eastAsia="zh-CN"/>
              </w:rPr>
              <w:t>025732</w:t>
            </w:r>
          </w:p>
        </w:tc>
        <w:tc>
          <w:tcPr>
            <w:tcW w:w="2853" w:type="dxa"/>
            <w:shd w:val="clear" w:color="auto" w:fill="auto"/>
          </w:tcPr>
          <w:p w:rsidR="0080376A" w:rsidRPr="00F67B0B" w:rsidRDefault="00A65FD8" w:rsidP="0080376A">
            <w:pPr>
              <w:pStyle w:val="TableParagraph"/>
              <w:spacing w:line="360" w:lineRule="auto"/>
              <w:rPr>
                <w:rFonts w:cs="Times New Roman"/>
                <w:sz w:val="24"/>
                <w:szCs w:val="24"/>
                <w:lang w:eastAsia="zh-CN"/>
              </w:rPr>
            </w:pPr>
            <w:r w:rsidRPr="00A65FD8">
              <w:rPr>
                <w:rFonts w:hint="eastAsia"/>
                <w:sz w:val="24"/>
              </w:rPr>
              <w:t>025733</w:t>
            </w:r>
          </w:p>
        </w:tc>
      </w:tr>
      <w:tr w:rsidR="0080376A" w:rsidRPr="003E55B1" w:rsidTr="00644325">
        <w:trPr>
          <w:trHeight w:hRule="exact" w:val="1313"/>
        </w:trPr>
        <w:tc>
          <w:tcPr>
            <w:tcW w:w="2830" w:type="dxa"/>
            <w:shd w:val="clear" w:color="auto" w:fill="auto"/>
            <w:vAlign w:val="center"/>
          </w:tcPr>
          <w:p w:rsidR="0080376A" w:rsidRPr="00644325" w:rsidRDefault="0080376A" w:rsidP="00644325">
            <w:pPr>
              <w:spacing w:line="360" w:lineRule="auto"/>
              <w:rPr>
                <w:color w:val="000000"/>
                <w:sz w:val="24"/>
              </w:rPr>
            </w:pPr>
            <w:r>
              <w:rPr>
                <w:rFonts w:hint="eastAsia"/>
                <w:color w:val="000000"/>
                <w:sz w:val="24"/>
              </w:rPr>
              <w:lastRenderedPageBreak/>
              <w:t>该分级基金是否开放申购、赎回</w:t>
            </w:r>
            <w:r w:rsidRPr="004E163F">
              <w:rPr>
                <w:rFonts w:hint="eastAsia"/>
                <w:color w:val="000000"/>
                <w:sz w:val="24"/>
              </w:rPr>
              <w:t>、转换和定期定额投资</w:t>
            </w:r>
          </w:p>
        </w:tc>
        <w:tc>
          <w:tcPr>
            <w:tcW w:w="2994" w:type="dxa"/>
            <w:shd w:val="clear" w:color="auto" w:fill="auto"/>
            <w:vAlign w:val="center"/>
          </w:tcPr>
          <w:p w:rsidR="0080376A" w:rsidRPr="00F67B0B" w:rsidRDefault="0080376A" w:rsidP="0080376A">
            <w:pPr>
              <w:pStyle w:val="TableParagraph"/>
              <w:spacing w:line="360" w:lineRule="auto"/>
              <w:rPr>
                <w:rFonts w:cs="Times New Roman"/>
                <w:sz w:val="24"/>
                <w:szCs w:val="24"/>
                <w:lang w:eastAsia="zh-CN"/>
              </w:rPr>
            </w:pPr>
            <w:r>
              <w:rPr>
                <w:rFonts w:hint="eastAsia"/>
                <w:sz w:val="24"/>
              </w:rPr>
              <w:t>是</w:t>
            </w:r>
          </w:p>
        </w:tc>
        <w:tc>
          <w:tcPr>
            <w:tcW w:w="2853" w:type="dxa"/>
            <w:shd w:val="clear" w:color="auto" w:fill="auto"/>
            <w:vAlign w:val="center"/>
          </w:tcPr>
          <w:p w:rsidR="0080376A" w:rsidRPr="00F67B0B" w:rsidRDefault="0080376A" w:rsidP="0080376A">
            <w:pPr>
              <w:pStyle w:val="TableParagraph"/>
              <w:spacing w:line="360" w:lineRule="auto"/>
              <w:rPr>
                <w:rFonts w:cs="Times New Roman"/>
                <w:sz w:val="24"/>
                <w:szCs w:val="24"/>
                <w:lang w:eastAsia="zh-CN"/>
              </w:rPr>
            </w:pPr>
            <w:r>
              <w:rPr>
                <w:rFonts w:hint="eastAsia"/>
                <w:sz w:val="24"/>
              </w:rPr>
              <w:t>是</w:t>
            </w:r>
          </w:p>
        </w:tc>
      </w:tr>
    </w:tbl>
    <w:p w:rsidR="00F47762" w:rsidRPr="003E55B1" w:rsidRDefault="00475A85" w:rsidP="001534CA">
      <w:pPr>
        <w:pStyle w:val="a5"/>
        <w:spacing w:before="39" w:line="360" w:lineRule="auto"/>
        <w:ind w:left="220"/>
        <w:jc w:val="both"/>
        <w:rPr>
          <w:rFonts w:ascii="宋体" w:eastAsia="宋体" w:hAnsi="宋体" w:hint="default"/>
          <w:sz w:val="24"/>
          <w:szCs w:val="24"/>
        </w:rPr>
      </w:pPr>
      <w:r w:rsidRPr="003E55B1">
        <w:rPr>
          <w:rFonts w:ascii="宋体" w:eastAsia="宋体" w:hAnsi="宋体" w:hint="default"/>
          <w:sz w:val="24"/>
          <w:szCs w:val="24"/>
        </w:rPr>
        <w:t>注：</w:t>
      </w:r>
      <w:r w:rsidR="00504B19" w:rsidRPr="00504B19">
        <w:rPr>
          <w:rFonts w:ascii="宋体" w:eastAsia="宋体" w:hAnsi="宋体"/>
          <w:sz w:val="24"/>
          <w:szCs w:val="24"/>
        </w:rPr>
        <w:t>销售对象</w:t>
      </w:r>
      <w:r w:rsidR="00B4640C">
        <w:rPr>
          <w:rFonts w:ascii="宋体" w:eastAsia="宋体" w:hAnsi="宋体"/>
          <w:sz w:val="24"/>
          <w:szCs w:val="24"/>
        </w:rPr>
        <w:t>为</w:t>
      </w:r>
      <w:r w:rsidR="001A25B6" w:rsidRPr="001A25B6">
        <w:rPr>
          <w:rFonts w:ascii="宋体" w:eastAsia="宋体" w:hAnsi="宋体"/>
          <w:sz w:val="24"/>
          <w:szCs w:val="24"/>
        </w:rPr>
        <w:t>符合法律法规规定的可投资于证券投资基金的个人投资者、机构投资者、合格境外投资者、发起资金提供方</w:t>
      </w:r>
      <w:r w:rsidR="001A25B6">
        <w:rPr>
          <w:rFonts w:ascii="宋体" w:eastAsia="宋体" w:hAnsi="宋体"/>
          <w:sz w:val="24"/>
          <w:szCs w:val="24"/>
        </w:rPr>
        <w:t>以及法律法规或中国证监会允许购买证券投资基金的其他投资人</w:t>
      </w:r>
      <w:r w:rsidR="00504B19" w:rsidRPr="00504B19">
        <w:rPr>
          <w:rFonts w:ascii="宋体" w:eastAsia="宋体" w:hAnsi="宋体"/>
          <w:sz w:val="24"/>
          <w:szCs w:val="24"/>
        </w:rPr>
        <w:t>。</w:t>
      </w:r>
    </w:p>
    <w:p w:rsidR="00A05EFC" w:rsidRPr="00F512B6" w:rsidRDefault="00F27805" w:rsidP="00F512B6">
      <w:pPr>
        <w:spacing w:line="360" w:lineRule="auto"/>
        <w:ind w:firstLineChars="196" w:firstLine="472"/>
        <w:outlineLvl w:val="2"/>
        <w:rPr>
          <w:b/>
          <w:sz w:val="24"/>
        </w:rPr>
      </w:pPr>
      <w:r w:rsidRPr="00F512B6">
        <w:rPr>
          <w:b/>
          <w:sz w:val="24"/>
        </w:rPr>
        <w:t>2</w:t>
      </w:r>
      <w:r w:rsidR="00AE7307" w:rsidRPr="00F512B6">
        <w:rPr>
          <w:rFonts w:hint="eastAsia"/>
          <w:b/>
          <w:sz w:val="24"/>
        </w:rPr>
        <w:t>.</w:t>
      </w:r>
      <w:r w:rsidR="00531D93" w:rsidRPr="00531D93">
        <w:rPr>
          <w:rFonts w:hint="eastAsia"/>
          <w:b/>
          <w:sz w:val="24"/>
        </w:rPr>
        <w:t>日常申购、赎回、转换和定期定额业务的办理时间</w:t>
      </w:r>
    </w:p>
    <w:p w:rsidR="00546962" w:rsidRPr="00546962" w:rsidRDefault="00546962" w:rsidP="00546962">
      <w:pPr>
        <w:spacing w:line="360" w:lineRule="auto"/>
        <w:ind w:firstLineChars="200" w:firstLine="480"/>
        <w:rPr>
          <w:rFonts w:ascii="宋体" w:hAnsi="宋体"/>
          <w:sz w:val="24"/>
        </w:rPr>
      </w:pPr>
      <w:r w:rsidRPr="00202E0F">
        <w:rPr>
          <w:rFonts w:ascii="宋体" w:hAnsi="宋体" w:hint="eastAsia"/>
          <w:sz w:val="24"/>
        </w:rPr>
        <w:t>投资人在开放日办理基金份额的申购和赎回，具体办理时间为上海证券交易所、深圳证券交易所的正常交易日的交易时间</w:t>
      </w:r>
      <w:r w:rsidRPr="00546962">
        <w:rPr>
          <w:rFonts w:ascii="宋体" w:hAnsi="宋体" w:hint="eastAsia"/>
          <w:sz w:val="24"/>
        </w:rPr>
        <w:t>，但基金管理人根据法律法规、中国证监会的要求或基金合同的规定公告暂停申购、赎回时除外。</w:t>
      </w:r>
    </w:p>
    <w:p w:rsidR="00C55D02" w:rsidRPr="003E55B1" w:rsidRDefault="00546962" w:rsidP="00546962">
      <w:pPr>
        <w:spacing w:line="360" w:lineRule="auto"/>
        <w:ind w:firstLineChars="200" w:firstLine="480"/>
        <w:rPr>
          <w:rFonts w:ascii="宋体" w:hAnsi="宋体"/>
          <w:sz w:val="24"/>
        </w:rPr>
      </w:pPr>
      <w:r w:rsidRPr="00546962">
        <w:rPr>
          <w:rFonts w:ascii="宋体" w:hAnsi="宋体" w:hint="eastAsia"/>
          <w:sz w:val="24"/>
        </w:rPr>
        <w:t>基金合同生效后，若出现新的证券/期货交易市场、证券/期货交易所交易时间变更或其他特殊情况</w:t>
      </w:r>
      <w:r w:rsidR="002E6B2F" w:rsidRPr="002E6B2F">
        <w:rPr>
          <w:rFonts w:ascii="宋体" w:hAnsi="宋体" w:hint="eastAsia"/>
          <w:sz w:val="24"/>
        </w:rPr>
        <w:t>或根据业务需要</w:t>
      </w:r>
      <w:r w:rsidRPr="00546962">
        <w:rPr>
          <w:rFonts w:ascii="宋体" w:hAnsi="宋体" w:hint="eastAsia"/>
          <w:sz w:val="24"/>
        </w:rPr>
        <w:t>，基金管理人将视情况对前述开放日及开放时间进行相应的调整，但应在实施日前依照</w:t>
      </w:r>
      <w:r w:rsidR="00BB6906" w:rsidRPr="00BB6906">
        <w:rPr>
          <w:rFonts w:ascii="宋体" w:hAnsi="宋体" w:hint="eastAsia"/>
          <w:sz w:val="24"/>
        </w:rPr>
        <w:t>《公开募集证券投资基金信息披露管理办法》</w:t>
      </w:r>
      <w:r w:rsidR="009678DD" w:rsidRPr="009678DD">
        <w:rPr>
          <w:rFonts w:ascii="宋体" w:hAnsi="宋体" w:hint="eastAsia"/>
          <w:sz w:val="24"/>
        </w:rPr>
        <w:t>（以下简称《信息披露办法》）</w:t>
      </w:r>
      <w:r w:rsidRPr="00546962">
        <w:rPr>
          <w:rFonts w:ascii="宋体" w:hAnsi="宋体" w:hint="eastAsia"/>
          <w:sz w:val="24"/>
        </w:rPr>
        <w:t>的有关规定在规定媒介上公告。</w:t>
      </w:r>
    </w:p>
    <w:p w:rsidR="00681821" w:rsidRDefault="00681821" w:rsidP="00BE5432">
      <w:pPr>
        <w:pStyle w:val="30"/>
        <w:keepNext w:val="0"/>
        <w:keepLines w:val="0"/>
        <w:spacing w:before="0" w:after="0" w:line="360" w:lineRule="auto"/>
        <w:rPr>
          <w:rFonts w:ascii="宋体" w:hAnsi="宋体"/>
          <w:bCs w:val="0"/>
          <w:sz w:val="24"/>
          <w:szCs w:val="24"/>
        </w:rPr>
      </w:pPr>
    </w:p>
    <w:p w:rsidR="00681821" w:rsidRPr="00681821" w:rsidRDefault="00681821" w:rsidP="00681821">
      <w:pPr>
        <w:spacing w:line="360" w:lineRule="auto"/>
        <w:ind w:firstLineChars="196" w:firstLine="472"/>
        <w:outlineLvl w:val="2"/>
        <w:rPr>
          <w:b/>
          <w:sz w:val="24"/>
        </w:rPr>
      </w:pPr>
      <w:r w:rsidRPr="00681821">
        <w:rPr>
          <w:b/>
          <w:sz w:val="24"/>
        </w:rPr>
        <w:t>3.</w:t>
      </w:r>
      <w:r w:rsidRPr="00681821">
        <w:rPr>
          <w:b/>
          <w:sz w:val="24"/>
        </w:rPr>
        <w:t>日常申购业务</w:t>
      </w:r>
    </w:p>
    <w:p w:rsidR="00681821" w:rsidRPr="00681821" w:rsidRDefault="00681821" w:rsidP="00681821">
      <w:pPr>
        <w:spacing w:line="360" w:lineRule="auto"/>
        <w:ind w:firstLineChars="196" w:firstLine="472"/>
        <w:rPr>
          <w:b/>
          <w:bCs/>
          <w:color w:val="000000"/>
          <w:sz w:val="24"/>
        </w:rPr>
      </w:pPr>
      <w:r w:rsidRPr="00681821">
        <w:rPr>
          <w:b/>
          <w:bCs/>
          <w:color w:val="000000"/>
          <w:sz w:val="24"/>
        </w:rPr>
        <w:t xml:space="preserve">3.1 </w:t>
      </w:r>
      <w:r w:rsidRPr="00681821">
        <w:rPr>
          <w:b/>
          <w:bCs/>
          <w:color w:val="000000"/>
          <w:sz w:val="24"/>
        </w:rPr>
        <w:t>申购金额限制</w:t>
      </w:r>
    </w:p>
    <w:p w:rsidR="00681821" w:rsidRPr="00681821" w:rsidRDefault="00C34DB4" w:rsidP="00681821">
      <w:pPr>
        <w:spacing w:line="360" w:lineRule="auto"/>
        <w:ind w:firstLineChars="200" w:firstLine="480"/>
        <w:rPr>
          <w:sz w:val="24"/>
        </w:rPr>
      </w:pPr>
      <w:r w:rsidRPr="00C34DB4">
        <w:rPr>
          <w:rFonts w:hint="eastAsia"/>
          <w:sz w:val="24"/>
        </w:rPr>
        <w:t>投资者通过基金管理人以外的销售机构</w:t>
      </w:r>
      <w:r w:rsidR="008600D3" w:rsidRPr="008600D3">
        <w:rPr>
          <w:rFonts w:hint="eastAsia"/>
          <w:sz w:val="24"/>
        </w:rPr>
        <w:t>或基金管理人的电子交易平台申购本基金的，每个基金账户申购的单笔最低金额为人民币</w:t>
      </w:r>
      <w:r w:rsidR="008600D3" w:rsidRPr="008600D3">
        <w:rPr>
          <w:rFonts w:hint="eastAsia"/>
          <w:sz w:val="24"/>
        </w:rPr>
        <w:t>1</w:t>
      </w:r>
      <w:r w:rsidR="008600D3" w:rsidRPr="008600D3">
        <w:rPr>
          <w:rFonts w:hint="eastAsia"/>
          <w:sz w:val="24"/>
        </w:rPr>
        <w:t>元（含申购费，下同）。各销售机构对最低申购限额及交易级差有其他规定的，以各销售机构的业务规定为准。投资者通过直销机构（电子交易平台除外）申购本基金的，单笔最低申购金额为人民币</w:t>
      </w:r>
      <w:r w:rsidR="008600D3" w:rsidRPr="008600D3">
        <w:rPr>
          <w:rFonts w:hint="eastAsia"/>
          <w:sz w:val="24"/>
        </w:rPr>
        <w:t>100,000</w:t>
      </w:r>
      <w:r w:rsidR="008600D3" w:rsidRPr="008600D3">
        <w:rPr>
          <w:rFonts w:hint="eastAsia"/>
          <w:sz w:val="24"/>
        </w:rPr>
        <w:t>元。投资者当期分配的基金收益转购</w:t>
      </w:r>
      <w:r w:rsidR="00CA1338" w:rsidRPr="00CA1338">
        <w:rPr>
          <w:rFonts w:hint="eastAsia"/>
          <w:sz w:val="24"/>
        </w:rPr>
        <w:t>相应类别的</w:t>
      </w:r>
      <w:r w:rsidR="008600D3" w:rsidRPr="008600D3">
        <w:rPr>
          <w:rFonts w:hint="eastAsia"/>
          <w:sz w:val="24"/>
        </w:rPr>
        <w:t>基金份额或采用定期定额投资计划时，不受最低申购金额的限制。</w:t>
      </w:r>
    </w:p>
    <w:p w:rsidR="00681821" w:rsidRPr="00681821" w:rsidRDefault="00CA7193" w:rsidP="00681821">
      <w:pPr>
        <w:spacing w:line="360" w:lineRule="auto"/>
        <w:ind w:firstLineChars="200" w:firstLine="480"/>
        <w:rPr>
          <w:bCs/>
          <w:sz w:val="24"/>
          <w:szCs w:val="20"/>
        </w:rPr>
      </w:pPr>
      <w:r w:rsidRPr="00CA7193">
        <w:rPr>
          <w:rFonts w:hint="eastAsia"/>
          <w:bCs/>
          <w:sz w:val="24"/>
          <w:szCs w:val="20"/>
        </w:rPr>
        <w:t>本基金不对单个投资人累计持有的基金份额上限进行限制，但法律法规或监管要求另有规定的除外。投资者可多次申购。</w:t>
      </w:r>
    </w:p>
    <w:p w:rsidR="00681821" w:rsidRPr="00681821" w:rsidRDefault="00B21E4E" w:rsidP="00681821">
      <w:pPr>
        <w:spacing w:line="360" w:lineRule="auto"/>
        <w:ind w:firstLineChars="200" w:firstLine="480"/>
        <w:rPr>
          <w:sz w:val="24"/>
        </w:rPr>
      </w:pPr>
      <w:r w:rsidRPr="00B21E4E">
        <w:rPr>
          <w:rFonts w:hint="eastAsia"/>
          <w:bCs/>
          <w:sz w:val="24"/>
          <w:szCs w:val="20"/>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681821" w:rsidRPr="00681821" w:rsidRDefault="007B47DE" w:rsidP="00681821">
      <w:pPr>
        <w:spacing w:line="360" w:lineRule="auto"/>
        <w:ind w:firstLineChars="200" w:firstLine="480"/>
        <w:rPr>
          <w:sz w:val="24"/>
        </w:rPr>
      </w:pPr>
      <w:r w:rsidRPr="007B47DE">
        <w:rPr>
          <w:rFonts w:hint="eastAsia"/>
          <w:sz w:val="24"/>
        </w:rPr>
        <w:lastRenderedPageBreak/>
        <w:t>基金管理人可在法律法规允许的情况下，调整上述规定申购金额的数量限制，或新增基金规模控制措施。基金管理人必须在调整实施前依照《信息披露办法》的有关规定在规定媒介上公告。</w:t>
      </w:r>
    </w:p>
    <w:p w:rsidR="00681821" w:rsidRPr="00681821" w:rsidRDefault="00681821" w:rsidP="00681821">
      <w:pPr>
        <w:spacing w:line="360" w:lineRule="auto"/>
        <w:ind w:firstLineChars="196" w:firstLine="472"/>
        <w:rPr>
          <w:b/>
          <w:bCs/>
          <w:color w:val="000000"/>
          <w:sz w:val="24"/>
        </w:rPr>
      </w:pPr>
      <w:r w:rsidRPr="00681821">
        <w:rPr>
          <w:b/>
          <w:bCs/>
          <w:color w:val="000000"/>
          <w:sz w:val="24"/>
        </w:rPr>
        <w:t xml:space="preserve">3.2 </w:t>
      </w:r>
      <w:r w:rsidRPr="00681821">
        <w:rPr>
          <w:b/>
          <w:bCs/>
          <w:color w:val="000000"/>
          <w:sz w:val="24"/>
        </w:rPr>
        <w:t>申购费率</w:t>
      </w:r>
    </w:p>
    <w:p w:rsidR="00BF7109" w:rsidRDefault="00BF7109" w:rsidP="00462309">
      <w:pPr>
        <w:spacing w:line="360" w:lineRule="auto"/>
        <w:ind w:firstLineChars="200" w:firstLine="480"/>
        <w:rPr>
          <w:sz w:val="24"/>
        </w:rPr>
      </w:pPr>
      <w:r>
        <w:rPr>
          <w:sz w:val="24"/>
        </w:rPr>
        <w:t>本基金</w:t>
      </w:r>
      <w:r>
        <w:rPr>
          <w:sz w:val="24"/>
        </w:rPr>
        <w:t>A</w:t>
      </w:r>
      <w:r>
        <w:rPr>
          <w:sz w:val="24"/>
        </w:rPr>
        <w:t>类基金份额在投资者申购时收取申购费，</w:t>
      </w:r>
      <w:r>
        <w:rPr>
          <w:sz w:val="24"/>
        </w:rPr>
        <w:t>C</w:t>
      </w:r>
      <w:r>
        <w:rPr>
          <w:sz w:val="24"/>
        </w:rPr>
        <w:t>类基金份额不收取申购费。</w:t>
      </w:r>
    </w:p>
    <w:p w:rsidR="00BF7109" w:rsidRDefault="00BF7109" w:rsidP="00462309">
      <w:pPr>
        <w:spacing w:line="360" w:lineRule="auto"/>
        <w:ind w:firstLineChars="200" w:firstLine="480"/>
        <w:rPr>
          <w:rFonts w:hAnsi="宋体"/>
          <w:sz w:val="24"/>
        </w:rPr>
      </w:pPr>
      <w:r>
        <w:rPr>
          <w:rFonts w:hAnsi="宋体"/>
          <w:sz w:val="24"/>
        </w:rPr>
        <w:t>本基金对通过直销机构申购</w:t>
      </w:r>
      <w:r>
        <w:rPr>
          <w:rFonts w:hAnsi="宋体" w:hint="eastAsia"/>
          <w:sz w:val="24"/>
        </w:rPr>
        <w:t>A</w:t>
      </w:r>
      <w:r>
        <w:rPr>
          <w:rFonts w:hAnsi="宋体" w:hint="eastAsia"/>
          <w:sz w:val="24"/>
        </w:rPr>
        <w:t>类</w:t>
      </w:r>
      <w:r>
        <w:rPr>
          <w:rFonts w:hAnsi="宋体"/>
          <w:sz w:val="24"/>
        </w:rPr>
        <w:t>基金份额的养老金客户与除此之外的其他投资人实施差别化的申购费率。</w:t>
      </w:r>
    </w:p>
    <w:p w:rsidR="00BF7109" w:rsidRDefault="00BF7109" w:rsidP="00462309">
      <w:pPr>
        <w:spacing w:line="360" w:lineRule="auto"/>
        <w:ind w:firstLineChars="200" w:firstLine="480"/>
        <w:rPr>
          <w:rFonts w:hAnsi="宋体"/>
          <w:sz w:val="24"/>
        </w:rPr>
      </w:pPr>
      <w:r>
        <w:rPr>
          <w:rFonts w:hAnsi="宋体" w:hint="eastAsia"/>
          <w:sz w:val="24"/>
        </w:rPr>
        <w:t>养老金客户指基本养老基金与依法成立的养老计划筹集的资金及其投资运营收益形成的补充养老基金，包括全国社会保障基金、可以投资基金的地方社会保障基金、企业年金单一计划、集合计划及职业年金。如将来出现经养老基金监管部门认可的新的养老基金类型，基金管理人可在招募说明书更新时或发布临时公告将其纳入养老金客户范围。非养老金客户指除养老金客户外的其他投资人。</w:t>
      </w:r>
    </w:p>
    <w:p w:rsidR="00BF7109" w:rsidRDefault="00BF7109" w:rsidP="00462309">
      <w:pPr>
        <w:spacing w:line="360" w:lineRule="auto"/>
        <w:ind w:firstLineChars="200" w:firstLine="480"/>
        <w:rPr>
          <w:rFonts w:hAnsi="宋体"/>
          <w:sz w:val="24"/>
        </w:rPr>
      </w:pPr>
      <w:r>
        <w:rPr>
          <w:rFonts w:hAnsi="宋体"/>
          <w:sz w:val="24"/>
        </w:rPr>
        <w:t>通过直销机构申购本基金</w:t>
      </w:r>
      <w:r>
        <w:rPr>
          <w:sz w:val="24"/>
        </w:rPr>
        <w:t>A</w:t>
      </w:r>
      <w:r>
        <w:rPr>
          <w:sz w:val="24"/>
        </w:rPr>
        <w:t>类基金份额</w:t>
      </w:r>
      <w:r>
        <w:rPr>
          <w:rFonts w:hAnsi="宋体"/>
          <w:sz w:val="24"/>
        </w:rPr>
        <w:t>的养老金客户申购费率为每笔</w:t>
      </w:r>
      <w:r>
        <w:rPr>
          <w:sz w:val="24"/>
        </w:rPr>
        <w:t>500</w:t>
      </w:r>
      <w:r>
        <w:rPr>
          <w:rFonts w:hAnsi="宋体"/>
          <w:sz w:val="24"/>
        </w:rPr>
        <w:t>元。其</w:t>
      </w:r>
      <w:r>
        <w:rPr>
          <w:rFonts w:hAnsi="宋体" w:hint="eastAsia"/>
          <w:sz w:val="24"/>
        </w:rPr>
        <w:t>他</w:t>
      </w:r>
      <w:r>
        <w:rPr>
          <w:rFonts w:hAnsi="宋体"/>
          <w:sz w:val="24"/>
        </w:rPr>
        <w:t>投资</w:t>
      </w:r>
      <w:r>
        <w:rPr>
          <w:rFonts w:hAnsi="宋体" w:hint="eastAsia"/>
          <w:sz w:val="24"/>
        </w:rPr>
        <w:t>人</w:t>
      </w:r>
      <w:r>
        <w:rPr>
          <w:rFonts w:hAnsi="宋体"/>
          <w:sz w:val="24"/>
        </w:rPr>
        <w:t>申购本基金</w:t>
      </w:r>
      <w:r>
        <w:rPr>
          <w:sz w:val="24"/>
        </w:rPr>
        <w:t>A</w:t>
      </w:r>
      <w:r>
        <w:rPr>
          <w:sz w:val="24"/>
        </w:rPr>
        <w:t>类基金份额</w:t>
      </w:r>
      <w:r>
        <w:rPr>
          <w:rFonts w:hAnsi="宋体"/>
          <w:sz w:val="24"/>
        </w:rPr>
        <w:t>的申购费率随申购金额的增加而递减</w:t>
      </w:r>
      <w:r>
        <w:rPr>
          <w:rFonts w:hAnsi="宋体" w:hint="eastAsia"/>
          <w:sz w:val="24"/>
        </w:rPr>
        <w:t>；</w:t>
      </w:r>
      <w:r>
        <w:rPr>
          <w:rFonts w:hAnsi="宋体"/>
          <w:sz w:val="24"/>
        </w:rPr>
        <w:t>投资者在一天之内如果有多笔申购，适用费率按单笔分别计算</w:t>
      </w:r>
      <w:r>
        <w:rPr>
          <w:rFonts w:hAnsi="宋体" w:hint="eastAsia"/>
          <w:sz w:val="24"/>
        </w:rPr>
        <w:t>。</w:t>
      </w:r>
      <w:r>
        <w:rPr>
          <w:rFonts w:hAnsi="宋体"/>
          <w:sz w:val="24"/>
        </w:rPr>
        <w:t>具体费率如下表所示：</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43"/>
        <w:gridCol w:w="3969"/>
        <w:gridCol w:w="2410"/>
      </w:tblGrid>
      <w:tr w:rsidR="0022487D" w:rsidRPr="000A4546" w:rsidTr="0073731E">
        <w:trPr>
          <w:tblHeader/>
        </w:trPr>
        <w:tc>
          <w:tcPr>
            <w:tcW w:w="1843" w:type="dxa"/>
            <w:tcBorders>
              <w:top w:val="single" w:sz="4" w:space="0" w:color="auto"/>
              <w:left w:val="single" w:sz="4" w:space="0" w:color="auto"/>
              <w:bottom w:val="single" w:sz="4" w:space="0" w:color="auto"/>
              <w:right w:val="single" w:sz="4" w:space="0" w:color="auto"/>
            </w:tcBorders>
            <w:vAlign w:val="center"/>
          </w:tcPr>
          <w:p w:rsidR="0022487D" w:rsidRPr="000A4546" w:rsidRDefault="0022487D" w:rsidP="0022487D">
            <w:pPr>
              <w:widowControl/>
              <w:tabs>
                <w:tab w:val="left" w:pos="-720"/>
              </w:tabs>
              <w:autoSpaceDE w:val="0"/>
              <w:autoSpaceDN w:val="0"/>
              <w:jc w:val="center"/>
              <w:textAlignment w:val="bottom"/>
              <w:rPr>
                <w:bCs/>
                <w:sz w:val="24"/>
              </w:rPr>
            </w:pPr>
            <w:r w:rsidRPr="004F5FDD">
              <w:rPr>
                <w:rFonts w:hint="eastAsia"/>
                <w:sz w:val="24"/>
              </w:rPr>
              <w:t>份额类型</w:t>
            </w:r>
          </w:p>
        </w:tc>
        <w:tc>
          <w:tcPr>
            <w:tcW w:w="3969" w:type="dxa"/>
            <w:tcBorders>
              <w:top w:val="single" w:sz="4" w:space="0" w:color="auto"/>
              <w:left w:val="single" w:sz="4" w:space="0" w:color="auto"/>
              <w:bottom w:val="single" w:sz="4" w:space="0" w:color="auto"/>
              <w:right w:val="single" w:sz="4" w:space="0" w:color="auto"/>
            </w:tcBorders>
            <w:vAlign w:val="center"/>
          </w:tcPr>
          <w:p w:rsidR="0022487D" w:rsidRPr="000A4546" w:rsidRDefault="0022487D" w:rsidP="0022487D">
            <w:pPr>
              <w:widowControl/>
              <w:tabs>
                <w:tab w:val="left" w:pos="-720"/>
              </w:tabs>
              <w:autoSpaceDE w:val="0"/>
              <w:autoSpaceDN w:val="0"/>
              <w:jc w:val="center"/>
              <w:textAlignment w:val="bottom"/>
              <w:rPr>
                <w:bCs/>
                <w:sz w:val="24"/>
              </w:rPr>
            </w:pPr>
            <w:r>
              <w:rPr>
                <w:sz w:val="24"/>
              </w:rPr>
              <w:t>单笔</w:t>
            </w:r>
            <w:r>
              <w:rPr>
                <w:rFonts w:hint="eastAsia"/>
                <w:sz w:val="24"/>
              </w:rPr>
              <w:t>申购</w:t>
            </w:r>
            <w:r>
              <w:rPr>
                <w:sz w:val="24"/>
              </w:rPr>
              <w:t>金额</w:t>
            </w:r>
            <w:r>
              <w:rPr>
                <w:rFonts w:hint="eastAsia"/>
                <w:sz w:val="24"/>
              </w:rPr>
              <w:t>（</w:t>
            </w:r>
            <w:r>
              <w:rPr>
                <w:sz w:val="24"/>
              </w:rPr>
              <w:t>M</w:t>
            </w:r>
            <w:r>
              <w:rPr>
                <w:rFonts w:hint="eastAsia"/>
                <w:sz w:val="24"/>
              </w:rPr>
              <w:t>，元</w:t>
            </w:r>
            <w:r>
              <w:rPr>
                <w:sz w:val="24"/>
              </w:rPr>
              <w:t>）</w:t>
            </w:r>
          </w:p>
        </w:tc>
        <w:tc>
          <w:tcPr>
            <w:tcW w:w="2410" w:type="dxa"/>
            <w:tcBorders>
              <w:top w:val="single" w:sz="4" w:space="0" w:color="auto"/>
              <w:left w:val="single" w:sz="4" w:space="0" w:color="auto"/>
              <w:bottom w:val="single" w:sz="4" w:space="0" w:color="auto"/>
              <w:right w:val="single" w:sz="4" w:space="0" w:color="auto"/>
            </w:tcBorders>
            <w:vAlign w:val="center"/>
          </w:tcPr>
          <w:p w:rsidR="0022487D" w:rsidRPr="000A4546" w:rsidRDefault="0022487D" w:rsidP="0022487D">
            <w:pPr>
              <w:widowControl/>
              <w:tabs>
                <w:tab w:val="left" w:pos="-720"/>
              </w:tabs>
              <w:autoSpaceDE w:val="0"/>
              <w:autoSpaceDN w:val="0"/>
              <w:jc w:val="center"/>
              <w:textAlignment w:val="bottom"/>
              <w:rPr>
                <w:bCs/>
                <w:sz w:val="24"/>
              </w:rPr>
            </w:pPr>
            <w:r>
              <w:rPr>
                <w:rFonts w:hint="eastAsia"/>
                <w:sz w:val="24"/>
              </w:rPr>
              <w:t>申购费率</w:t>
            </w:r>
          </w:p>
        </w:tc>
      </w:tr>
      <w:tr w:rsidR="0022487D" w:rsidRPr="000A4546" w:rsidTr="004C6C26">
        <w:tc>
          <w:tcPr>
            <w:tcW w:w="1843" w:type="dxa"/>
            <w:vMerge w:val="restart"/>
            <w:tcBorders>
              <w:top w:val="nil"/>
              <w:left w:val="single" w:sz="4" w:space="0" w:color="auto"/>
              <w:bottom w:val="nil"/>
              <w:right w:val="single" w:sz="4" w:space="0" w:color="auto"/>
            </w:tcBorders>
            <w:shd w:val="clear" w:color="auto" w:fill="auto"/>
            <w:vAlign w:val="center"/>
          </w:tcPr>
          <w:p w:rsidR="0022487D" w:rsidRPr="000A4546" w:rsidRDefault="0022487D" w:rsidP="004C6C26">
            <w:pPr>
              <w:widowControl/>
              <w:tabs>
                <w:tab w:val="left" w:pos="-720"/>
              </w:tabs>
              <w:autoSpaceDE w:val="0"/>
              <w:autoSpaceDN w:val="0"/>
              <w:jc w:val="center"/>
              <w:textAlignment w:val="bottom"/>
              <w:rPr>
                <w:bCs/>
                <w:sz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22487D" w:rsidRPr="000A4546" w:rsidRDefault="0022487D" w:rsidP="004C6C26">
            <w:pPr>
              <w:widowControl/>
              <w:tabs>
                <w:tab w:val="left" w:pos="-720"/>
              </w:tabs>
              <w:autoSpaceDE w:val="0"/>
              <w:autoSpaceDN w:val="0"/>
              <w:jc w:val="center"/>
              <w:textAlignment w:val="bottom"/>
              <w:rPr>
                <w:bCs/>
                <w:sz w:val="24"/>
              </w:rPr>
            </w:pPr>
            <w:r w:rsidRPr="000A4546">
              <w:rPr>
                <w:rFonts w:hint="eastAsia"/>
                <w:bCs/>
                <w:sz w:val="24"/>
              </w:rPr>
              <w:t xml:space="preserve"> </w:t>
            </w:r>
            <w:r w:rsidR="002A5F5E">
              <w:rPr>
                <w:sz w:val="24"/>
              </w:rPr>
              <w:t>M</w:t>
            </w:r>
            <w:r w:rsidRPr="000A4546">
              <w:rPr>
                <w:rFonts w:hint="eastAsia"/>
                <w:bCs/>
                <w:sz w:val="24"/>
              </w:rPr>
              <w:t xml:space="preserve"> &lt;50</w:t>
            </w:r>
            <w:r w:rsidR="00D305E2">
              <w:rPr>
                <w:sz w:val="24"/>
              </w:rPr>
              <w:t>万</w:t>
            </w:r>
          </w:p>
        </w:tc>
        <w:tc>
          <w:tcPr>
            <w:tcW w:w="2410" w:type="dxa"/>
            <w:tcBorders>
              <w:top w:val="single" w:sz="4" w:space="0" w:color="auto"/>
              <w:left w:val="single" w:sz="4" w:space="0" w:color="auto"/>
              <w:bottom w:val="single" w:sz="4" w:space="0" w:color="auto"/>
              <w:right w:val="single" w:sz="4" w:space="0" w:color="auto"/>
            </w:tcBorders>
            <w:vAlign w:val="center"/>
          </w:tcPr>
          <w:p w:rsidR="0022487D" w:rsidRPr="000A4546" w:rsidRDefault="0022487D" w:rsidP="004C6C26">
            <w:pPr>
              <w:widowControl/>
              <w:tabs>
                <w:tab w:val="left" w:pos="-720"/>
              </w:tabs>
              <w:autoSpaceDE w:val="0"/>
              <w:autoSpaceDN w:val="0"/>
              <w:jc w:val="center"/>
              <w:textAlignment w:val="bottom"/>
              <w:rPr>
                <w:bCs/>
                <w:sz w:val="24"/>
              </w:rPr>
            </w:pPr>
            <w:r w:rsidRPr="000A4546">
              <w:rPr>
                <w:rFonts w:hint="eastAsia"/>
                <w:bCs/>
                <w:sz w:val="24"/>
              </w:rPr>
              <w:t>1.00%</w:t>
            </w:r>
          </w:p>
        </w:tc>
      </w:tr>
      <w:tr w:rsidR="0022487D" w:rsidRPr="000A4546" w:rsidTr="004C6C26">
        <w:tc>
          <w:tcPr>
            <w:tcW w:w="1843" w:type="dxa"/>
            <w:vMerge w:val="restart"/>
            <w:tcBorders>
              <w:top w:val="nil"/>
              <w:left w:val="single" w:sz="4" w:space="0" w:color="auto"/>
              <w:bottom w:val="nil"/>
              <w:right w:val="single" w:sz="4" w:space="0" w:color="auto"/>
            </w:tcBorders>
            <w:shd w:val="clear" w:color="auto" w:fill="auto"/>
            <w:vAlign w:val="center"/>
          </w:tcPr>
          <w:p w:rsidR="0022487D" w:rsidRPr="000A4546" w:rsidRDefault="00363751" w:rsidP="004C6C26">
            <w:pPr>
              <w:widowControl/>
              <w:tabs>
                <w:tab w:val="left" w:pos="-720"/>
              </w:tabs>
              <w:autoSpaceDE w:val="0"/>
              <w:autoSpaceDN w:val="0"/>
              <w:jc w:val="center"/>
              <w:textAlignment w:val="bottom"/>
              <w:rPr>
                <w:bCs/>
                <w:sz w:val="24"/>
              </w:rPr>
            </w:pPr>
            <w:r w:rsidRPr="00644325">
              <w:rPr>
                <w:rFonts w:hint="eastAsia"/>
                <w:bCs/>
                <w:sz w:val="24"/>
              </w:rPr>
              <w:t>A</w:t>
            </w:r>
            <w:r w:rsidRPr="00644325">
              <w:rPr>
                <w:rFonts w:hint="eastAsia"/>
                <w:bCs/>
                <w:sz w:val="24"/>
              </w:rPr>
              <w:t>类基金份额</w:t>
            </w:r>
          </w:p>
        </w:tc>
        <w:tc>
          <w:tcPr>
            <w:tcW w:w="3969" w:type="dxa"/>
            <w:tcBorders>
              <w:top w:val="single" w:sz="4" w:space="0" w:color="auto"/>
              <w:left w:val="single" w:sz="4" w:space="0" w:color="auto"/>
              <w:bottom w:val="single" w:sz="4" w:space="0" w:color="auto"/>
              <w:right w:val="single" w:sz="4" w:space="0" w:color="auto"/>
            </w:tcBorders>
            <w:vAlign w:val="center"/>
          </w:tcPr>
          <w:p w:rsidR="0022487D" w:rsidRPr="000A4546" w:rsidRDefault="0022487D" w:rsidP="004C6C26">
            <w:pPr>
              <w:widowControl/>
              <w:tabs>
                <w:tab w:val="left" w:pos="-720"/>
              </w:tabs>
              <w:autoSpaceDE w:val="0"/>
              <w:autoSpaceDN w:val="0"/>
              <w:jc w:val="center"/>
              <w:textAlignment w:val="bottom"/>
              <w:rPr>
                <w:bCs/>
                <w:sz w:val="24"/>
              </w:rPr>
            </w:pPr>
            <w:r w:rsidRPr="000A4546">
              <w:rPr>
                <w:rFonts w:hint="eastAsia"/>
                <w:bCs/>
                <w:sz w:val="24"/>
              </w:rPr>
              <w:t>50</w:t>
            </w:r>
            <w:r w:rsidR="00D305E2">
              <w:rPr>
                <w:sz w:val="24"/>
              </w:rPr>
              <w:t>万</w:t>
            </w:r>
            <w:r w:rsidRPr="000A4546">
              <w:rPr>
                <w:rFonts w:hint="eastAsia"/>
                <w:bCs/>
                <w:sz w:val="24"/>
              </w:rPr>
              <w:t>≤</w:t>
            </w:r>
            <w:r w:rsidRPr="000A4546">
              <w:rPr>
                <w:rFonts w:hint="eastAsia"/>
                <w:bCs/>
                <w:sz w:val="24"/>
              </w:rPr>
              <w:t xml:space="preserve"> </w:t>
            </w:r>
            <w:r w:rsidR="002A5F5E">
              <w:rPr>
                <w:sz w:val="24"/>
              </w:rPr>
              <w:t>M</w:t>
            </w:r>
            <w:r w:rsidRPr="000A4546">
              <w:rPr>
                <w:rFonts w:hint="eastAsia"/>
                <w:bCs/>
                <w:sz w:val="24"/>
              </w:rPr>
              <w:t xml:space="preserve"> &lt;100</w:t>
            </w:r>
            <w:r w:rsidR="00D305E2">
              <w:rPr>
                <w:sz w:val="24"/>
              </w:rPr>
              <w:t>万</w:t>
            </w:r>
          </w:p>
        </w:tc>
        <w:tc>
          <w:tcPr>
            <w:tcW w:w="2410" w:type="dxa"/>
            <w:tcBorders>
              <w:top w:val="single" w:sz="4" w:space="0" w:color="auto"/>
              <w:left w:val="single" w:sz="4" w:space="0" w:color="auto"/>
              <w:bottom w:val="single" w:sz="4" w:space="0" w:color="auto"/>
              <w:right w:val="single" w:sz="4" w:space="0" w:color="auto"/>
            </w:tcBorders>
            <w:vAlign w:val="center"/>
          </w:tcPr>
          <w:p w:rsidR="0022487D" w:rsidRPr="000A4546" w:rsidRDefault="0022487D" w:rsidP="004C6C26">
            <w:pPr>
              <w:widowControl/>
              <w:tabs>
                <w:tab w:val="left" w:pos="-720"/>
              </w:tabs>
              <w:autoSpaceDE w:val="0"/>
              <w:autoSpaceDN w:val="0"/>
              <w:jc w:val="center"/>
              <w:textAlignment w:val="bottom"/>
              <w:rPr>
                <w:bCs/>
                <w:sz w:val="24"/>
              </w:rPr>
            </w:pPr>
            <w:r w:rsidRPr="000A4546">
              <w:rPr>
                <w:rFonts w:hint="eastAsia"/>
                <w:bCs/>
                <w:sz w:val="24"/>
              </w:rPr>
              <w:t>0.60%</w:t>
            </w:r>
          </w:p>
        </w:tc>
      </w:tr>
      <w:tr w:rsidR="0022487D" w:rsidRPr="000A4546" w:rsidTr="004C6C26">
        <w:tc>
          <w:tcPr>
            <w:tcW w:w="1843" w:type="dxa"/>
            <w:tcBorders>
              <w:top w:val="nil"/>
              <w:left w:val="single" w:sz="4" w:space="0" w:color="auto"/>
              <w:bottom w:val="single" w:sz="4" w:space="0" w:color="auto"/>
              <w:right w:val="single" w:sz="4" w:space="0" w:color="auto"/>
            </w:tcBorders>
            <w:shd w:val="clear" w:color="auto" w:fill="auto"/>
            <w:vAlign w:val="center"/>
          </w:tcPr>
          <w:p w:rsidR="0022487D" w:rsidRPr="000A4546" w:rsidRDefault="0022487D" w:rsidP="004C6C26">
            <w:pPr>
              <w:widowControl/>
              <w:tabs>
                <w:tab w:val="left" w:pos="-720"/>
              </w:tabs>
              <w:autoSpaceDE w:val="0"/>
              <w:autoSpaceDN w:val="0"/>
              <w:jc w:val="center"/>
              <w:textAlignment w:val="bottom"/>
              <w:rPr>
                <w:bCs/>
                <w:sz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22487D" w:rsidRPr="000A4546" w:rsidRDefault="00303CAD" w:rsidP="004C6C26">
            <w:pPr>
              <w:widowControl/>
              <w:tabs>
                <w:tab w:val="left" w:pos="-720"/>
              </w:tabs>
              <w:autoSpaceDE w:val="0"/>
              <w:autoSpaceDN w:val="0"/>
              <w:jc w:val="center"/>
              <w:textAlignment w:val="bottom"/>
              <w:rPr>
                <w:bCs/>
                <w:sz w:val="24"/>
              </w:rPr>
            </w:pPr>
            <w:r>
              <w:rPr>
                <w:sz w:val="24"/>
              </w:rPr>
              <w:t>M</w:t>
            </w:r>
            <w:r w:rsidR="0022487D" w:rsidRPr="000A4546">
              <w:rPr>
                <w:rFonts w:hint="eastAsia"/>
                <w:bCs/>
                <w:sz w:val="24"/>
              </w:rPr>
              <w:t>≥</w:t>
            </w:r>
            <w:r w:rsidR="0022487D" w:rsidRPr="000A4546">
              <w:rPr>
                <w:rFonts w:hint="eastAsia"/>
                <w:bCs/>
                <w:sz w:val="24"/>
              </w:rPr>
              <w:t>100</w:t>
            </w:r>
            <w:r w:rsidR="00D305E2">
              <w:rPr>
                <w:sz w:val="24"/>
              </w:rPr>
              <w:t>万</w:t>
            </w:r>
          </w:p>
        </w:tc>
        <w:tc>
          <w:tcPr>
            <w:tcW w:w="2410" w:type="dxa"/>
            <w:tcBorders>
              <w:top w:val="single" w:sz="4" w:space="0" w:color="auto"/>
              <w:left w:val="single" w:sz="4" w:space="0" w:color="auto"/>
              <w:bottom w:val="single" w:sz="4" w:space="0" w:color="auto"/>
              <w:right w:val="single" w:sz="4" w:space="0" w:color="auto"/>
            </w:tcBorders>
            <w:vAlign w:val="center"/>
          </w:tcPr>
          <w:p w:rsidR="0022487D" w:rsidRPr="000A4546" w:rsidRDefault="001D7047" w:rsidP="004C6C26">
            <w:pPr>
              <w:widowControl/>
              <w:tabs>
                <w:tab w:val="left" w:pos="-720"/>
              </w:tabs>
              <w:autoSpaceDE w:val="0"/>
              <w:autoSpaceDN w:val="0"/>
              <w:jc w:val="center"/>
              <w:textAlignment w:val="bottom"/>
              <w:rPr>
                <w:bCs/>
                <w:sz w:val="24"/>
              </w:rPr>
            </w:pPr>
            <w:r>
              <w:rPr>
                <w:sz w:val="24"/>
              </w:rPr>
              <w:t>每笔</w:t>
            </w:r>
            <w:r>
              <w:rPr>
                <w:sz w:val="24"/>
              </w:rPr>
              <w:t>1000</w:t>
            </w:r>
            <w:r>
              <w:rPr>
                <w:sz w:val="24"/>
              </w:rPr>
              <w:t>元</w:t>
            </w:r>
          </w:p>
        </w:tc>
      </w:tr>
      <w:tr w:rsidR="00E96FF6" w:rsidRPr="000A4546" w:rsidTr="00C03900">
        <w:tc>
          <w:tcPr>
            <w:tcW w:w="1843" w:type="dxa"/>
            <w:tcBorders>
              <w:top w:val="nil"/>
              <w:left w:val="single" w:sz="4" w:space="0" w:color="auto"/>
              <w:right w:val="single" w:sz="4" w:space="0" w:color="auto"/>
            </w:tcBorders>
            <w:shd w:val="clear" w:color="auto" w:fill="auto"/>
          </w:tcPr>
          <w:p w:rsidR="00E96FF6" w:rsidRPr="000A4546" w:rsidRDefault="00E96FF6" w:rsidP="004C6C26">
            <w:pPr>
              <w:widowControl/>
              <w:tabs>
                <w:tab w:val="left" w:pos="-720"/>
              </w:tabs>
              <w:autoSpaceDE w:val="0"/>
              <w:autoSpaceDN w:val="0"/>
              <w:jc w:val="center"/>
              <w:textAlignment w:val="bottom"/>
              <w:rPr>
                <w:bCs/>
                <w:sz w:val="24"/>
              </w:rPr>
            </w:pPr>
            <w:r>
              <w:rPr>
                <w:sz w:val="24"/>
              </w:rPr>
              <w:t>C</w:t>
            </w:r>
            <w:r>
              <w:rPr>
                <w:sz w:val="24"/>
              </w:rPr>
              <w:t>类基金份额</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E96FF6" w:rsidRPr="000A4546" w:rsidRDefault="00E96FF6" w:rsidP="004C6C26">
            <w:pPr>
              <w:widowControl/>
              <w:tabs>
                <w:tab w:val="left" w:pos="-720"/>
              </w:tabs>
              <w:autoSpaceDE w:val="0"/>
              <w:autoSpaceDN w:val="0"/>
              <w:jc w:val="center"/>
              <w:textAlignment w:val="bottom"/>
              <w:rPr>
                <w:bCs/>
                <w:sz w:val="24"/>
              </w:rPr>
            </w:pPr>
            <w:r>
              <w:rPr>
                <w:sz w:val="24"/>
              </w:rPr>
              <w:t>0</w:t>
            </w:r>
          </w:p>
        </w:tc>
      </w:tr>
    </w:tbl>
    <w:p w:rsidR="00681821" w:rsidRPr="00681821" w:rsidRDefault="00BF7109" w:rsidP="00462309">
      <w:pPr>
        <w:spacing w:line="360" w:lineRule="auto"/>
        <w:ind w:leftChars="86" w:left="181" w:firstLineChars="200" w:firstLine="480"/>
        <w:rPr>
          <w:bCs/>
          <w:sz w:val="24"/>
        </w:rPr>
      </w:pPr>
      <w:r>
        <w:rPr>
          <w:rFonts w:hAnsi="宋体" w:hint="eastAsia"/>
          <w:sz w:val="24"/>
        </w:rPr>
        <w:t>A</w:t>
      </w:r>
      <w:r>
        <w:rPr>
          <w:rFonts w:hAnsi="宋体" w:hint="eastAsia"/>
          <w:sz w:val="24"/>
        </w:rPr>
        <w:t>类基金份额的</w:t>
      </w:r>
      <w:r>
        <w:rPr>
          <w:rFonts w:hAnsi="宋体"/>
          <w:sz w:val="24"/>
        </w:rPr>
        <w:t>申购费用由申购本基金</w:t>
      </w:r>
      <w:r>
        <w:rPr>
          <w:rFonts w:hAnsi="宋体"/>
          <w:sz w:val="24"/>
        </w:rPr>
        <w:t>A</w:t>
      </w:r>
      <w:r>
        <w:rPr>
          <w:rFonts w:hAnsi="宋体"/>
          <w:sz w:val="24"/>
        </w:rPr>
        <w:t>类基金份额的投资人承担</w:t>
      </w:r>
      <w:r>
        <w:rPr>
          <w:bCs/>
          <w:sz w:val="24"/>
        </w:rPr>
        <w:t>，</w:t>
      </w:r>
      <w:r>
        <w:rPr>
          <w:rFonts w:hAnsi="宋体"/>
          <w:sz w:val="24"/>
        </w:rPr>
        <w:t>不列入基金财产，主要用于本基金的市场推广、销售、登记等各项费用。</w:t>
      </w:r>
    </w:p>
    <w:p w:rsidR="00681821" w:rsidRPr="00681821" w:rsidRDefault="00681821" w:rsidP="00681821">
      <w:pPr>
        <w:spacing w:line="360" w:lineRule="auto"/>
        <w:ind w:firstLineChars="196" w:firstLine="472"/>
        <w:rPr>
          <w:b/>
          <w:bCs/>
          <w:color w:val="000000"/>
          <w:sz w:val="24"/>
        </w:rPr>
      </w:pPr>
      <w:r w:rsidRPr="00681821">
        <w:rPr>
          <w:b/>
          <w:bCs/>
          <w:color w:val="000000"/>
          <w:sz w:val="24"/>
        </w:rPr>
        <w:t xml:space="preserve">3.3 </w:t>
      </w:r>
      <w:r w:rsidRPr="00681821">
        <w:rPr>
          <w:b/>
          <w:bCs/>
          <w:color w:val="000000"/>
          <w:sz w:val="24"/>
        </w:rPr>
        <w:t>其他与申购相关的事项</w:t>
      </w:r>
    </w:p>
    <w:p w:rsidR="00681821" w:rsidRPr="00681821" w:rsidRDefault="00702230" w:rsidP="00681821">
      <w:pPr>
        <w:spacing w:line="360" w:lineRule="auto"/>
        <w:ind w:firstLineChars="200" w:firstLine="480"/>
        <w:rPr>
          <w:sz w:val="24"/>
        </w:rPr>
      </w:pPr>
      <w:r w:rsidRPr="00702230">
        <w:rPr>
          <w:rFonts w:hint="eastAsia"/>
          <w:sz w:val="24"/>
        </w:rPr>
        <w:t>基金管理人可以在基金合同约定的范围内调整费率或收费方式，并最迟应于新的费率或收费方式实施日前依照《信息披露办法》的有关规定在规定媒介上公告。</w:t>
      </w:r>
    </w:p>
    <w:p w:rsidR="00AE18D4" w:rsidRPr="00AE18D4" w:rsidRDefault="00AE18D4" w:rsidP="00AE18D4">
      <w:pPr>
        <w:spacing w:line="360" w:lineRule="auto"/>
        <w:ind w:firstLineChars="200" w:firstLine="480"/>
        <w:rPr>
          <w:sz w:val="24"/>
        </w:rPr>
      </w:pPr>
      <w:r w:rsidRPr="00AE18D4">
        <w:rPr>
          <w:rFonts w:hint="eastAsia"/>
          <w:sz w:val="24"/>
        </w:rPr>
        <w:t>基金管理人可以在不违反法律法规规定及基金合同约定，且对基金份额持有人利益无实质性不利影响的情形下根据市场情况制定基金促销计划，针对基金投资者定期或不定期地开展基金促销活动。在基金促销活动期间，按相关监管部门要求履行必要手续后，基金管理人可以适当调低基金的申购费率。</w:t>
      </w:r>
    </w:p>
    <w:p w:rsidR="00681821" w:rsidRPr="00AE18D4" w:rsidRDefault="00AE18D4" w:rsidP="00AE18D4">
      <w:pPr>
        <w:spacing w:line="360" w:lineRule="auto"/>
        <w:ind w:firstLineChars="200" w:firstLine="480"/>
        <w:rPr>
          <w:sz w:val="24"/>
        </w:rPr>
      </w:pPr>
      <w:r w:rsidRPr="00AE18D4">
        <w:rPr>
          <w:rFonts w:hint="eastAsia"/>
          <w:sz w:val="24"/>
        </w:rPr>
        <w:t>当本基金发生大额申购情形时，基金管理人可以采用摆动定价机制，以确保基金估值的公平性，具体处理原则与操作规范遵循相关法律法规以及监管部门、自律规则的规定。</w:t>
      </w:r>
    </w:p>
    <w:p w:rsidR="00AE18D4" w:rsidRPr="00681821" w:rsidRDefault="00AE18D4" w:rsidP="00AE18D4">
      <w:pPr>
        <w:spacing w:line="360" w:lineRule="auto"/>
        <w:ind w:left="480"/>
        <w:rPr>
          <w:sz w:val="24"/>
          <w:szCs w:val="21"/>
        </w:rPr>
      </w:pPr>
    </w:p>
    <w:p w:rsidR="00681821" w:rsidRPr="00681821" w:rsidRDefault="00681821" w:rsidP="00681821">
      <w:pPr>
        <w:spacing w:line="360" w:lineRule="auto"/>
        <w:ind w:firstLineChars="196" w:firstLine="472"/>
        <w:outlineLvl w:val="2"/>
        <w:rPr>
          <w:b/>
          <w:sz w:val="24"/>
        </w:rPr>
      </w:pPr>
      <w:r w:rsidRPr="00681821">
        <w:rPr>
          <w:b/>
          <w:sz w:val="24"/>
        </w:rPr>
        <w:t>4.</w:t>
      </w:r>
      <w:r w:rsidRPr="00681821">
        <w:rPr>
          <w:b/>
          <w:sz w:val="24"/>
        </w:rPr>
        <w:t>日常赎回业务</w:t>
      </w:r>
    </w:p>
    <w:p w:rsidR="00681821" w:rsidRPr="00976650" w:rsidRDefault="00681821" w:rsidP="00976650">
      <w:pPr>
        <w:pStyle w:val="afa"/>
        <w:numPr>
          <w:ilvl w:val="1"/>
          <w:numId w:val="15"/>
        </w:numPr>
        <w:spacing w:line="360" w:lineRule="auto"/>
        <w:ind w:firstLineChars="0"/>
        <w:rPr>
          <w:b/>
          <w:bCs/>
          <w:color w:val="000000"/>
          <w:sz w:val="24"/>
        </w:rPr>
      </w:pPr>
      <w:r w:rsidRPr="00976650">
        <w:rPr>
          <w:b/>
          <w:bCs/>
          <w:color w:val="000000"/>
          <w:sz w:val="24"/>
        </w:rPr>
        <w:t>赎回份额限制</w:t>
      </w:r>
    </w:p>
    <w:p w:rsidR="00681821" w:rsidRPr="00681821" w:rsidRDefault="00976650" w:rsidP="00976650">
      <w:pPr>
        <w:spacing w:line="360" w:lineRule="auto"/>
        <w:ind w:firstLine="480"/>
        <w:rPr>
          <w:bCs/>
          <w:sz w:val="24"/>
        </w:rPr>
      </w:pPr>
      <w:r w:rsidRPr="00976650">
        <w:rPr>
          <w:rFonts w:hint="eastAsia"/>
          <w:bCs/>
          <w:sz w:val="24"/>
        </w:rPr>
        <w:t>1</w:t>
      </w:r>
      <w:r>
        <w:rPr>
          <w:rFonts w:hint="eastAsia"/>
          <w:bCs/>
          <w:sz w:val="24"/>
        </w:rPr>
        <w:t>．</w:t>
      </w:r>
      <w:r w:rsidRPr="00976650">
        <w:rPr>
          <w:rFonts w:hint="eastAsia"/>
          <w:bCs/>
          <w:sz w:val="24"/>
        </w:rPr>
        <w:t>基金份额持有人在销售机构赎回基金份额时，每次赎回申请不得低于</w:t>
      </w:r>
      <w:r w:rsidRPr="00976650">
        <w:rPr>
          <w:rFonts w:hint="eastAsia"/>
          <w:bCs/>
          <w:sz w:val="24"/>
        </w:rPr>
        <w:t>1</w:t>
      </w:r>
      <w:r w:rsidRPr="00976650">
        <w:rPr>
          <w:rFonts w:hint="eastAsia"/>
          <w:bCs/>
          <w:sz w:val="24"/>
        </w:rPr>
        <w:t>份基金份额。基金份额持有人赎回时或赎回后在销售机构（网点）单个交易账户保留的基金份额余额不足</w:t>
      </w:r>
      <w:r w:rsidRPr="00976650">
        <w:rPr>
          <w:rFonts w:hint="eastAsia"/>
          <w:bCs/>
          <w:sz w:val="24"/>
        </w:rPr>
        <w:t>1</w:t>
      </w:r>
      <w:r w:rsidRPr="00976650">
        <w:rPr>
          <w:rFonts w:hint="eastAsia"/>
          <w:bCs/>
          <w:sz w:val="24"/>
        </w:rPr>
        <w:t>份的，余额部分基金份额在赎回时需同时全部赎回。各销售机构对赎回限额有其他规定的，以各销售机构的业务规定为准</w:t>
      </w:r>
      <w:r w:rsidR="00681821" w:rsidRPr="00681821">
        <w:rPr>
          <w:rFonts w:hint="eastAsia"/>
          <w:bCs/>
          <w:sz w:val="24"/>
        </w:rPr>
        <w:t>。</w:t>
      </w:r>
    </w:p>
    <w:p w:rsidR="00681821" w:rsidRPr="00681821" w:rsidRDefault="006F2535" w:rsidP="006F2535">
      <w:pPr>
        <w:spacing w:line="360" w:lineRule="auto"/>
        <w:ind w:firstLine="480"/>
        <w:rPr>
          <w:bCs/>
          <w:sz w:val="24"/>
        </w:rPr>
      </w:pPr>
      <w:r w:rsidRPr="006F2535">
        <w:rPr>
          <w:rFonts w:hint="eastAsia"/>
          <w:bCs/>
          <w:sz w:val="24"/>
        </w:rPr>
        <w:t>2</w:t>
      </w:r>
      <w:r w:rsidRPr="006F2535">
        <w:rPr>
          <w:bCs/>
          <w:sz w:val="24"/>
        </w:rPr>
        <w:t>.</w:t>
      </w:r>
      <w:r w:rsidRPr="006F2535">
        <w:rPr>
          <w:rFonts w:hint="eastAsia"/>
          <w:bCs/>
          <w:sz w:val="24"/>
        </w:rPr>
        <w:t>基金管理人可在法律法规允许的情况下，调整上述规定赎回份额的数量限制，或新增基金规模控制措施。基金管理人必须在调整实施前依照《信息披露办法》的有关规定在规定媒介上公告。</w:t>
      </w:r>
    </w:p>
    <w:p w:rsidR="00681821" w:rsidRPr="00681821" w:rsidRDefault="00681821" w:rsidP="00681821">
      <w:pPr>
        <w:spacing w:line="360" w:lineRule="auto"/>
        <w:ind w:firstLineChars="196" w:firstLine="472"/>
        <w:rPr>
          <w:b/>
          <w:bCs/>
          <w:color w:val="000000"/>
          <w:sz w:val="24"/>
        </w:rPr>
      </w:pPr>
      <w:r w:rsidRPr="00681821">
        <w:rPr>
          <w:b/>
          <w:bCs/>
          <w:color w:val="000000"/>
          <w:sz w:val="24"/>
        </w:rPr>
        <w:t xml:space="preserve">4.2 </w:t>
      </w:r>
      <w:r w:rsidRPr="00681821">
        <w:rPr>
          <w:b/>
          <w:bCs/>
          <w:color w:val="000000"/>
          <w:sz w:val="24"/>
        </w:rPr>
        <w:t>赎回费率</w:t>
      </w:r>
    </w:p>
    <w:p w:rsidR="00681821" w:rsidRPr="00681821" w:rsidRDefault="00E327A0" w:rsidP="00681821">
      <w:pPr>
        <w:spacing w:line="360" w:lineRule="auto"/>
        <w:ind w:firstLineChars="200" w:firstLine="480"/>
        <w:rPr>
          <w:bCs/>
          <w:sz w:val="24"/>
        </w:rPr>
      </w:pPr>
      <w:r w:rsidRPr="00E327A0">
        <w:rPr>
          <w:rFonts w:hint="eastAsia"/>
          <w:bCs/>
          <w:sz w:val="24"/>
        </w:rPr>
        <w:t>本基金</w:t>
      </w:r>
      <w:r w:rsidRPr="00E327A0">
        <w:rPr>
          <w:rFonts w:hint="eastAsia"/>
          <w:bCs/>
          <w:sz w:val="24"/>
        </w:rPr>
        <w:t>A</w:t>
      </w:r>
      <w:r w:rsidRPr="00E327A0">
        <w:rPr>
          <w:rFonts w:hint="eastAsia"/>
          <w:bCs/>
          <w:sz w:val="24"/>
        </w:rPr>
        <w:t>类及</w:t>
      </w:r>
      <w:r w:rsidRPr="00E327A0">
        <w:rPr>
          <w:rFonts w:hint="eastAsia"/>
          <w:bCs/>
          <w:sz w:val="24"/>
        </w:rPr>
        <w:t>C</w:t>
      </w:r>
      <w:r w:rsidRPr="00E327A0">
        <w:rPr>
          <w:rFonts w:hint="eastAsia"/>
          <w:bCs/>
          <w:sz w:val="24"/>
        </w:rPr>
        <w:t>类基金份额的赎回费率随申请份额持有时间的增加而递减，具体费率如下表所示：</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43"/>
        <w:gridCol w:w="3969"/>
        <w:gridCol w:w="2410"/>
      </w:tblGrid>
      <w:tr w:rsidR="00F23680" w:rsidRPr="000A4546" w:rsidTr="00120813">
        <w:trPr>
          <w:tblHeader/>
        </w:trPr>
        <w:tc>
          <w:tcPr>
            <w:tcW w:w="1843" w:type="dxa"/>
            <w:tcBorders>
              <w:top w:val="single" w:sz="4" w:space="0" w:color="auto"/>
              <w:left w:val="single" w:sz="4" w:space="0" w:color="auto"/>
              <w:bottom w:val="single" w:sz="4" w:space="0" w:color="auto"/>
              <w:right w:val="single" w:sz="4" w:space="0" w:color="auto"/>
            </w:tcBorders>
          </w:tcPr>
          <w:p w:rsidR="00F23680" w:rsidRPr="000A4546" w:rsidRDefault="00F23680" w:rsidP="00120813">
            <w:pPr>
              <w:widowControl/>
              <w:tabs>
                <w:tab w:val="left" w:pos="-720"/>
              </w:tabs>
              <w:autoSpaceDE w:val="0"/>
              <w:autoSpaceDN w:val="0"/>
              <w:jc w:val="center"/>
              <w:textAlignment w:val="bottom"/>
              <w:rPr>
                <w:bCs/>
                <w:sz w:val="24"/>
              </w:rPr>
            </w:pPr>
            <w:r w:rsidRPr="000A4546">
              <w:rPr>
                <w:rFonts w:hint="eastAsia"/>
                <w:bCs/>
                <w:sz w:val="24"/>
              </w:rPr>
              <w:t>份额类别</w:t>
            </w:r>
          </w:p>
        </w:tc>
        <w:tc>
          <w:tcPr>
            <w:tcW w:w="3969" w:type="dxa"/>
            <w:tcBorders>
              <w:top w:val="single" w:sz="4" w:space="0" w:color="auto"/>
              <w:left w:val="single" w:sz="4" w:space="0" w:color="auto"/>
              <w:bottom w:val="single" w:sz="4" w:space="0" w:color="auto"/>
              <w:right w:val="single" w:sz="4" w:space="0" w:color="auto"/>
            </w:tcBorders>
          </w:tcPr>
          <w:p w:rsidR="00F23680" w:rsidRPr="000A4546" w:rsidRDefault="00F23680" w:rsidP="00120813">
            <w:pPr>
              <w:widowControl/>
              <w:tabs>
                <w:tab w:val="left" w:pos="-720"/>
              </w:tabs>
              <w:autoSpaceDE w:val="0"/>
              <w:autoSpaceDN w:val="0"/>
              <w:jc w:val="center"/>
              <w:textAlignment w:val="bottom"/>
              <w:rPr>
                <w:bCs/>
                <w:sz w:val="24"/>
              </w:rPr>
            </w:pPr>
            <w:r w:rsidRPr="000A4546">
              <w:rPr>
                <w:rFonts w:hint="eastAsia"/>
                <w:bCs/>
                <w:sz w:val="24"/>
              </w:rPr>
              <w:t>持有期限（</w:t>
            </w:r>
            <w:r w:rsidRPr="000A4546">
              <w:rPr>
                <w:rFonts w:hint="eastAsia"/>
                <w:bCs/>
                <w:sz w:val="24"/>
              </w:rPr>
              <w:t>Y</w:t>
            </w:r>
            <w:r w:rsidRPr="000A4546">
              <w:rPr>
                <w:rFonts w:hint="eastAsia"/>
                <w:bCs/>
                <w:sz w:val="24"/>
              </w:rPr>
              <w:t>）</w:t>
            </w:r>
          </w:p>
        </w:tc>
        <w:tc>
          <w:tcPr>
            <w:tcW w:w="2410" w:type="dxa"/>
            <w:tcBorders>
              <w:top w:val="single" w:sz="4" w:space="0" w:color="auto"/>
              <w:left w:val="single" w:sz="4" w:space="0" w:color="auto"/>
              <w:bottom w:val="single" w:sz="4" w:space="0" w:color="auto"/>
              <w:right w:val="single" w:sz="4" w:space="0" w:color="auto"/>
            </w:tcBorders>
          </w:tcPr>
          <w:p w:rsidR="00F23680" w:rsidRPr="000A4546" w:rsidRDefault="00F23680" w:rsidP="00120813">
            <w:pPr>
              <w:widowControl/>
              <w:tabs>
                <w:tab w:val="left" w:pos="-720"/>
              </w:tabs>
              <w:autoSpaceDE w:val="0"/>
              <w:autoSpaceDN w:val="0"/>
              <w:jc w:val="center"/>
              <w:textAlignment w:val="bottom"/>
              <w:rPr>
                <w:bCs/>
                <w:sz w:val="24"/>
              </w:rPr>
            </w:pPr>
            <w:r w:rsidRPr="000A4546">
              <w:rPr>
                <w:rFonts w:hint="eastAsia"/>
                <w:bCs/>
                <w:sz w:val="24"/>
              </w:rPr>
              <w:t>赎回费率</w:t>
            </w:r>
          </w:p>
        </w:tc>
      </w:tr>
      <w:tr w:rsidR="00F23680" w:rsidRPr="000A4546" w:rsidTr="00120813">
        <w:tc>
          <w:tcPr>
            <w:tcW w:w="1843" w:type="dxa"/>
            <w:vMerge w:val="restart"/>
            <w:tcBorders>
              <w:top w:val="nil"/>
              <w:left w:val="single" w:sz="4" w:space="0" w:color="auto"/>
              <w:bottom w:val="nil"/>
              <w:right w:val="single" w:sz="4" w:space="0" w:color="auto"/>
            </w:tcBorders>
            <w:shd w:val="clear" w:color="auto" w:fill="auto"/>
            <w:vAlign w:val="center"/>
          </w:tcPr>
          <w:p w:rsidR="00F23680" w:rsidRPr="000A4546" w:rsidRDefault="00F23680" w:rsidP="00120813">
            <w:pPr>
              <w:widowControl/>
              <w:tabs>
                <w:tab w:val="left" w:pos="-720"/>
              </w:tabs>
              <w:autoSpaceDE w:val="0"/>
              <w:autoSpaceDN w:val="0"/>
              <w:jc w:val="center"/>
              <w:textAlignment w:val="bottom"/>
              <w:rPr>
                <w:bCs/>
                <w:sz w:val="24"/>
              </w:rPr>
            </w:pPr>
            <w:r w:rsidRPr="00644325">
              <w:rPr>
                <w:rFonts w:hint="eastAsia"/>
                <w:bCs/>
                <w:sz w:val="24"/>
              </w:rPr>
              <w:t>A</w:t>
            </w:r>
            <w:r w:rsidRPr="00644325">
              <w:rPr>
                <w:rFonts w:hint="eastAsia"/>
                <w:bCs/>
                <w:sz w:val="24"/>
              </w:rPr>
              <w:t>类基金份额</w:t>
            </w:r>
          </w:p>
        </w:tc>
        <w:tc>
          <w:tcPr>
            <w:tcW w:w="3969" w:type="dxa"/>
            <w:tcBorders>
              <w:top w:val="single" w:sz="4" w:space="0" w:color="auto"/>
              <w:left w:val="single" w:sz="4" w:space="0" w:color="auto"/>
              <w:bottom w:val="single" w:sz="4" w:space="0" w:color="auto"/>
              <w:right w:val="single" w:sz="4" w:space="0" w:color="auto"/>
            </w:tcBorders>
            <w:vAlign w:val="center"/>
          </w:tcPr>
          <w:p w:rsidR="00F23680" w:rsidRPr="000A4546" w:rsidRDefault="00F23680" w:rsidP="00120813">
            <w:pPr>
              <w:widowControl/>
              <w:tabs>
                <w:tab w:val="left" w:pos="-720"/>
              </w:tabs>
              <w:autoSpaceDE w:val="0"/>
              <w:autoSpaceDN w:val="0"/>
              <w:jc w:val="center"/>
              <w:textAlignment w:val="bottom"/>
              <w:rPr>
                <w:bCs/>
                <w:sz w:val="24"/>
              </w:rPr>
            </w:pPr>
            <w:r w:rsidRPr="000A4546">
              <w:rPr>
                <w:rFonts w:hint="eastAsia"/>
                <w:bCs/>
                <w:sz w:val="24"/>
              </w:rPr>
              <w:t xml:space="preserve"> Y &lt;7</w:t>
            </w:r>
            <w:r w:rsidRPr="000A4546">
              <w:rPr>
                <w:rFonts w:hint="eastAsia"/>
                <w:bCs/>
                <w:sz w:val="24"/>
              </w:rPr>
              <w:t>日</w:t>
            </w:r>
          </w:p>
        </w:tc>
        <w:tc>
          <w:tcPr>
            <w:tcW w:w="2410" w:type="dxa"/>
            <w:tcBorders>
              <w:top w:val="single" w:sz="4" w:space="0" w:color="auto"/>
              <w:left w:val="single" w:sz="4" w:space="0" w:color="auto"/>
              <w:bottom w:val="single" w:sz="4" w:space="0" w:color="auto"/>
              <w:right w:val="single" w:sz="4" w:space="0" w:color="auto"/>
            </w:tcBorders>
            <w:vAlign w:val="center"/>
          </w:tcPr>
          <w:p w:rsidR="00F23680" w:rsidRPr="000A4546" w:rsidRDefault="00F23680" w:rsidP="00120813">
            <w:pPr>
              <w:widowControl/>
              <w:tabs>
                <w:tab w:val="left" w:pos="-720"/>
              </w:tabs>
              <w:autoSpaceDE w:val="0"/>
              <w:autoSpaceDN w:val="0"/>
              <w:jc w:val="center"/>
              <w:textAlignment w:val="bottom"/>
              <w:rPr>
                <w:bCs/>
                <w:sz w:val="24"/>
              </w:rPr>
            </w:pPr>
            <w:r w:rsidRPr="000A4546">
              <w:rPr>
                <w:rFonts w:hint="eastAsia"/>
                <w:bCs/>
                <w:sz w:val="24"/>
              </w:rPr>
              <w:t>1.5%</w:t>
            </w:r>
          </w:p>
        </w:tc>
      </w:tr>
      <w:tr w:rsidR="00F23680" w:rsidRPr="000A4546" w:rsidTr="00120813">
        <w:tc>
          <w:tcPr>
            <w:tcW w:w="1843" w:type="dxa"/>
            <w:tcBorders>
              <w:top w:val="nil"/>
              <w:left w:val="single" w:sz="4" w:space="0" w:color="auto"/>
              <w:bottom w:val="single" w:sz="4" w:space="0" w:color="auto"/>
              <w:right w:val="single" w:sz="4" w:space="0" w:color="auto"/>
            </w:tcBorders>
            <w:shd w:val="clear" w:color="auto" w:fill="auto"/>
            <w:vAlign w:val="center"/>
          </w:tcPr>
          <w:p w:rsidR="00F23680" w:rsidRPr="000A4546" w:rsidRDefault="00F23680" w:rsidP="00120813">
            <w:pPr>
              <w:widowControl/>
              <w:tabs>
                <w:tab w:val="left" w:pos="-720"/>
              </w:tabs>
              <w:autoSpaceDE w:val="0"/>
              <w:autoSpaceDN w:val="0"/>
              <w:jc w:val="center"/>
              <w:textAlignment w:val="bottom"/>
              <w:rPr>
                <w:bCs/>
                <w:sz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F23680" w:rsidRPr="000A4546" w:rsidRDefault="00F23680" w:rsidP="00120813">
            <w:pPr>
              <w:widowControl/>
              <w:tabs>
                <w:tab w:val="left" w:pos="-720"/>
              </w:tabs>
              <w:autoSpaceDE w:val="0"/>
              <w:autoSpaceDN w:val="0"/>
              <w:jc w:val="center"/>
              <w:textAlignment w:val="bottom"/>
              <w:rPr>
                <w:bCs/>
                <w:sz w:val="24"/>
              </w:rPr>
            </w:pPr>
            <w:r>
              <w:rPr>
                <w:bCs/>
                <w:sz w:val="24"/>
              </w:rPr>
              <w:t>Y</w:t>
            </w:r>
            <w:r w:rsidRPr="000A4546">
              <w:rPr>
                <w:rFonts w:hint="eastAsia"/>
                <w:bCs/>
                <w:sz w:val="24"/>
              </w:rPr>
              <w:t>≥</w:t>
            </w:r>
            <w:r w:rsidRPr="000A4546">
              <w:rPr>
                <w:rFonts w:hint="eastAsia"/>
                <w:bCs/>
                <w:sz w:val="24"/>
              </w:rPr>
              <w:t>7</w:t>
            </w:r>
            <w:r w:rsidRPr="000A4546">
              <w:rPr>
                <w:rFonts w:hint="eastAsia"/>
                <w:bCs/>
                <w:sz w:val="24"/>
              </w:rPr>
              <w:t>日</w:t>
            </w:r>
          </w:p>
        </w:tc>
        <w:tc>
          <w:tcPr>
            <w:tcW w:w="2410" w:type="dxa"/>
            <w:tcBorders>
              <w:top w:val="single" w:sz="4" w:space="0" w:color="auto"/>
              <w:left w:val="single" w:sz="4" w:space="0" w:color="auto"/>
              <w:bottom w:val="single" w:sz="4" w:space="0" w:color="auto"/>
              <w:right w:val="single" w:sz="4" w:space="0" w:color="auto"/>
            </w:tcBorders>
            <w:vAlign w:val="center"/>
          </w:tcPr>
          <w:p w:rsidR="00F23680" w:rsidRPr="000A4546" w:rsidRDefault="00F23680" w:rsidP="00120813">
            <w:pPr>
              <w:widowControl/>
              <w:tabs>
                <w:tab w:val="left" w:pos="-720"/>
              </w:tabs>
              <w:autoSpaceDE w:val="0"/>
              <w:autoSpaceDN w:val="0"/>
              <w:jc w:val="center"/>
              <w:textAlignment w:val="bottom"/>
              <w:rPr>
                <w:bCs/>
                <w:sz w:val="24"/>
              </w:rPr>
            </w:pPr>
            <w:r w:rsidRPr="000A4546">
              <w:rPr>
                <w:rFonts w:hint="eastAsia"/>
                <w:bCs/>
                <w:sz w:val="24"/>
              </w:rPr>
              <w:t>0.00%</w:t>
            </w:r>
          </w:p>
        </w:tc>
      </w:tr>
      <w:tr w:rsidR="00F23680" w:rsidRPr="000A4546" w:rsidTr="00120813">
        <w:tc>
          <w:tcPr>
            <w:tcW w:w="1843" w:type="dxa"/>
            <w:tcBorders>
              <w:top w:val="nil"/>
              <w:left w:val="single" w:sz="4" w:space="0" w:color="auto"/>
              <w:bottom w:val="nil"/>
              <w:right w:val="single" w:sz="4" w:space="0" w:color="auto"/>
            </w:tcBorders>
            <w:shd w:val="clear" w:color="auto" w:fill="auto"/>
            <w:vAlign w:val="center"/>
          </w:tcPr>
          <w:p w:rsidR="00F23680" w:rsidRPr="000A4546" w:rsidRDefault="00F23680" w:rsidP="00120813">
            <w:pPr>
              <w:widowControl/>
              <w:tabs>
                <w:tab w:val="left" w:pos="-720"/>
              </w:tabs>
              <w:autoSpaceDE w:val="0"/>
              <w:autoSpaceDN w:val="0"/>
              <w:jc w:val="center"/>
              <w:textAlignment w:val="bottom"/>
              <w:rPr>
                <w:bCs/>
                <w:sz w:val="24"/>
              </w:rPr>
            </w:pPr>
            <w:r w:rsidRPr="000A4546">
              <w:rPr>
                <w:rFonts w:hint="eastAsia"/>
                <w:bCs/>
                <w:sz w:val="24"/>
              </w:rPr>
              <w:t>C</w:t>
            </w:r>
            <w:r w:rsidRPr="000A4546">
              <w:rPr>
                <w:rFonts w:hint="eastAsia"/>
                <w:bCs/>
                <w:sz w:val="24"/>
              </w:rPr>
              <w:t>类基金份额</w:t>
            </w:r>
          </w:p>
        </w:tc>
        <w:tc>
          <w:tcPr>
            <w:tcW w:w="3969" w:type="dxa"/>
            <w:tcBorders>
              <w:top w:val="single" w:sz="4" w:space="0" w:color="auto"/>
              <w:left w:val="single" w:sz="4" w:space="0" w:color="auto"/>
              <w:bottom w:val="single" w:sz="4" w:space="0" w:color="auto"/>
              <w:right w:val="single" w:sz="4" w:space="0" w:color="auto"/>
            </w:tcBorders>
            <w:vAlign w:val="center"/>
          </w:tcPr>
          <w:p w:rsidR="00F23680" w:rsidRPr="000A4546" w:rsidRDefault="00F23680" w:rsidP="00120813">
            <w:pPr>
              <w:widowControl/>
              <w:tabs>
                <w:tab w:val="left" w:pos="-720"/>
              </w:tabs>
              <w:autoSpaceDE w:val="0"/>
              <w:autoSpaceDN w:val="0"/>
              <w:jc w:val="center"/>
              <w:textAlignment w:val="bottom"/>
              <w:rPr>
                <w:bCs/>
                <w:sz w:val="24"/>
              </w:rPr>
            </w:pPr>
            <w:r>
              <w:rPr>
                <w:bCs/>
                <w:sz w:val="24"/>
              </w:rPr>
              <w:t>Y</w:t>
            </w:r>
            <w:r w:rsidRPr="000A4546">
              <w:rPr>
                <w:rFonts w:hint="eastAsia"/>
                <w:bCs/>
                <w:sz w:val="24"/>
              </w:rPr>
              <w:t>&lt;7</w:t>
            </w:r>
            <w:r w:rsidRPr="000A4546">
              <w:rPr>
                <w:rFonts w:hint="eastAsia"/>
                <w:bCs/>
                <w:sz w:val="24"/>
              </w:rPr>
              <w:t>日</w:t>
            </w:r>
          </w:p>
        </w:tc>
        <w:tc>
          <w:tcPr>
            <w:tcW w:w="2410" w:type="dxa"/>
            <w:tcBorders>
              <w:top w:val="single" w:sz="4" w:space="0" w:color="auto"/>
              <w:left w:val="single" w:sz="4" w:space="0" w:color="auto"/>
              <w:bottom w:val="single" w:sz="4" w:space="0" w:color="auto"/>
              <w:right w:val="single" w:sz="4" w:space="0" w:color="auto"/>
            </w:tcBorders>
            <w:vAlign w:val="center"/>
          </w:tcPr>
          <w:p w:rsidR="00F23680" w:rsidRPr="000A4546" w:rsidRDefault="00F23680" w:rsidP="00120813">
            <w:pPr>
              <w:widowControl/>
              <w:tabs>
                <w:tab w:val="left" w:pos="-720"/>
              </w:tabs>
              <w:autoSpaceDE w:val="0"/>
              <w:autoSpaceDN w:val="0"/>
              <w:jc w:val="center"/>
              <w:textAlignment w:val="bottom"/>
              <w:rPr>
                <w:bCs/>
                <w:sz w:val="24"/>
              </w:rPr>
            </w:pPr>
            <w:r w:rsidRPr="000A4546">
              <w:rPr>
                <w:rFonts w:hint="eastAsia"/>
                <w:bCs/>
                <w:sz w:val="24"/>
              </w:rPr>
              <w:t>1.5%</w:t>
            </w:r>
          </w:p>
        </w:tc>
      </w:tr>
      <w:tr w:rsidR="00F23680" w:rsidRPr="000A4546" w:rsidTr="00120813">
        <w:tc>
          <w:tcPr>
            <w:tcW w:w="1843" w:type="dxa"/>
            <w:tcBorders>
              <w:top w:val="nil"/>
              <w:left w:val="single" w:sz="4" w:space="0" w:color="auto"/>
              <w:right w:val="single" w:sz="4" w:space="0" w:color="auto"/>
            </w:tcBorders>
            <w:shd w:val="clear" w:color="auto" w:fill="auto"/>
          </w:tcPr>
          <w:p w:rsidR="00F23680" w:rsidRPr="000A4546" w:rsidRDefault="00F23680" w:rsidP="00120813">
            <w:pPr>
              <w:widowControl/>
              <w:tabs>
                <w:tab w:val="left" w:pos="-720"/>
              </w:tabs>
              <w:autoSpaceDE w:val="0"/>
              <w:autoSpaceDN w:val="0"/>
              <w:jc w:val="center"/>
              <w:textAlignment w:val="bottom"/>
              <w:rPr>
                <w:bCs/>
                <w:sz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F23680" w:rsidRPr="000A4546" w:rsidRDefault="00F23680" w:rsidP="00120813">
            <w:pPr>
              <w:widowControl/>
              <w:tabs>
                <w:tab w:val="left" w:pos="-720"/>
              </w:tabs>
              <w:autoSpaceDE w:val="0"/>
              <w:autoSpaceDN w:val="0"/>
              <w:jc w:val="center"/>
              <w:textAlignment w:val="bottom"/>
              <w:rPr>
                <w:bCs/>
                <w:sz w:val="24"/>
              </w:rPr>
            </w:pPr>
            <w:r>
              <w:rPr>
                <w:bCs/>
                <w:sz w:val="24"/>
              </w:rPr>
              <w:t>Y</w:t>
            </w:r>
            <w:r w:rsidRPr="000A4546">
              <w:rPr>
                <w:rFonts w:hint="eastAsia"/>
                <w:bCs/>
                <w:sz w:val="24"/>
              </w:rPr>
              <w:t>≥</w:t>
            </w:r>
            <w:r w:rsidRPr="000A4546">
              <w:rPr>
                <w:rFonts w:hint="eastAsia"/>
                <w:bCs/>
                <w:sz w:val="24"/>
              </w:rPr>
              <w:t>7</w:t>
            </w:r>
            <w:r w:rsidRPr="000A4546">
              <w:rPr>
                <w:rFonts w:hint="eastAsia"/>
                <w:bCs/>
                <w:sz w:val="24"/>
              </w:rPr>
              <w:t>日</w:t>
            </w:r>
          </w:p>
        </w:tc>
        <w:tc>
          <w:tcPr>
            <w:tcW w:w="2410" w:type="dxa"/>
            <w:tcBorders>
              <w:top w:val="single" w:sz="4" w:space="0" w:color="auto"/>
              <w:left w:val="single" w:sz="4" w:space="0" w:color="auto"/>
              <w:bottom w:val="single" w:sz="4" w:space="0" w:color="auto"/>
              <w:right w:val="single" w:sz="4" w:space="0" w:color="auto"/>
            </w:tcBorders>
            <w:vAlign w:val="center"/>
          </w:tcPr>
          <w:p w:rsidR="00F23680" w:rsidRPr="000A4546" w:rsidRDefault="00F23680" w:rsidP="00120813">
            <w:pPr>
              <w:widowControl/>
              <w:tabs>
                <w:tab w:val="left" w:pos="-720"/>
              </w:tabs>
              <w:autoSpaceDE w:val="0"/>
              <w:autoSpaceDN w:val="0"/>
              <w:jc w:val="center"/>
              <w:textAlignment w:val="bottom"/>
              <w:rPr>
                <w:bCs/>
                <w:sz w:val="24"/>
              </w:rPr>
            </w:pPr>
            <w:r w:rsidRPr="000A4546">
              <w:rPr>
                <w:rFonts w:hint="eastAsia"/>
                <w:bCs/>
                <w:sz w:val="24"/>
              </w:rPr>
              <w:t>0.00%</w:t>
            </w:r>
          </w:p>
        </w:tc>
      </w:tr>
    </w:tbl>
    <w:p w:rsidR="00F23680" w:rsidRPr="00F23680" w:rsidRDefault="00F23680" w:rsidP="00681821">
      <w:pPr>
        <w:spacing w:line="360" w:lineRule="auto"/>
        <w:ind w:firstLineChars="196" w:firstLine="470"/>
        <w:rPr>
          <w:bCs/>
          <w:color w:val="000000"/>
          <w:sz w:val="24"/>
        </w:rPr>
      </w:pPr>
      <w:r w:rsidRPr="00F23680">
        <w:rPr>
          <w:rFonts w:hint="eastAsia"/>
          <w:bCs/>
          <w:color w:val="000000"/>
          <w:sz w:val="24"/>
        </w:rPr>
        <w:t>本基金的赎回费用由赎回基金份额的基金份额持有人承担，在基金份额持有人赎回基金份额时收取，其中对持续持有期少于</w:t>
      </w:r>
      <w:r w:rsidRPr="00F23680">
        <w:rPr>
          <w:rFonts w:hint="eastAsia"/>
          <w:bCs/>
          <w:color w:val="000000"/>
          <w:sz w:val="24"/>
        </w:rPr>
        <w:t>7</w:t>
      </w:r>
      <w:r w:rsidRPr="00F23680">
        <w:rPr>
          <w:rFonts w:hint="eastAsia"/>
          <w:bCs/>
          <w:color w:val="000000"/>
          <w:sz w:val="24"/>
        </w:rPr>
        <w:t>日的投资者收取的赎回费将全额计入基金财产。</w:t>
      </w:r>
    </w:p>
    <w:p w:rsidR="00681821" w:rsidRPr="00681821" w:rsidRDefault="00681821" w:rsidP="00681821">
      <w:pPr>
        <w:spacing w:line="360" w:lineRule="auto"/>
        <w:ind w:firstLineChars="196" w:firstLine="472"/>
        <w:rPr>
          <w:b/>
          <w:bCs/>
          <w:color w:val="000000"/>
          <w:sz w:val="24"/>
        </w:rPr>
      </w:pPr>
      <w:r w:rsidRPr="00681821">
        <w:rPr>
          <w:b/>
          <w:bCs/>
          <w:color w:val="000000"/>
          <w:sz w:val="24"/>
        </w:rPr>
        <w:t xml:space="preserve">4.3 </w:t>
      </w:r>
      <w:r w:rsidRPr="00681821">
        <w:rPr>
          <w:b/>
          <w:bCs/>
          <w:color w:val="000000"/>
          <w:sz w:val="24"/>
        </w:rPr>
        <w:t>其他与赎回相关的事项</w:t>
      </w:r>
    </w:p>
    <w:p w:rsidR="00681821" w:rsidRPr="00681821" w:rsidRDefault="00466302" w:rsidP="00681821">
      <w:pPr>
        <w:spacing w:line="360" w:lineRule="auto"/>
        <w:ind w:firstLineChars="200" w:firstLine="480"/>
        <w:rPr>
          <w:sz w:val="24"/>
        </w:rPr>
      </w:pPr>
      <w:r w:rsidRPr="00466302">
        <w:rPr>
          <w:rFonts w:hint="eastAsia"/>
          <w:sz w:val="24"/>
        </w:rPr>
        <w:t>基金管理人可以在基金合同约定的范围内调整费率或收费方式，并最迟应于新的费率或收费方式实施日前依照《信息披露办法》的有关规定在规定媒介上公告。</w:t>
      </w:r>
    </w:p>
    <w:p w:rsidR="000C5941" w:rsidRPr="000C5941" w:rsidRDefault="000C5941" w:rsidP="000C5941">
      <w:pPr>
        <w:spacing w:line="360" w:lineRule="auto"/>
        <w:ind w:firstLineChars="200" w:firstLine="480"/>
        <w:rPr>
          <w:sz w:val="24"/>
        </w:rPr>
      </w:pPr>
      <w:r w:rsidRPr="000C5941">
        <w:rPr>
          <w:rFonts w:hint="eastAsia"/>
          <w:sz w:val="24"/>
        </w:rPr>
        <w:t>基金管理人可以在不违反法律法规规定及基金合同约定，且对基金份额持有人利益无实质性不利影响的情形下根据市场情况制定基金促销计划，针对基金投资者定期或不定期地开展基金促销活动。在基金促销活动期间，按相关监管部门要求履行必要手续后，基金管理人可以适当调低基金的赎回费率。</w:t>
      </w:r>
    </w:p>
    <w:p w:rsidR="00681821" w:rsidRDefault="000C5941" w:rsidP="000C5941">
      <w:pPr>
        <w:spacing w:line="360" w:lineRule="auto"/>
        <w:ind w:firstLineChars="200" w:firstLine="480"/>
        <w:rPr>
          <w:sz w:val="24"/>
        </w:rPr>
      </w:pPr>
      <w:r w:rsidRPr="000C5941">
        <w:rPr>
          <w:rFonts w:hint="eastAsia"/>
          <w:sz w:val="24"/>
        </w:rPr>
        <w:t>当本基金发生大额赎回情形时，基金管理人可以采用摆动定价机制，以确保基金估值的公平性，具体处理原则与操作规范遵循相关法律法规以及监管部门、自律规则的规定。</w:t>
      </w:r>
    </w:p>
    <w:p w:rsidR="000C5941" w:rsidRPr="00681821" w:rsidRDefault="000C5941" w:rsidP="000C5941">
      <w:pPr>
        <w:spacing w:line="360" w:lineRule="auto"/>
        <w:ind w:firstLineChars="200" w:firstLine="480"/>
        <w:rPr>
          <w:sz w:val="24"/>
        </w:rPr>
      </w:pPr>
    </w:p>
    <w:p w:rsidR="00681821" w:rsidRPr="00681821" w:rsidRDefault="00681821" w:rsidP="00681821">
      <w:pPr>
        <w:spacing w:line="360" w:lineRule="auto"/>
        <w:ind w:firstLineChars="196" w:firstLine="472"/>
        <w:outlineLvl w:val="2"/>
        <w:rPr>
          <w:b/>
          <w:sz w:val="24"/>
        </w:rPr>
      </w:pPr>
      <w:r w:rsidRPr="00681821">
        <w:rPr>
          <w:b/>
          <w:sz w:val="24"/>
        </w:rPr>
        <w:t xml:space="preserve">5. </w:t>
      </w:r>
      <w:r w:rsidR="00C96C0D" w:rsidRPr="00681821">
        <w:rPr>
          <w:b/>
          <w:sz w:val="24"/>
        </w:rPr>
        <w:t>基金转换业务</w:t>
      </w:r>
    </w:p>
    <w:p w:rsidR="00681821" w:rsidRPr="00681821" w:rsidRDefault="00681821" w:rsidP="00681821">
      <w:pPr>
        <w:spacing w:line="360" w:lineRule="auto"/>
        <w:ind w:firstLineChars="196" w:firstLine="472"/>
        <w:rPr>
          <w:b/>
          <w:bCs/>
          <w:color w:val="000000"/>
          <w:sz w:val="24"/>
        </w:rPr>
      </w:pPr>
      <w:r w:rsidRPr="00681821">
        <w:rPr>
          <w:b/>
          <w:bCs/>
          <w:color w:val="000000"/>
          <w:sz w:val="24"/>
        </w:rPr>
        <w:t>5.1</w:t>
      </w:r>
      <w:r w:rsidRPr="00681821">
        <w:rPr>
          <w:b/>
          <w:bCs/>
          <w:color w:val="000000"/>
          <w:sz w:val="24"/>
        </w:rPr>
        <w:t>转换费率</w:t>
      </w:r>
    </w:p>
    <w:p w:rsidR="00681821" w:rsidRPr="00681821" w:rsidRDefault="00681821" w:rsidP="00681821">
      <w:pPr>
        <w:spacing w:line="360" w:lineRule="auto"/>
        <w:ind w:firstLineChars="200" w:firstLine="480"/>
        <w:rPr>
          <w:sz w:val="24"/>
        </w:rPr>
      </w:pPr>
      <w:r w:rsidRPr="00681821">
        <w:rPr>
          <w:sz w:val="24"/>
        </w:rPr>
        <w:t>本基金转换费用包括基金转换申购补差费和转出基金赎回费两部分。</w:t>
      </w:r>
    </w:p>
    <w:p w:rsidR="00681821" w:rsidRPr="00681821" w:rsidRDefault="00681821" w:rsidP="00681821">
      <w:pPr>
        <w:spacing w:line="360" w:lineRule="auto"/>
        <w:ind w:firstLineChars="200" w:firstLine="480"/>
        <w:rPr>
          <w:sz w:val="24"/>
        </w:rPr>
      </w:pPr>
      <w:r w:rsidRPr="00681821">
        <w:rPr>
          <w:sz w:val="24"/>
        </w:rPr>
        <w:t>（</w:t>
      </w:r>
      <w:r w:rsidRPr="00681821">
        <w:rPr>
          <w:sz w:val="24"/>
        </w:rPr>
        <w:t>1</w:t>
      </w:r>
      <w:r w:rsidRPr="00681821">
        <w:rPr>
          <w:sz w:val="24"/>
        </w:rPr>
        <w:t>）基金转换申购补差费：按照转入基金与转出基金的申购费的差额收取补差费。转出基金金额所对应的转出基金申购费低于转入基金的申购费的，补差费为转入基金的申购费和转出基金的申购费差额；转出基金金额所对应的转出基金申购费高于转入基金的申购费的，补差费为零。</w:t>
      </w:r>
    </w:p>
    <w:p w:rsidR="00681821" w:rsidRPr="00681821" w:rsidRDefault="00681821" w:rsidP="00681821">
      <w:pPr>
        <w:spacing w:line="360" w:lineRule="auto"/>
        <w:ind w:firstLineChars="200" w:firstLine="480"/>
        <w:rPr>
          <w:sz w:val="24"/>
        </w:rPr>
      </w:pPr>
      <w:r w:rsidRPr="00681821">
        <w:rPr>
          <w:sz w:val="24"/>
        </w:rPr>
        <w:t>（</w:t>
      </w:r>
      <w:r w:rsidRPr="00681821">
        <w:rPr>
          <w:sz w:val="24"/>
        </w:rPr>
        <w:t>2</w:t>
      </w:r>
      <w:r w:rsidRPr="00681821">
        <w:rPr>
          <w:sz w:val="24"/>
        </w:rPr>
        <w:t>）转出基金赎回费：按转出基金正常赎回时的赎回费率收取费用。基金转换费用由基金份额持有人承担。转换的目标基金所适用的申购与赎回费率详见各基金最新的招募说明书。</w:t>
      </w:r>
    </w:p>
    <w:p w:rsidR="00681821" w:rsidRPr="00681821" w:rsidRDefault="00681821" w:rsidP="00681821">
      <w:pPr>
        <w:spacing w:line="360" w:lineRule="auto"/>
        <w:ind w:firstLineChars="200" w:firstLine="480"/>
        <w:rPr>
          <w:sz w:val="24"/>
        </w:rPr>
      </w:pPr>
      <w:r w:rsidRPr="00681821">
        <w:rPr>
          <w:sz w:val="24"/>
        </w:rPr>
        <w:t>具体公式如下：</w:t>
      </w:r>
    </w:p>
    <w:p w:rsidR="00681821" w:rsidRPr="00681821" w:rsidRDefault="00681821" w:rsidP="00681821">
      <w:pPr>
        <w:spacing w:line="360" w:lineRule="auto"/>
        <w:ind w:firstLineChars="200" w:firstLine="480"/>
        <w:rPr>
          <w:sz w:val="24"/>
        </w:rPr>
      </w:pPr>
      <w:r w:rsidRPr="00681821">
        <w:rPr>
          <w:sz w:val="24"/>
        </w:rPr>
        <w:t>转出基金赎回费＝转出份额</w:t>
      </w:r>
      <w:r w:rsidRPr="00681821">
        <w:rPr>
          <w:sz w:val="24"/>
        </w:rPr>
        <w:t>×</w:t>
      </w:r>
      <w:r w:rsidRPr="00681821">
        <w:rPr>
          <w:sz w:val="24"/>
        </w:rPr>
        <w:t>转出基金当日基金份额净值</w:t>
      </w:r>
      <w:r w:rsidRPr="00681821">
        <w:rPr>
          <w:sz w:val="24"/>
        </w:rPr>
        <w:t>×</w:t>
      </w:r>
      <w:r w:rsidRPr="00681821">
        <w:rPr>
          <w:sz w:val="24"/>
        </w:rPr>
        <w:t>转出基金赎回费率</w:t>
      </w:r>
    </w:p>
    <w:p w:rsidR="00681821" w:rsidRPr="00681821" w:rsidRDefault="00681821" w:rsidP="00681821">
      <w:pPr>
        <w:spacing w:line="360" w:lineRule="auto"/>
        <w:ind w:firstLineChars="200" w:firstLine="480"/>
        <w:rPr>
          <w:sz w:val="24"/>
        </w:rPr>
      </w:pPr>
      <w:r w:rsidRPr="00681821">
        <w:rPr>
          <w:sz w:val="24"/>
        </w:rPr>
        <w:t>转出金额＝转出份额</w:t>
      </w:r>
      <w:r w:rsidRPr="00681821">
        <w:rPr>
          <w:sz w:val="24"/>
        </w:rPr>
        <w:t>×</w:t>
      </w:r>
      <w:r w:rsidRPr="00681821">
        <w:rPr>
          <w:sz w:val="24"/>
        </w:rPr>
        <w:t>转出基金当日基金份额净值－转出基金赎回费</w:t>
      </w:r>
    </w:p>
    <w:p w:rsidR="00681821" w:rsidRPr="00681821" w:rsidRDefault="00681821" w:rsidP="00681821">
      <w:pPr>
        <w:spacing w:line="360" w:lineRule="auto"/>
        <w:ind w:firstLineChars="200" w:firstLine="480"/>
        <w:rPr>
          <w:sz w:val="24"/>
        </w:rPr>
      </w:pPr>
      <w:r w:rsidRPr="00681821">
        <w:rPr>
          <w:sz w:val="24"/>
        </w:rPr>
        <w:t>基金转换申购补差费：</w:t>
      </w:r>
    </w:p>
    <w:p w:rsidR="00681821" w:rsidRPr="00681821" w:rsidRDefault="00681821" w:rsidP="00681821">
      <w:pPr>
        <w:spacing w:line="360" w:lineRule="auto"/>
        <w:ind w:firstLineChars="200" w:firstLine="480"/>
        <w:rPr>
          <w:sz w:val="24"/>
        </w:rPr>
      </w:pPr>
      <w:r w:rsidRPr="00681821">
        <w:rPr>
          <w:sz w:val="24"/>
        </w:rPr>
        <w:t>如果，转入基金的申购费＞转出基金的申购费，</w:t>
      </w:r>
    </w:p>
    <w:p w:rsidR="00681821" w:rsidRPr="00681821" w:rsidRDefault="00681821" w:rsidP="00681821">
      <w:pPr>
        <w:spacing w:line="360" w:lineRule="auto"/>
        <w:ind w:firstLineChars="200" w:firstLine="480"/>
        <w:rPr>
          <w:sz w:val="24"/>
        </w:rPr>
      </w:pPr>
      <w:r w:rsidRPr="00681821">
        <w:rPr>
          <w:sz w:val="24"/>
        </w:rPr>
        <w:t>基金转换申购补差费＝转入基金的申购费－转出基金的申购费</w:t>
      </w:r>
    </w:p>
    <w:p w:rsidR="00681821" w:rsidRPr="00681821" w:rsidRDefault="00681821" w:rsidP="00681821">
      <w:pPr>
        <w:spacing w:line="360" w:lineRule="auto"/>
        <w:ind w:firstLineChars="200" w:firstLine="480"/>
        <w:rPr>
          <w:sz w:val="24"/>
        </w:rPr>
      </w:pPr>
      <w:r w:rsidRPr="00681821">
        <w:rPr>
          <w:sz w:val="24"/>
        </w:rPr>
        <w:t>如果，转出基金的申购费</w:t>
      </w:r>
      <w:r w:rsidRPr="00681821">
        <w:rPr>
          <w:sz w:val="24"/>
        </w:rPr>
        <w:t>≥</w:t>
      </w:r>
      <w:r w:rsidRPr="00681821">
        <w:rPr>
          <w:sz w:val="24"/>
        </w:rPr>
        <w:t>转入基金的申购费，</w:t>
      </w:r>
    </w:p>
    <w:p w:rsidR="00681821" w:rsidRPr="00681821" w:rsidRDefault="00681821" w:rsidP="00681821">
      <w:pPr>
        <w:spacing w:line="360" w:lineRule="auto"/>
        <w:ind w:firstLineChars="200" w:firstLine="480"/>
        <w:rPr>
          <w:sz w:val="24"/>
        </w:rPr>
      </w:pPr>
      <w:r w:rsidRPr="00681821">
        <w:rPr>
          <w:sz w:val="24"/>
        </w:rPr>
        <w:t>基金转换申购补差费＝</w:t>
      </w:r>
      <w:r w:rsidRPr="00681821">
        <w:rPr>
          <w:sz w:val="24"/>
        </w:rPr>
        <w:t xml:space="preserve"> 0</w:t>
      </w:r>
    </w:p>
    <w:p w:rsidR="00681821" w:rsidRPr="00681821" w:rsidRDefault="00681821" w:rsidP="00681821">
      <w:pPr>
        <w:spacing w:line="360" w:lineRule="auto"/>
        <w:ind w:firstLineChars="200" w:firstLine="480"/>
        <w:rPr>
          <w:sz w:val="24"/>
        </w:rPr>
      </w:pPr>
      <w:r w:rsidRPr="00681821">
        <w:rPr>
          <w:sz w:val="24"/>
        </w:rPr>
        <w:t>其中：</w:t>
      </w:r>
    </w:p>
    <w:p w:rsidR="00681821" w:rsidRPr="00681821" w:rsidRDefault="00681821" w:rsidP="00681821">
      <w:pPr>
        <w:spacing w:line="360" w:lineRule="auto"/>
        <w:ind w:firstLineChars="200" w:firstLine="480"/>
        <w:rPr>
          <w:sz w:val="24"/>
        </w:rPr>
      </w:pPr>
      <w:r w:rsidRPr="00681821">
        <w:rPr>
          <w:sz w:val="24"/>
        </w:rPr>
        <w:t>转入基金的申购费＝</w:t>
      </w:r>
      <w:r w:rsidRPr="00681821">
        <w:rPr>
          <w:sz w:val="24"/>
        </w:rPr>
        <w:t xml:space="preserve"> [</w:t>
      </w:r>
      <w:r w:rsidRPr="00681821">
        <w:rPr>
          <w:sz w:val="24"/>
        </w:rPr>
        <w:t>转出金额－转出金额</w:t>
      </w:r>
      <w:r w:rsidRPr="00681821">
        <w:rPr>
          <w:sz w:val="24"/>
        </w:rPr>
        <w:t>÷</w:t>
      </w:r>
      <w:r w:rsidRPr="00681821">
        <w:rPr>
          <w:sz w:val="24"/>
        </w:rPr>
        <w:t>（</w:t>
      </w:r>
      <w:r w:rsidRPr="00681821">
        <w:rPr>
          <w:sz w:val="24"/>
        </w:rPr>
        <w:t>1</w:t>
      </w:r>
      <w:r w:rsidRPr="00681821">
        <w:rPr>
          <w:sz w:val="24"/>
        </w:rPr>
        <w:t>＋转入基金的申购费率）</w:t>
      </w:r>
      <w:r w:rsidRPr="00681821">
        <w:rPr>
          <w:sz w:val="24"/>
        </w:rPr>
        <w:t>]</w:t>
      </w:r>
      <w:r w:rsidRPr="00681821">
        <w:rPr>
          <w:sz w:val="24"/>
        </w:rPr>
        <w:t>，</w:t>
      </w:r>
      <w:r w:rsidRPr="00681821">
        <w:rPr>
          <w:sz w:val="24"/>
        </w:rPr>
        <w:t xml:space="preserve"> </w:t>
      </w:r>
      <w:r w:rsidRPr="00681821">
        <w:rPr>
          <w:sz w:val="24"/>
        </w:rPr>
        <w:t>或，转入基金固定申购费金额</w:t>
      </w:r>
    </w:p>
    <w:p w:rsidR="00681821" w:rsidRPr="00681821" w:rsidRDefault="00681821" w:rsidP="00681821">
      <w:pPr>
        <w:spacing w:line="360" w:lineRule="auto"/>
        <w:ind w:firstLineChars="200" w:firstLine="480"/>
        <w:rPr>
          <w:sz w:val="24"/>
        </w:rPr>
      </w:pPr>
      <w:r w:rsidRPr="00681821">
        <w:rPr>
          <w:sz w:val="24"/>
        </w:rPr>
        <w:t>转出基金的申购费＝</w:t>
      </w:r>
      <w:r w:rsidRPr="00681821">
        <w:rPr>
          <w:sz w:val="24"/>
        </w:rPr>
        <w:t xml:space="preserve"> [</w:t>
      </w:r>
      <w:r w:rsidRPr="00681821">
        <w:rPr>
          <w:sz w:val="24"/>
        </w:rPr>
        <w:t>转出金额－转出金额</w:t>
      </w:r>
      <w:r w:rsidRPr="00681821">
        <w:rPr>
          <w:sz w:val="24"/>
        </w:rPr>
        <w:t>÷</w:t>
      </w:r>
      <w:r w:rsidRPr="00681821">
        <w:rPr>
          <w:sz w:val="24"/>
        </w:rPr>
        <w:t>（</w:t>
      </w:r>
      <w:r w:rsidRPr="00681821">
        <w:rPr>
          <w:sz w:val="24"/>
        </w:rPr>
        <w:t>1</w:t>
      </w:r>
      <w:r w:rsidRPr="00681821">
        <w:rPr>
          <w:sz w:val="24"/>
        </w:rPr>
        <w:t>＋转出基金的申购费率）</w:t>
      </w:r>
      <w:r w:rsidRPr="00681821">
        <w:rPr>
          <w:sz w:val="24"/>
        </w:rPr>
        <w:t xml:space="preserve">] </w:t>
      </w:r>
      <w:r w:rsidRPr="00681821">
        <w:rPr>
          <w:sz w:val="24"/>
        </w:rPr>
        <w:t>，或，转出基金固定申购费金额</w:t>
      </w:r>
    </w:p>
    <w:p w:rsidR="00681821" w:rsidRPr="00681821" w:rsidRDefault="00681821" w:rsidP="00681821">
      <w:pPr>
        <w:spacing w:line="360" w:lineRule="auto"/>
        <w:ind w:firstLineChars="200" w:firstLine="480"/>
        <w:rPr>
          <w:sz w:val="24"/>
        </w:rPr>
      </w:pPr>
      <w:r w:rsidRPr="00681821">
        <w:rPr>
          <w:sz w:val="24"/>
        </w:rPr>
        <w:t>转入金额</w:t>
      </w:r>
      <w:r w:rsidRPr="00681821">
        <w:rPr>
          <w:sz w:val="24"/>
        </w:rPr>
        <w:t xml:space="preserve"> = </w:t>
      </w:r>
      <w:r w:rsidRPr="00681821">
        <w:rPr>
          <w:sz w:val="24"/>
        </w:rPr>
        <w:t>转出金额－基金转换申购补差费</w:t>
      </w:r>
    </w:p>
    <w:p w:rsidR="00681821" w:rsidRPr="00681821" w:rsidRDefault="00681821" w:rsidP="00681821">
      <w:pPr>
        <w:spacing w:line="360" w:lineRule="auto"/>
        <w:ind w:firstLineChars="200" w:firstLine="480"/>
        <w:rPr>
          <w:sz w:val="24"/>
        </w:rPr>
      </w:pPr>
      <w:r w:rsidRPr="00681821">
        <w:rPr>
          <w:sz w:val="24"/>
        </w:rPr>
        <w:t>转入份额</w:t>
      </w:r>
      <w:r w:rsidRPr="00681821">
        <w:rPr>
          <w:sz w:val="24"/>
        </w:rPr>
        <w:t xml:space="preserve"> = </w:t>
      </w:r>
      <w:r w:rsidRPr="00681821">
        <w:rPr>
          <w:sz w:val="24"/>
        </w:rPr>
        <w:t>转入金额</w:t>
      </w:r>
      <w:r w:rsidRPr="00681821">
        <w:rPr>
          <w:sz w:val="24"/>
        </w:rPr>
        <w:t>÷</w:t>
      </w:r>
      <w:r w:rsidRPr="00681821">
        <w:rPr>
          <w:sz w:val="24"/>
        </w:rPr>
        <w:t>转入基金当日基金份额净值</w:t>
      </w:r>
    </w:p>
    <w:p w:rsidR="00681821" w:rsidRPr="00681821" w:rsidRDefault="00681821" w:rsidP="00681821">
      <w:pPr>
        <w:spacing w:line="360" w:lineRule="auto"/>
        <w:ind w:firstLineChars="200" w:firstLine="480"/>
        <w:rPr>
          <w:sz w:val="24"/>
        </w:rPr>
      </w:pPr>
      <w:r w:rsidRPr="00681821">
        <w:rPr>
          <w:sz w:val="24"/>
        </w:rPr>
        <w:t>转入份额的计算结果四舍五入保留到小数点后两位，由此产生的误差计入基金资产。</w:t>
      </w:r>
    </w:p>
    <w:p w:rsidR="00681821" w:rsidRPr="00681821" w:rsidRDefault="00681821" w:rsidP="00681821">
      <w:pPr>
        <w:spacing w:line="360" w:lineRule="auto"/>
        <w:ind w:firstLineChars="200" w:firstLine="480"/>
        <w:rPr>
          <w:sz w:val="24"/>
        </w:rPr>
      </w:pPr>
      <w:r w:rsidRPr="00681821">
        <w:rPr>
          <w:sz w:val="24"/>
        </w:rPr>
        <w:t>例</w:t>
      </w:r>
      <w:r w:rsidRPr="00681821">
        <w:rPr>
          <w:sz w:val="24"/>
        </w:rPr>
        <w:t>1</w:t>
      </w:r>
      <w:r w:rsidRPr="00681821">
        <w:rPr>
          <w:sz w:val="24"/>
        </w:rPr>
        <w:t>：投资者在</w:t>
      </w:r>
      <w:r w:rsidRPr="00681821">
        <w:rPr>
          <w:sz w:val="24"/>
        </w:rPr>
        <w:t>T</w:t>
      </w:r>
      <w:r w:rsidRPr="00681821">
        <w:rPr>
          <w:sz w:val="24"/>
        </w:rPr>
        <w:t>日转出</w:t>
      </w:r>
      <w:r w:rsidRPr="00681821">
        <w:rPr>
          <w:sz w:val="24"/>
        </w:rPr>
        <w:t>2,000</w:t>
      </w:r>
      <w:r w:rsidRPr="00681821">
        <w:rPr>
          <w:sz w:val="24"/>
        </w:rPr>
        <w:t>份</w:t>
      </w:r>
      <w:r w:rsidRPr="00681821">
        <w:rPr>
          <w:sz w:val="24"/>
        </w:rPr>
        <w:t>A</w:t>
      </w:r>
      <w:r w:rsidRPr="00681821">
        <w:rPr>
          <w:sz w:val="24"/>
        </w:rPr>
        <w:t>基金的基金份额，</w:t>
      </w:r>
      <w:r w:rsidRPr="00681821">
        <w:rPr>
          <w:sz w:val="24"/>
        </w:rPr>
        <w:t>A</w:t>
      </w:r>
      <w:r w:rsidRPr="00681821">
        <w:rPr>
          <w:sz w:val="24"/>
        </w:rPr>
        <w:t>基金申购费率适用比例费率，该日</w:t>
      </w:r>
      <w:r w:rsidRPr="00681821">
        <w:rPr>
          <w:sz w:val="24"/>
        </w:rPr>
        <w:t>A</w:t>
      </w:r>
      <w:r w:rsidRPr="00681821">
        <w:rPr>
          <w:sz w:val="24"/>
        </w:rPr>
        <w:t>基金的基金份额净值为</w:t>
      </w:r>
      <w:r w:rsidRPr="00681821">
        <w:rPr>
          <w:sz w:val="24"/>
        </w:rPr>
        <w:t>1.50</w:t>
      </w:r>
      <w:r w:rsidRPr="00681821">
        <w:rPr>
          <w:rFonts w:hint="eastAsia"/>
          <w:sz w:val="24"/>
        </w:rPr>
        <w:t>0</w:t>
      </w:r>
      <w:r w:rsidRPr="00681821">
        <w:rPr>
          <w:sz w:val="24"/>
        </w:rPr>
        <w:t>0</w:t>
      </w:r>
      <w:r w:rsidRPr="00681821">
        <w:rPr>
          <w:sz w:val="24"/>
        </w:rPr>
        <w:t>元。</w:t>
      </w:r>
      <w:r w:rsidRPr="00681821">
        <w:rPr>
          <w:sz w:val="24"/>
        </w:rPr>
        <w:t>A</w:t>
      </w:r>
      <w:r w:rsidRPr="00681821">
        <w:rPr>
          <w:sz w:val="24"/>
        </w:rPr>
        <w:t>基金前端申购费率为</w:t>
      </w:r>
      <w:r w:rsidRPr="00681821">
        <w:rPr>
          <w:sz w:val="24"/>
        </w:rPr>
        <w:t>1.50%</w:t>
      </w:r>
      <w:r w:rsidRPr="00681821">
        <w:rPr>
          <w:sz w:val="24"/>
        </w:rPr>
        <w:t>，赎回费率为</w:t>
      </w:r>
      <w:r w:rsidRPr="00681821">
        <w:rPr>
          <w:sz w:val="24"/>
        </w:rPr>
        <w:t>0.50%</w:t>
      </w:r>
      <w:r w:rsidRPr="00681821">
        <w:rPr>
          <w:sz w:val="24"/>
        </w:rPr>
        <w:t>。转入</w:t>
      </w:r>
      <w:r w:rsidRPr="00681821">
        <w:rPr>
          <w:sz w:val="24"/>
        </w:rPr>
        <w:t>B</w:t>
      </w:r>
      <w:r w:rsidRPr="00681821">
        <w:rPr>
          <w:sz w:val="24"/>
        </w:rPr>
        <w:t>基金，且</w:t>
      </w:r>
      <w:r w:rsidRPr="00681821">
        <w:rPr>
          <w:sz w:val="24"/>
        </w:rPr>
        <w:t>B</w:t>
      </w:r>
      <w:r w:rsidRPr="00681821">
        <w:rPr>
          <w:sz w:val="24"/>
        </w:rPr>
        <w:t>基金适用的前端申购费率为</w:t>
      </w:r>
      <w:r w:rsidRPr="00681821">
        <w:rPr>
          <w:sz w:val="24"/>
        </w:rPr>
        <w:t>1.20%</w:t>
      </w:r>
      <w:r w:rsidRPr="00681821">
        <w:rPr>
          <w:sz w:val="24"/>
        </w:rPr>
        <w:t>，该日</w:t>
      </w:r>
      <w:r w:rsidRPr="00681821">
        <w:rPr>
          <w:sz w:val="24"/>
        </w:rPr>
        <w:t>B</w:t>
      </w:r>
      <w:r w:rsidRPr="00681821">
        <w:rPr>
          <w:sz w:val="24"/>
        </w:rPr>
        <w:t>基金的基金份额净值为</w:t>
      </w:r>
      <w:r w:rsidRPr="00681821">
        <w:rPr>
          <w:sz w:val="24"/>
        </w:rPr>
        <w:t>1.350</w:t>
      </w:r>
      <w:r w:rsidRPr="00681821">
        <w:rPr>
          <w:rFonts w:hint="eastAsia"/>
          <w:sz w:val="24"/>
        </w:rPr>
        <w:t>0</w:t>
      </w:r>
      <w:r w:rsidRPr="00681821">
        <w:rPr>
          <w:sz w:val="24"/>
        </w:rPr>
        <w:t>元，则转出基金赎回费、基金转换申购补差费及转入份额计算如下：</w:t>
      </w:r>
    </w:p>
    <w:p w:rsidR="00681821" w:rsidRPr="00681821" w:rsidRDefault="00681821" w:rsidP="00681821">
      <w:pPr>
        <w:spacing w:line="360" w:lineRule="auto"/>
        <w:ind w:firstLineChars="200" w:firstLine="480"/>
        <w:rPr>
          <w:sz w:val="24"/>
        </w:rPr>
      </w:pPr>
      <w:r w:rsidRPr="00681821">
        <w:rPr>
          <w:sz w:val="24"/>
        </w:rPr>
        <w:t>转出基金赎回费＝</w:t>
      </w:r>
      <w:r w:rsidRPr="00681821">
        <w:rPr>
          <w:sz w:val="24"/>
        </w:rPr>
        <w:t>2,000×1.500</w:t>
      </w:r>
      <w:r w:rsidRPr="00681821">
        <w:rPr>
          <w:rFonts w:hint="eastAsia"/>
          <w:sz w:val="24"/>
        </w:rPr>
        <w:t>0</w:t>
      </w:r>
      <w:r w:rsidRPr="00681821">
        <w:rPr>
          <w:sz w:val="24"/>
        </w:rPr>
        <w:t>×0.50</w:t>
      </w:r>
      <w:r w:rsidRPr="00681821">
        <w:rPr>
          <w:sz w:val="24"/>
        </w:rPr>
        <w:t>％＝</w:t>
      </w:r>
      <w:r w:rsidRPr="00681821">
        <w:rPr>
          <w:sz w:val="24"/>
        </w:rPr>
        <w:t>15.00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转出金额＝</w:t>
      </w:r>
      <w:r w:rsidRPr="00681821">
        <w:rPr>
          <w:sz w:val="24"/>
        </w:rPr>
        <w:t>2,000×1.500</w:t>
      </w:r>
      <w:r w:rsidR="00293DA0">
        <w:rPr>
          <w:sz w:val="24"/>
        </w:rPr>
        <w:t>0</w:t>
      </w:r>
      <w:r w:rsidRPr="00681821">
        <w:rPr>
          <w:sz w:val="24"/>
        </w:rPr>
        <w:t>－</w:t>
      </w:r>
      <w:r w:rsidRPr="00681821">
        <w:rPr>
          <w:sz w:val="24"/>
        </w:rPr>
        <w:t>15.00</w:t>
      </w:r>
      <w:r w:rsidRPr="00681821">
        <w:rPr>
          <w:sz w:val="24"/>
        </w:rPr>
        <w:t>＝</w:t>
      </w:r>
      <w:r w:rsidRPr="00681821">
        <w:rPr>
          <w:sz w:val="24"/>
        </w:rPr>
        <w:t>2985.00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转入基金的申购费＝</w:t>
      </w:r>
      <w:r w:rsidRPr="00681821">
        <w:rPr>
          <w:sz w:val="24"/>
        </w:rPr>
        <w:t>2,985.00-2,985.00÷</w:t>
      </w:r>
      <w:r w:rsidRPr="00681821">
        <w:rPr>
          <w:sz w:val="24"/>
        </w:rPr>
        <w:t>（</w:t>
      </w:r>
      <w:r w:rsidRPr="00681821">
        <w:rPr>
          <w:sz w:val="24"/>
        </w:rPr>
        <w:t>1+1.20%</w:t>
      </w:r>
      <w:r w:rsidRPr="00681821">
        <w:rPr>
          <w:sz w:val="24"/>
        </w:rPr>
        <w:t>）</w:t>
      </w:r>
      <w:r w:rsidRPr="00681821">
        <w:rPr>
          <w:sz w:val="24"/>
        </w:rPr>
        <w:t>=35.40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转出基金的申购费＝</w:t>
      </w:r>
      <w:r w:rsidRPr="00681821">
        <w:rPr>
          <w:sz w:val="24"/>
        </w:rPr>
        <w:t>2,985.00-2,985.00÷</w:t>
      </w:r>
      <w:r w:rsidRPr="00681821">
        <w:rPr>
          <w:sz w:val="24"/>
        </w:rPr>
        <w:t>（</w:t>
      </w:r>
      <w:r w:rsidRPr="00681821">
        <w:rPr>
          <w:sz w:val="24"/>
        </w:rPr>
        <w:t>1+1.50%</w:t>
      </w:r>
      <w:r w:rsidRPr="00681821">
        <w:rPr>
          <w:sz w:val="24"/>
        </w:rPr>
        <w:t>）</w:t>
      </w:r>
      <w:r w:rsidRPr="00681821">
        <w:rPr>
          <w:sz w:val="24"/>
        </w:rPr>
        <w:t>=44.11</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转出基金的申购费＞转入基金的申购费</w:t>
      </w:r>
    </w:p>
    <w:p w:rsidR="00681821" w:rsidRPr="00681821" w:rsidRDefault="00681821" w:rsidP="00681821">
      <w:pPr>
        <w:spacing w:line="360" w:lineRule="auto"/>
        <w:ind w:firstLineChars="200" w:firstLine="480"/>
        <w:rPr>
          <w:sz w:val="24"/>
        </w:rPr>
      </w:pPr>
      <w:r w:rsidRPr="00681821">
        <w:rPr>
          <w:sz w:val="24"/>
        </w:rPr>
        <w:t>基金转换申购补差费＝</w:t>
      </w:r>
      <w:r w:rsidRPr="00681821">
        <w:rPr>
          <w:sz w:val="24"/>
        </w:rPr>
        <w:t xml:space="preserve"> 0</w:t>
      </w:r>
    </w:p>
    <w:p w:rsidR="00681821" w:rsidRPr="00681821" w:rsidRDefault="00681821" w:rsidP="00681821">
      <w:pPr>
        <w:spacing w:line="360" w:lineRule="auto"/>
        <w:ind w:firstLineChars="200" w:firstLine="480"/>
        <w:rPr>
          <w:sz w:val="24"/>
        </w:rPr>
      </w:pPr>
      <w:r w:rsidRPr="00681821">
        <w:rPr>
          <w:sz w:val="24"/>
        </w:rPr>
        <w:t>转入金额＝</w:t>
      </w:r>
      <w:r w:rsidRPr="00681821">
        <w:rPr>
          <w:sz w:val="24"/>
        </w:rPr>
        <w:t>2,985.00-0.00</w:t>
      </w:r>
      <w:r w:rsidRPr="00681821">
        <w:rPr>
          <w:sz w:val="24"/>
        </w:rPr>
        <w:t>＝</w:t>
      </w:r>
      <w:r w:rsidRPr="00681821">
        <w:rPr>
          <w:sz w:val="24"/>
        </w:rPr>
        <w:t>2,985.00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转入份额＝</w:t>
      </w:r>
      <w:r w:rsidRPr="00681821">
        <w:rPr>
          <w:sz w:val="24"/>
        </w:rPr>
        <w:t>2,985.00÷1.350</w:t>
      </w:r>
      <w:r w:rsidRPr="00681821">
        <w:rPr>
          <w:rFonts w:hint="eastAsia"/>
          <w:sz w:val="24"/>
        </w:rPr>
        <w:t>0</w:t>
      </w:r>
      <w:r w:rsidRPr="00681821">
        <w:rPr>
          <w:sz w:val="24"/>
        </w:rPr>
        <w:t>＝</w:t>
      </w:r>
      <w:r w:rsidRPr="00681821">
        <w:rPr>
          <w:sz w:val="24"/>
        </w:rPr>
        <w:t>2,211.11</w:t>
      </w:r>
      <w:r w:rsidRPr="00681821">
        <w:rPr>
          <w:sz w:val="24"/>
        </w:rPr>
        <w:t>份</w:t>
      </w:r>
    </w:p>
    <w:p w:rsidR="00681821" w:rsidRPr="00681821" w:rsidRDefault="00681821" w:rsidP="00681821">
      <w:pPr>
        <w:spacing w:line="360" w:lineRule="auto"/>
        <w:ind w:firstLineChars="200" w:firstLine="480"/>
        <w:rPr>
          <w:sz w:val="24"/>
        </w:rPr>
      </w:pPr>
      <w:r w:rsidRPr="00681821">
        <w:rPr>
          <w:sz w:val="24"/>
        </w:rPr>
        <w:t>例</w:t>
      </w:r>
      <w:r w:rsidRPr="00681821">
        <w:rPr>
          <w:sz w:val="24"/>
        </w:rPr>
        <w:t>2</w:t>
      </w:r>
      <w:r w:rsidRPr="00681821">
        <w:rPr>
          <w:sz w:val="24"/>
        </w:rPr>
        <w:t>：投资者在</w:t>
      </w:r>
      <w:r w:rsidRPr="00681821">
        <w:rPr>
          <w:sz w:val="24"/>
        </w:rPr>
        <w:t>T</w:t>
      </w:r>
      <w:r w:rsidRPr="00681821">
        <w:rPr>
          <w:sz w:val="24"/>
        </w:rPr>
        <w:t>日转出</w:t>
      </w:r>
      <w:r w:rsidRPr="00681821">
        <w:rPr>
          <w:sz w:val="24"/>
        </w:rPr>
        <w:t>2,000</w:t>
      </w:r>
      <w:r w:rsidRPr="00681821">
        <w:rPr>
          <w:sz w:val="24"/>
        </w:rPr>
        <w:t>份</w:t>
      </w:r>
      <w:r w:rsidRPr="00681821">
        <w:rPr>
          <w:sz w:val="24"/>
        </w:rPr>
        <w:t>A</w:t>
      </w:r>
      <w:r w:rsidRPr="00681821">
        <w:rPr>
          <w:sz w:val="24"/>
        </w:rPr>
        <w:t>基金的基金份额，</w:t>
      </w:r>
      <w:r w:rsidRPr="00681821">
        <w:rPr>
          <w:sz w:val="24"/>
        </w:rPr>
        <w:t>A</w:t>
      </w:r>
      <w:r w:rsidRPr="00681821">
        <w:rPr>
          <w:sz w:val="24"/>
        </w:rPr>
        <w:t>基金申购费率适用比例费率，该日</w:t>
      </w:r>
      <w:r w:rsidRPr="00681821">
        <w:rPr>
          <w:sz w:val="24"/>
        </w:rPr>
        <w:t>A</w:t>
      </w:r>
      <w:r w:rsidRPr="00681821">
        <w:rPr>
          <w:sz w:val="24"/>
        </w:rPr>
        <w:t>基金的基金份额净值为</w:t>
      </w:r>
      <w:r w:rsidRPr="00681821">
        <w:rPr>
          <w:sz w:val="24"/>
        </w:rPr>
        <w:t>1.500</w:t>
      </w:r>
      <w:r w:rsidRPr="00681821">
        <w:rPr>
          <w:rFonts w:hint="eastAsia"/>
          <w:sz w:val="24"/>
        </w:rPr>
        <w:t>0</w:t>
      </w:r>
      <w:r w:rsidRPr="00681821">
        <w:rPr>
          <w:sz w:val="24"/>
        </w:rPr>
        <w:t>元。</w:t>
      </w:r>
      <w:r w:rsidRPr="00681821">
        <w:rPr>
          <w:sz w:val="24"/>
        </w:rPr>
        <w:t>A</w:t>
      </w:r>
      <w:r w:rsidRPr="00681821">
        <w:rPr>
          <w:sz w:val="24"/>
        </w:rPr>
        <w:t>基金前端申购费率为</w:t>
      </w:r>
      <w:r w:rsidRPr="00681821">
        <w:rPr>
          <w:sz w:val="24"/>
        </w:rPr>
        <w:t>1.20%</w:t>
      </w:r>
      <w:r w:rsidRPr="00681821">
        <w:rPr>
          <w:sz w:val="24"/>
        </w:rPr>
        <w:t>，赎回费率为</w:t>
      </w:r>
      <w:r w:rsidRPr="00681821">
        <w:rPr>
          <w:sz w:val="24"/>
        </w:rPr>
        <w:t>0.50%</w:t>
      </w:r>
      <w:r w:rsidRPr="00681821">
        <w:rPr>
          <w:sz w:val="24"/>
        </w:rPr>
        <w:t>。转入</w:t>
      </w:r>
      <w:r w:rsidRPr="00681821">
        <w:rPr>
          <w:sz w:val="24"/>
        </w:rPr>
        <w:t>B</w:t>
      </w:r>
      <w:r w:rsidRPr="00681821">
        <w:rPr>
          <w:sz w:val="24"/>
        </w:rPr>
        <w:t>基金，且</w:t>
      </w:r>
      <w:r w:rsidRPr="00681821">
        <w:rPr>
          <w:sz w:val="24"/>
        </w:rPr>
        <w:t>B</w:t>
      </w:r>
      <w:r w:rsidRPr="00681821">
        <w:rPr>
          <w:sz w:val="24"/>
        </w:rPr>
        <w:t>基金适用的前端申购费率为</w:t>
      </w:r>
      <w:r w:rsidRPr="00681821">
        <w:rPr>
          <w:sz w:val="24"/>
        </w:rPr>
        <w:t>1.50%</w:t>
      </w:r>
      <w:r w:rsidRPr="00681821">
        <w:rPr>
          <w:sz w:val="24"/>
        </w:rPr>
        <w:t>，该日</w:t>
      </w:r>
      <w:r w:rsidRPr="00681821">
        <w:rPr>
          <w:sz w:val="24"/>
        </w:rPr>
        <w:t>B</w:t>
      </w:r>
      <w:r w:rsidRPr="00681821">
        <w:rPr>
          <w:sz w:val="24"/>
        </w:rPr>
        <w:t>基金的基金份额净值为</w:t>
      </w:r>
      <w:r w:rsidRPr="00681821">
        <w:rPr>
          <w:sz w:val="24"/>
        </w:rPr>
        <w:t>1.350</w:t>
      </w:r>
      <w:r w:rsidRPr="00681821">
        <w:rPr>
          <w:rFonts w:hint="eastAsia"/>
          <w:sz w:val="24"/>
        </w:rPr>
        <w:t>0</w:t>
      </w:r>
      <w:r w:rsidRPr="00681821">
        <w:rPr>
          <w:sz w:val="24"/>
        </w:rPr>
        <w:t>元，则转出基金赎回费、基金转换申购补差费及转入份额计算如下：</w:t>
      </w:r>
    </w:p>
    <w:p w:rsidR="00681821" w:rsidRPr="00681821" w:rsidRDefault="00681821" w:rsidP="00681821">
      <w:pPr>
        <w:spacing w:line="360" w:lineRule="auto"/>
        <w:ind w:firstLineChars="200" w:firstLine="480"/>
        <w:rPr>
          <w:sz w:val="24"/>
        </w:rPr>
      </w:pPr>
      <w:r w:rsidRPr="00681821">
        <w:rPr>
          <w:sz w:val="24"/>
        </w:rPr>
        <w:t>转出基金赎回费＝</w:t>
      </w:r>
      <w:r w:rsidRPr="00681821">
        <w:rPr>
          <w:sz w:val="24"/>
        </w:rPr>
        <w:t>2,000×1.500</w:t>
      </w:r>
      <w:r w:rsidRPr="00681821">
        <w:rPr>
          <w:rFonts w:hint="eastAsia"/>
          <w:sz w:val="24"/>
        </w:rPr>
        <w:t>0</w:t>
      </w:r>
      <w:r w:rsidRPr="00681821">
        <w:rPr>
          <w:sz w:val="24"/>
        </w:rPr>
        <w:t>×0.50</w:t>
      </w:r>
      <w:r w:rsidRPr="00681821">
        <w:rPr>
          <w:sz w:val="24"/>
        </w:rPr>
        <w:t>％＝</w:t>
      </w:r>
      <w:r w:rsidRPr="00681821">
        <w:rPr>
          <w:sz w:val="24"/>
        </w:rPr>
        <w:t>15.00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转出金额＝</w:t>
      </w:r>
      <w:r w:rsidRPr="00681821">
        <w:rPr>
          <w:sz w:val="24"/>
        </w:rPr>
        <w:t>2,000×1.500</w:t>
      </w:r>
      <w:r w:rsidRPr="00681821">
        <w:rPr>
          <w:rFonts w:hint="eastAsia"/>
          <w:sz w:val="24"/>
        </w:rPr>
        <w:t>0</w:t>
      </w:r>
      <w:r w:rsidRPr="00681821">
        <w:rPr>
          <w:sz w:val="24"/>
        </w:rPr>
        <w:t>－</w:t>
      </w:r>
      <w:r w:rsidRPr="00681821">
        <w:rPr>
          <w:sz w:val="24"/>
        </w:rPr>
        <w:t>15.00</w:t>
      </w:r>
      <w:r w:rsidRPr="00681821">
        <w:rPr>
          <w:sz w:val="24"/>
        </w:rPr>
        <w:t>＝</w:t>
      </w:r>
      <w:r w:rsidRPr="00681821">
        <w:rPr>
          <w:sz w:val="24"/>
        </w:rPr>
        <w:t>2,985.00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转入基金的申购费＝</w:t>
      </w:r>
      <w:r w:rsidRPr="00681821">
        <w:rPr>
          <w:sz w:val="24"/>
        </w:rPr>
        <w:t>2,985.00-2,985.00÷</w:t>
      </w:r>
      <w:r w:rsidRPr="00681821">
        <w:rPr>
          <w:sz w:val="24"/>
        </w:rPr>
        <w:t>（</w:t>
      </w:r>
      <w:r w:rsidRPr="00681821">
        <w:rPr>
          <w:sz w:val="24"/>
        </w:rPr>
        <w:t>1+1.50%</w:t>
      </w:r>
      <w:r w:rsidRPr="00681821">
        <w:rPr>
          <w:sz w:val="24"/>
        </w:rPr>
        <w:t>）</w:t>
      </w:r>
      <w:r w:rsidRPr="00681821">
        <w:rPr>
          <w:sz w:val="24"/>
        </w:rPr>
        <w:t>=44.11</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转出基金的申购费＝</w:t>
      </w:r>
      <w:r w:rsidRPr="00681821">
        <w:rPr>
          <w:sz w:val="24"/>
        </w:rPr>
        <w:t>2,985.00-2,985.00÷</w:t>
      </w:r>
      <w:r w:rsidRPr="00681821">
        <w:rPr>
          <w:sz w:val="24"/>
        </w:rPr>
        <w:t>（</w:t>
      </w:r>
      <w:r w:rsidRPr="00681821">
        <w:rPr>
          <w:sz w:val="24"/>
        </w:rPr>
        <w:t>1+1.20%</w:t>
      </w:r>
      <w:r w:rsidRPr="00681821">
        <w:rPr>
          <w:sz w:val="24"/>
        </w:rPr>
        <w:t>）</w:t>
      </w:r>
      <w:r w:rsidRPr="00681821">
        <w:rPr>
          <w:sz w:val="24"/>
        </w:rPr>
        <w:t>=35.40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转入基金的申购费＞转出基金的申购费</w:t>
      </w:r>
    </w:p>
    <w:p w:rsidR="00681821" w:rsidRPr="00681821" w:rsidRDefault="00681821" w:rsidP="00681821">
      <w:pPr>
        <w:spacing w:line="360" w:lineRule="auto"/>
        <w:ind w:firstLineChars="200" w:firstLine="480"/>
        <w:rPr>
          <w:sz w:val="24"/>
        </w:rPr>
      </w:pPr>
      <w:r w:rsidRPr="00681821">
        <w:rPr>
          <w:sz w:val="24"/>
        </w:rPr>
        <w:t>基金转换申购补差费＝</w:t>
      </w:r>
      <w:r w:rsidRPr="00681821">
        <w:rPr>
          <w:sz w:val="24"/>
        </w:rPr>
        <w:t>44.11-35.40</w:t>
      </w:r>
      <w:r w:rsidRPr="00681821">
        <w:rPr>
          <w:sz w:val="24"/>
        </w:rPr>
        <w:t>＝</w:t>
      </w:r>
      <w:r w:rsidRPr="00681821">
        <w:rPr>
          <w:sz w:val="24"/>
        </w:rPr>
        <w:t>8.71</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转入金额＝</w:t>
      </w:r>
      <w:r w:rsidRPr="00681821">
        <w:rPr>
          <w:sz w:val="24"/>
        </w:rPr>
        <w:t>2,985.00-8.71</w:t>
      </w:r>
      <w:r w:rsidRPr="00681821">
        <w:rPr>
          <w:sz w:val="24"/>
        </w:rPr>
        <w:t>＝</w:t>
      </w:r>
      <w:r w:rsidRPr="00681821">
        <w:rPr>
          <w:sz w:val="24"/>
        </w:rPr>
        <w:t>2,976.29</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转入份额＝</w:t>
      </w:r>
      <w:r w:rsidRPr="00681821">
        <w:rPr>
          <w:sz w:val="24"/>
        </w:rPr>
        <w:t>2,976.29÷1.350</w:t>
      </w:r>
      <w:r w:rsidRPr="00681821">
        <w:rPr>
          <w:rFonts w:hint="eastAsia"/>
          <w:sz w:val="24"/>
        </w:rPr>
        <w:t>0</w:t>
      </w:r>
      <w:r w:rsidRPr="00681821">
        <w:rPr>
          <w:sz w:val="24"/>
        </w:rPr>
        <w:t>＝</w:t>
      </w:r>
      <w:r w:rsidRPr="00681821">
        <w:rPr>
          <w:sz w:val="24"/>
        </w:rPr>
        <w:t>2,204.66</w:t>
      </w:r>
      <w:r w:rsidRPr="00681821">
        <w:rPr>
          <w:sz w:val="24"/>
        </w:rPr>
        <w:t>份</w:t>
      </w:r>
    </w:p>
    <w:p w:rsidR="00681821" w:rsidRPr="00681821" w:rsidRDefault="00681821" w:rsidP="00681821">
      <w:pPr>
        <w:spacing w:line="360" w:lineRule="auto"/>
        <w:ind w:firstLineChars="200" w:firstLine="480"/>
        <w:rPr>
          <w:sz w:val="24"/>
        </w:rPr>
      </w:pPr>
      <w:r w:rsidRPr="00681821">
        <w:rPr>
          <w:sz w:val="24"/>
        </w:rPr>
        <w:t>例</w:t>
      </w:r>
      <w:r w:rsidRPr="00681821">
        <w:rPr>
          <w:sz w:val="24"/>
        </w:rPr>
        <w:t>3</w:t>
      </w:r>
      <w:r w:rsidRPr="00681821">
        <w:rPr>
          <w:sz w:val="24"/>
        </w:rPr>
        <w:t>：投资者在</w:t>
      </w:r>
      <w:r w:rsidRPr="00681821">
        <w:rPr>
          <w:sz w:val="24"/>
        </w:rPr>
        <w:t>T</w:t>
      </w:r>
      <w:r w:rsidRPr="00681821">
        <w:rPr>
          <w:sz w:val="24"/>
        </w:rPr>
        <w:t>日转出</w:t>
      </w:r>
      <w:r w:rsidRPr="00681821">
        <w:rPr>
          <w:sz w:val="24"/>
        </w:rPr>
        <w:t>5,000,000</w:t>
      </w:r>
      <w:r w:rsidRPr="00681821">
        <w:rPr>
          <w:sz w:val="24"/>
        </w:rPr>
        <w:t>份</w:t>
      </w:r>
      <w:r w:rsidRPr="00681821">
        <w:rPr>
          <w:sz w:val="24"/>
        </w:rPr>
        <w:t>A</w:t>
      </w:r>
      <w:r w:rsidRPr="00681821">
        <w:rPr>
          <w:sz w:val="24"/>
        </w:rPr>
        <w:t>基金的基金份额，</w:t>
      </w:r>
      <w:r w:rsidRPr="00681821">
        <w:rPr>
          <w:sz w:val="24"/>
        </w:rPr>
        <w:t>A</w:t>
      </w:r>
      <w:r w:rsidRPr="00681821">
        <w:rPr>
          <w:sz w:val="24"/>
        </w:rPr>
        <w:t>基金申购费率适用比例费率，该日</w:t>
      </w:r>
      <w:r w:rsidRPr="00681821">
        <w:rPr>
          <w:sz w:val="24"/>
        </w:rPr>
        <w:t>A</w:t>
      </w:r>
      <w:r w:rsidRPr="00681821">
        <w:rPr>
          <w:sz w:val="24"/>
        </w:rPr>
        <w:t>基金的基金份额净值为</w:t>
      </w:r>
      <w:r w:rsidRPr="00681821">
        <w:rPr>
          <w:sz w:val="24"/>
        </w:rPr>
        <w:t>1.200</w:t>
      </w:r>
      <w:r w:rsidRPr="00681821">
        <w:rPr>
          <w:rFonts w:hint="eastAsia"/>
          <w:sz w:val="24"/>
        </w:rPr>
        <w:t>0</w:t>
      </w:r>
      <w:r w:rsidRPr="00681821">
        <w:rPr>
          <w:sz w:val="24"/>
        </w:rPr>
        <w:t>元。</w:t>
      </w:r>
      <w:r w:rsidRPr="00681821">
        <w:rPr>
          <w:sz w:val="24"/>
        </w:rPr>
        <w:t>A</w:t>
      </w:r>
      <w:r w:rsidRPr="00681821">
        <w:rPr>
          <w:sz w:val="24"/>
        </w:rPr>
        <w:t>基金前端申购费率为</w:t>
      </w:r>
      <w:r w:rsidRPr="00681821">
        <w:rPr>
          <w:sz w:val="24"/>
        </w:rPr>
        <w:t>0.60%</w:t>
      </w:r>
      <w:r w:rsidRPr="00681821">
        <w:rPr>
          <w:sz w:val="24"/>
        </w:rPr>
        <w:t>，赎回费率为</w:t>
      </w:r>
      <w:r w:rsidRPr="00681821">
        <w:rPr>
          <w:sz w:val="24"/>
        </w:rPr>
        <w:t>0.50%</w:t>
      </w:r>
      <w:r w:rsidRPr="00681821">
        <w:rPr>
          <w:sz w:val="24"/>
        </w:rPr>
        <w:t>。转入</w:t>
      </w:r>
      <w:r w:rsidRPr="00681821">
        <w:rPr>
          <w:sz w:val="24"/>
        </w:rPr>
        <w:t>B</w:t>
      </w:r>
      <w:r w:rsidRPr="00681821">
        <w:rPr>
          <w:sz w:val="24"/>
        </w:rPr>
        <w:t>基金，且</w:t>
      </w:r>
      <w:r w:rsidRPr="00681821">
        <w:rPr>
          <w:sz w:val="24"/>
        </w:rPr>
        <w:t>B</w:t>
      </w:r>
      <w:r w:rsidRPr="00681821">
        <w:rPr>
          <w:sz w:val="24"/>
        </w:rPr>
        <w:t>基金申购费率适用固定申购费，固定申购费金额为</w:t>
      </w:r>
      <w:r w:rsidRPr="00681821">
        <w:rPr>
          <w:sz w:val="24"/>
        </w:rPr>
        <w:t>1,000</w:t>
      </w:r>
      <w:r w:rsidRPr="00681821">
        <w:rPr>
          <w:sz w:val="24"/>
        </w:rPr>
        <w:t>元，该日</w:t>
      </w:r>
      <w:r w:rsidRPr="00681821">
        <w:rPr>
          <w:sz w:val="24"/>
        </w:rPr>
        <w:t>B</w:t>
      </w:r>
      <w:r w:rsidRPr="00681821">
        <w:rPr>
          <w:sz w:val="24"/>
        </w:rPr>
        <w:t>基金的基金份额净值为</w:t>
      </w:r>
      <w:r w:rsidRPr="00681821">
        <w:rPr>
          <w:sz w:val="24"/>
        </w:rPr>
        <w:t>1.350</w:t>
      </w:r>
      <w:r w:rsidRPr="00681821">
        <w:rPr>
          <w:rFonts w:hint="eastAsia"/>
          <w:sz w:val="24"/>
        </w:rPr>
        <w:t>0</w:t>
      </w:r>
      <w:r w:rsidRPr="00681821">
        <w:rPr>
          <w:sz w:val="24"/>
        </w:rPr>
        <w:t>元，则转出基金赎回费、基金转换申购补差费及转入份额计算如下：</w:t>
      </w:r>
    </w:p>
    <w:p w:rsidR="00681821" w:rsidRPr="00681821" w:rsidRDefault="00681821" w:rsidP="00681821">
      <w:pPr>
        <w:spacing w:line="360" w:lineRule="auto"/>
        <w:ind w:firstLineChars="200" w:firstLine="480"/>
        <w:rPr>
          <w:sz w:val="24"/>
        </w:rPr>
      </w:pPr>
      <w:r w:rsidRPr="00681821">
        <w:rPr>
          <w:sz w:val="24"/>
        </w:rPr>
        <w:t>转出基金赎回费＝</w:t>
      </w:r>
      <w:r w:rsidRPr="00681821">
        <w:rPr>
          <w:sz w:val="24"/>
        </w:rPr>
        <w:t>5,000,000×1.200</w:t>
      </w:r>
      <w:r w:rsidRPr="00681821">
        <w:rPr>
          <w:rFonts w:hint="eastAsia"/>
          <w:sz w:val="24"/>
        </w:rPr>
        <w:t>0</w:t>
      </w:r>
      <w:r w:rsidRPr="00681821">
        <w:rPr>
          <w:sz w:val="24"/>
        </w:rPr>
        <w:t>×0.50</w:t>
      </w:r>
      <w:r w:rsidRPr="00681821">
        <w:rPr>
          <w:sz w:val="24"/>
        </w:rPr>
        <w:t>％＝</w:t>
      </w:r>
      <w:r w:rsidRPr="00681821">
        <w:rPr>
          <w:sz w:val="24"/>
        </w:rPr>
        <w:t>30,000.00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转出金额＝</w:t>
      </w:r>
      <w:r w:rsidRPr="00681821">
        <w:rPr>
          <w:sz w:val="24"/>
        </w:rPr>
        <w:t>5,000,000×1.200</w:t>
      </w:r>
      <w:r w:rsidRPr="00681821">
        <w:rPr>
          <w:rFonts w:hint="eastAsia"/>
          <w:sz w:val="24"/>
        </w:rPr>
        <w:t>0</w:t>
      </w:r>
      <w:r w:rsidRPr="00681821">
        <w:rPr>
          <w:sz w:val="24"/>
        </w:rPr>
        <w:t>－</w:t>
      </w:r>
      <w:r w:rsidRPr="00681821">
        <w:rPr>
          <w:sz w:val="24"/>
        </w:rPr>
        <w:t>30,000.00</w:t>
      </w:r>
      <w:r w:rsidRPr="00681821">
        <w:rPr>
          <w:sz w:val="24"/>
        </w:rPr>
        <w:t>＝</w:t>
      </w:r>
      <w:r w:rsidRPr="00681821">
        <w:rPr>
          <w:sz w:val="24"/>
        </w:rPr>
        <w:t>5,970,000.00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转入基金的申购费＝</w:t>
      </w:r>
      <w:r w:rsidRPr="00681821">
        <w:rPr>
          <w:sz w:val="24"/>
        </w:rPr>
        <w:t>1,000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转出基金的申购费＝</w:t>
      </w:r>
      <w:r w:rsidRPr="00681821">
        <w:rPr>
          <w:sz w:val="24"/>
        </w:rPr>
        <w:t>5,970,000.00-5,970,000.00÷</w:t>
      </w:r>
      <w:r w:rsidRPr="00681821">
        <w:rPr>
          <w:sz w:val="24"/>
        </w:rPr>
        <w:t>（</w:t>
      </w:r>
      <w:r w:rsidRPr="00681821">
        <w:rPr>
          <w:sz w:val="24"/>
        </w:rPr>
        <w:t>1+0.60%</w:t>
      </w:r>
      <w:r w:rsidRPr="00681821">
        <w:rPr>
          <w:sz w:val="24"/>
        </w:rPr>
        <w:t>）</w:t>
      </w:r>
      <w:r w:rsidRPr="00681821">
        <w:rPr>
          <w:sz w:val="24"/>
        </w:rPr>
        <w:t>=35,606.36</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转出基金的申购费＞转入基金的申购费</w:t>
      </w:r>
    </w:p>
    <w:p w:rsidR="00681821" w:rsidRPr="00681821" w:rsidRDefault="00681821" w:rsidP="00681821">
      <w:pPr>
        <w:spacing w:line="360" w:lineRule="auto"/>
        <w:ind w:firstLineChars="200" w:firstLine="480"/>
        <w:rPr>
          <w:sz w:val="24"/>
        </w:rPr>
      </w:pPr>
      <w:r w:rsidRPr="00681821">
        <w:rPr>
          <w:sz w:val="24"/>
        </w:rPr>
        <w:t>基金转换申购补差费＝</w:t>
      </w:r>
      <w:r w:rsidRPr="00681821">
        <w:rPr>
          <w:sz w:val="24"/>
        </w:rPr>
        <w:t>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转入金额＝</w:t>
      </w:r>
      <w:r w:rsidRPr="00681821">
        <w:rPr>
          <w:sz w:val="24"/>
        </w:rPr>
        <w:t>5,970,000.00-0</w:t>
      </w:r>
      <w:r w:rsidRPr="00681821">
        <w:rPr>
          <w:sz w:val="24"/>
        </w:rPr>
        <w:t>＝</w:t>
      </w:r>
      <w:r w:rsidRPr="00681821">
        <w:rPr>
          <w:sz w:val="24"/>
        </w:rPr>
        <w:t>5,970,000.00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转入份额＝</w:t>
      </w:r>
      <w:r w:rsidRPr="00681821">
        <w:rPr>
          <w:sz w:val="24"/>
        </w:rPr>
        <w:t>5,970,000.00÷1.350</w:t>
      </w:r>
      <w:r w:rsidRPr="00681821">
        <w:rPr>
          <w:rFonts w:hint="eastAsia"/>
          <w:sz w:val="24"/>
        </w:rPr>
        <w:t>0</w:t>
      </w:r>
      <w:r w:rsidRPr="00681821">
        <w:rPr>
          <w:sz w:val="24"/>
        </w:rPr>
        <w:t>＝</w:t>
      </w:r>
      <w:r w:rsidRPr="00681821">
        <w:rPr>
          <w:sz w:val="24"/>
        </w:rPr>
        <w:t>4,422,222.22</w:t>
      </w:r>
      <w:r w:rsidRPr="00681821">
        <w:rPr>
          <w:sz w:val="24"/>
        </w:rPr>
        <w:t>份</w:t>
      </w:r>
    </w:p>
    <w:p w:rsidR="00681821" w:rsidRPr="00681821" w:rsidRDefault="00681821" w:rsidP="00681821">
      <w:pPr>
        <w:spacing w:line="360" w:lineRule="auto"/>
        <w:ind w:firstLineChars="200" w:firstLine="480"/>
        <w:rPr>
          <w:sz w:val="24"/>
        </w:rPr>
      </w:pPr>
      <w:r w:rsidRPr="00681821">
        <w:rPr>
          <w:sz w:val="24"/>
        </w:rPr>
        <w:t>例</w:t>
      </w:r>
      <w:r w:rsidRPr="00681821">
        <w:rPr>
          <w:sz w:val="24"/>
        </w:rPr>
        <w:t>4</w:t>
      </w:r>
      <w:r w:rsidRPr="00681821">
        <w:rPr>
          <w:sz w:val="24"/>
        </w:rPr>
        <w:t>：投资者在</w:t>
      </w:r>
      <w:r w:rsidRPr="00681821">
        <w:rPr>
          <w:sz w:val="24"/>
        </w:rPr>
        <w:t>T</w:t>
      </w:r>
      <w:r w:rsidRPr="00681821">
        <w:rPr>
          <w:sz w:val="24"/>
        </w:rPr>
        <w:t>日转出</w:t>
      </w:r>
      <w:r w:rsidRPr="00681821">
        <w:rPr>
          <w:sz w:val="24"/>
        </w:rPr>
        <w:t>6,000,000</w:t>
      </w:r>
      <w:r w:rsidRPr="00681821">
        <w:rPr>
          <w:sz w:val="24"/>
        </w:rPr>
        <w:t>份</w:t>
      </w:r>
      <w:r w:rsidRPr="00681821">
        <w:rPr>
          <w:sz w:val="24"/>
        </w:rPr>
        <w:t>A</w:t>
      </w:r>
      <w:r w:rsidRPr="00681821">
        <w:rPr>
          <w:sz w:val="24"/>
        </w:rPr>
        <w:t>基金的基金份额，</w:t>
      </w:r>
      <w:r w:rsidRPr="00681821">
        <w:rPr>
          <w:sz w:val="24"/>
        </w:rPr>
        <w:t>A</w:t>
      </w:r>
      <w:r w:rsidRPr="00681821">
        <w:rPr>
          <w:sz w:val="24"/>
        </w:rPr>
        <w:t>基金申购费率适用固定申购费，该日</w:t>
      </w:r>
      <w:r w:rsidRPr="00681821">
        <w:rPr>
          <w:sz w:val="24"/>
        </w:rPr>
        <w:t>A</w:t>
      </w:r>
      <w:r w:rsidRPr="00681821">
        <w:rPr>
          <w:sz w:val="24"/>
        </w:rPr>
        <w:t>基金的基金份额净值为</w:t>
      </w:r>
      <w:r w:rsidRPr="00681821">
        <w:rPr>
          <w:sz w:val="24"/>
        </w:rPr>
        <w:t>1.200</w:t>
      </w:r>
      <w:r w:rsidRPr="00681821">
        <w:rPr>
          <w:rFonts w:hint="eastAsia"/>
          <w:sz w:val="24"/>
        </w:rPr>
        <w:t>0</w:t>
      </w:r>
      <w:r w:rsidRPr="00681821">
        <w:rPr>
          <w:sz w:val="24"/>
        </w:rPr>
        <w:t>元。</w:t>
      </w:r>
      <w:r w:rsidRPr="00681821">
        <w:rPr>
          <w:sz w:val="24"/>
        </w:rPr>
        <w:t>A</w:t>
      </w:r>
      <w:r w:rsidRPr="00681821">
        <w:rPr>
          <w:sz w:val="24"/>
        </w:rPr>
        <w:t>适用的固定申购费金额为</w:t>
      </w:r>
      <w:r w:rsidRPr="00681821">
        <w:rPr>
          <w:sz w:val="24"/>
        </w:rPr>
        <w:t>1,000</w:t>
      </w:r>
      <w:r w:rsidRPr="00681821">
        <w:rPr>
          <w:sz w:val="24"/>
        </w:rPr>
        <w:t>元，赎回费率为</w:t>
      </w:r>
      <w:r w:rsidRPr="00681821">
        <w:rPr>
          <w:sz w:val="24"/>
        </w:rPr>
        <w:t>0.50%</w:t>
      </w:r>
      <w:r w:rsidRPr="00681821">
        <w:rPr>
          <w:sz w:val="24"/>
        </w:rPr>
        <w:t>。转入</w:t>
      </w:r>
      <w:r w:rsidRPr="00681821">
        <w:rPr>
          <w:sz w:val="24"/>
        </w:rPr>
        <w:t>B</w:t>
      </w:r>
      <w:r w:rsidRPr="00681821">
        <w:rPr>
          <w:sz w:val="24"/>
        </w:rPr>
        <w:t>基金，且</w:t>
      </w:r>
      <w:r w:rsidRPr="00681821">
        <w:rPr>
          <w:sz w:val="24"/>
        </w:rPr>
        <w:t>B</w:t>
      </w:r>
      <w:r w:rsidRPr="00681821">
        <w:rPr>
          <w:sz w:val="24"/>
        </w:rPr>
        <w:t>基金申购费率适用固定申购费，固定申购费金额为</w:t>
      </w:r>
      <w:r w:rsidRPr="00681821">
        <w:rPr>
          <w:sz w:val="24"/>
        </w:rPr>
        <w:t>1,000</w:t>
      </w:r>
      <w:r w:rsidRPr="00681821">
        <w:rPr>
          <w:sz w:val="24"/>
        </w:rPr>
        <w:t>元，该日</w:t>
      </w:r>
      <w:r w:rsidRPr="00681821">
        <w:rPr>
          <w:sz w:val="24"/>
        </w:rPr>
        <w:t>B</w:t>
      </w:r>
      <w:r w:rsidRPr="00681821">
        <w:rPr>
          <w:sz w:val="24"/>
        </w:rPr>
        <w:t>基金的基金份额净值为</w:t>
      </w:r>
      <w:r w:rsidRPr="00681821">
        <w:rPr>
          <w:sz w:val="24"/>
        </w:rPr>
        <w:t>1.350</w:t>
      </w:r>
      <w:r w:rsidRPr="00681821">
        <w:rPr>
          <w:rFonts w:hint="eastAsia"/>
          <w:sz w:val="24"/>
        </w:rPr>
        <w:t>0</w:t>
      </w:r>
      <w:r w:rsidRPr="00681821">
        <w:rPr>
          <w:sz w:val="24"/>
        </w:rPr>
        <w:t>元，则转出基金赎回费、基金转换申购补差费及转入份额计算如下：</w:t>
      </w:r>
    </w:p>
    <w:p w:rsidR="00681821" w:rsidRPr="00681821" w:rsidRDefault="00681821" w:rsidP="00681821">
      <w:pPr>
        <w:spacing w:line="360" w:lineRule="auto"/>
        <w:ind w:firstLineChars="200" w:firstLine="480"/>
        <w:rPr>
          <w:sz w:val="24"/>
        </w:rPr>
      </w:pPr>
      <w:r w:rsidRPr="00681821">
        <w:rPr>
          <w:sz w:val="24"/>
        </w:rPr>
        <w:t>转出基金赎回费＝</w:t>
      </w:r>
      <w:r w:rsidRPr="00681821">
        <w:rPr>
          <w:sz w:val="24"/>
        </w:rPr>
        <w:t>6,000,000×1.200</w:t>
      </w:r>
      <w:r w:rsidRPr="00681821">
        <w:rPr>
          <w:rFonts w:hint="eastAsia"/>
          <w:sz w:val="24"/>
        </w:rPr>
        <w:t>0</w:t>
      </w:r>
      <w:r w:rsidRPr="00681821">
        <w:rPr>
          <w:sz w:val="24"/>
        </w:rPr>
        <w:t>×0.50</w:t>
      </w:r>
      <w:r w:rsidRPr="00681821">
        <w:rPr>
          <w:sz w:val="24"/>
        </w:rPr>
        <w:t>％＝</w:t>
      </w:r>
      <w:r w:rsidRPr="00681821">
        <w:rPr>
          <w:sz w:val="24"/>
        </w:rPr>
        <w:t>36,000.00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转出金额＝</w:t>
      </w:r>
      <w:r w:rsidRPr="00681821">
        <w:rPr>
          <w:sz w:val="24"/>
        </w:rPr>
        <w:t>6,000,000×1.200</w:t>
      </w:r>
      <w:r w:rsidRPr="00681821">
        <w:rPr>
          <w:rFonts w:hint="eastAsia"/>
          <w:sz w:val="24"/>
        </w:rPr>
        <w:t>0</w:t>
      </w:r>
      <w:r w:rsidRPr="00681821">
        <w:rPr>
          <w:sz w:val="24"/>
        </w:rPr>
        <w:t>－</w:t>
      </w:r>
      <w:r w:rsidRPr="00681821">
        <w:rPr>
          <w:sz w:val="24"/>
        </w:rPr>
        <w:t>36,000.00</w:t>
      </w:r>
      <w:r w:rsidRPr="00681821">
        <w:rPr>
          <w:sz w:val="24"/>
        </w:rPr>
        <w:t>＝</w:t>
      </w:r>
      <w:r w:rsidRPr="00681821">
        <w:rPr>
          <w:sz w:val="24"/>
        </w:rPr>
        <w:t>7,164,000.00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转入基金的申购费</w:t>
      </w:r>
      <w:r w:rsidRPr="00681821">
        <w:rPr>
          <w:sz w:val="24"/>
        </w:rPr>
        <w:t xml:space="preserve"> = </w:t>
      </w:r>
      <w:r w:rsidRPr="00681821">
        <w:rPr>
          <w:sz w:val="24"/>
        </w:rPr>
        <w:t>转出基金的申购费</w:t>
      </w:r>
    </w:p>
    <w:p w:rsidR="00681821" w:rsidRPr="00681821" w:rsidRDefault="00681821" w:rsidP="00681821">
      <w:pPr>
        <w:spacing w:line="360" w:lineRule="auto"/>
        <w:ind w:firstLineChars="200" w:firstLine="480"/>
        <w:rPr>
          <w:sz w:val="24"/>
        </w:rPr>
      </w:pPr>
      <w:r w:rsidRPr="00681821">
        <w:rPr>
          <w:sz w:val="24"/>
        </w:rPr>
        <w:t>转入基金的申购费＝</w:t>
      </w:r>
      <w:r w:rsidRPr="00681821">
        <w:rPr>
          <w:sz w:val="24"/>
        </w:rPr>
        <w:t>1,000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转出基金的申购费＝</w:t>
      </w:r>
      <w:r w:rsidRPr="00681821">
        <w:rPr>
          <w:sz w:val="24"/>
        </w:rPr>
        <w:t>1,000</w:t>
      </w:r>
      <w:r w:rsidRPr="00681821">
        <w:rPr>
          <w:sz w:val="24"/>
        </w:rPr>
        <w:t>元</w:t>
      </w:r>
    </w:p>
    <w:p w:rsidR="00681821" w:rsidRPr="00681821" w:rsidRDefault="00681821" w:rsidP="00681821">
      <w:pPr>
        <w:spacing w:line="360" w:lineRule="auto"/>
        <w:ind w:firstLineChars="200" w:firstLine="480"/>
        <w:rPr>
          <w:sz w:val="24"/>
        </w:rPr>
      </w:pPr>
      <w:r w:rsidRPr="00681821">
        <w:rPr>
          <w:sz w:val="24"/>
        </w:rPr>
        <w:t>基金转换申购补差费＝</w:t>
      </w:r>
      <w:r w:rsidRPr="00681821">
        <w:rPr>
          <w:sz w:val="24"/>
        </w:rPr>
        <w:t>1,000-1,000</w:t>
      </w:r>
      <w:r w:rsidRPr="00681821">
        <w:rPr>
          <w:sz w:val="24"/>
        </w:rPr>
        <w:t>＝</w:t>
      </w:r>
      <w:r w:rsidRPr="00681821">
        <w:rPr>
          <w:sz w:val="24"/>
        </w:rPr>
        <w:t>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转入金额＝</w:t>
      </w:r>
      <w:r w:rsidRPr="00681821">
        <w:rPr>
          <w:sz w:val="24"/>
        </w:rPr>
        <w:t>7,164,000.00-0</w:t>
      </w:r>
      <w:r w:rsidRPr="00681821">
        <w:rPr>
          <w:sz w:val="24"/>
        </w:rPr>
        <w:t>＝</w:t>
      </w:r>
      <w:r w:rsidRPr="00681821">
        <w:rPr>
          <w:sz w:val="24"/>
        </w:rPr>
        <w:t>7,164,000.00</w:t>
      </w:r>
      <w:r w:rsidRPr="00681821">
        <w:rPr>
          <w:sz w:val="24"/>
        </w:rPr>
        <w:t>元</w:t>
      </w:r>
    </w:p>
    <w:p w:rsidR="00681821" w:rsidRPr="00681821" w:rsidRDefault="00681821" w:rsidP="00681821">
      <w:pPr>
        <w:spacing w:line="360" w:lineRule="auto"/>
        <w:ind w:firstLineChars="200" w:firstLine="480"/>
        <w:rPr>
          <w:sz w:val="24"/>
        </w:rPr>
      </w:pPr>
      <w:r w:rsidRPr="00681821">
        <w:rPr>
          <w:sz w:val="24"/>
        </w:rPr>
        <w:t>转入份额＝</w:t>
      </w:r>
      <w:r w:rsidRPr="00681821">
        <w:rPr>
          <w:sz w:val="24"/>
        </w:rPr>
        <w:t>7,164,000.00÷1.350</w:t>
      </w:r>
      <w:r w:rsidRPr="00681821">
        <w:rPr>
          <w:rFonts w:hint="eastAsia"/>
          <w:sz w:val="24"/>
        </w:rPr>
        <w:t>0</w:t>
      </w:r>
      <w:r w:rsidRPr="00681821">
        <w:rPr>
          <w:sz w:val="24"/>
        </w:rPr>
        <w:t>＝</w:t>
      </w:r>
      <w:r w:rsidRPr="00681821">
        <w:rPr>
          <w:sz w:val="24"/>
        </w:rPr>
        <w:t>5,306,666.67</w:t>
      </w:r>
      <w:r w:rsidRPr="00681821">
        <w:rPr>
          <w:sz w:val="24"/>
        </w:rPr>
        <w:t>份</w:t>
      </w:r>
    </w:p>
    <w:p w:rsidR="00681821" w:rsidRPr="00681821" w:rsidRDefault="00681821" w:rsidP="00681821">
      <w:pPr>
        <w:spacing w:line="360" w:lineRule="auto"/>
        <w:ind w:firstLineChars="196" w:firstLine="472"/>
        <w:rPr>
          <w:b/>
          <w:bCs/>
          <w:color w:val="000000"/>
          <w:sz w:val="24"/>
        </w:rPr>
      </w:pPr>
      <w:r w:rsidRPr="00681821">
        <w:rPr>
          <w:b/>
          <w:bCs/>
          <w:color w:val="000000"/>
          <w:sz w:val="24"/>
        </w:rPr>
        <w:t xml:space="preserve">5.2 </w:t>
      </w:r>
      <w:r w:rsidRPr="00681821">
        <w:rPr>
          <w:b/>
          <w:bCs/>
          <w:color w:val="000000"/>
          <w:sz w:val="24"/>
        </w:rPr>
        <w:t>其他与转换相关的事项</w:t>
      </w:r>
    </w:p>
    <w:p w:rsidR="00681821" w:rsidRPr="00681821" w:rsidRDefault="0096149B" w:rsidP="00681821">
      <w:pPr>
        <w:spacing w:line="360" w:lineRule="auto"/>
        <w:ind w:firstLineChars="200" w:firstLine="480"/>
        <w:rPr>
          <w:sz w:val="24"/>
        </w:rPr>
      </w:pPr>
      <w:r>
        <w:rPr>
          <w:rFonts w:hint="eastAsia"/>
          <w:sz w:val="24"/>
        </w:rPr>
        <w:t>（</w:t>
      </w:r>
      <w:r>
        <w:rPr>
          <w:rFonts w:hint="eastAsia"/>
          <w:sz w:val="24"/>
        </w:rPr>
        <w:t>1</w:t>
      </w:r>
      <w:r>
        <w:rPr>
          <w:rFonts w:hint="eastAsia"/>
          <w:sz w:val="24"/>
        </w:rPr>
        <w:t>）</w:t>
      </w:r>
      <w:r w:rsidR="00681821" w:rsidRPr="00681821">
        <w:rPr>
          <w:sz w:val="24"/>
        </w:rPr>
        <w:t>基金转换的业务规则：</w:t>
      </w:r>
    </w:p>
    <w:p w:rsidR="00681821" w:rsidRPr="00681821" w:rsidRDefault="00681821" w:rsidP="00681821">
      <w:pPr>
        <w:spacing w:line="360" w:lineRule="auto"/>
        <w:ind w:firstLineChars="200" w:firstLine="480"/>
        <w:rPr>
          <w:sz w:val="24"/>
        </w:rPr>
      </w:pPr>
      <w:r w:rsidRPr="00681821">
        <w:rPr>
          <w:sz w:val="24"/>
        </w:rPr>
        <w:t>1</w:t>
      </w:r>
      <w:r w:rsidRPr="00681821">
        <w:rPr>
          <w:sz w:val="24"/>
        </w:rPr>
        <w:t>）基金转换业务是指投资者向本公司提出申请将其所持有的本公司管理的开放式基金（转出基金）的全部或部分基金份额转换为本公司管理的其他开放式基金（转入基金）的基金份额的行为。</w:t>
      </w:r>
    </w:p>
    <w:p w:rsidR="00681821" w:rsidRPr="00681821" w:rsidRDefault="00681821" w:rsidP="00681821">
      <w:pPr>
        <w:spacing w:line="360" w:lineRule="auto"/>
        <w:ind w:firstLineChars="200" w:firstLine="480"/>
        <w:rPr>
          <w:sz w:val="24"/>
        </w:rPr>
      </w:pPr>
      <w:r w:rsidRPr="00681821">
        <w:rPr>
          <w:sz w:val="24"/>
        </w:rPr>
        <w:t>2</w:t>
      </w:r>
      <w:r w:rsidRPr="00681821">
        <w:rPr>
          <w:sz w:val="24"/>
        </w:rPr>
        <w:t>）转换的两只基金必须都是同一销售机构销售、同一基金管理人管理、并在同一注册登记机构处注册登记的基金。</w:t>
      </w:r>
    </w:p>
    <w:p w:rsidR="00681821" w:rsidRPr="00681821" w:rsidRDefault="00681821" w:rsidP="00681821">
      <w:pPr>
        <w:spacing w:line="360" w:lineRule="auto"/>
        <w:ind w:firstLineChars="200" w:firstLine="480"/>
        <w:rPr>
          <w:sz w:val="24"/>
        </w:rPr>
      </w:pPr>
      <w:r w:rsidRPr="00681821">
        <w:rPr>
          <w:sz w:val="24"/>
        </w:rPr>
        <w:t>3</w:t>
      </w:r>
      <w:r w:rsidRPr="00681821">
        <w:rPr>
          <w:sz w:val="24"/>
        </w:rPr>
        <w:t>）投资者可在基金开放日申请办理基金转换业务，具体办理时间与基金申购、赎回业务办理时间相同。本公司公告暂停申购、赎回或转换时除外。</w:t>
      </w:r>
    </w:p>
    <w:p w:rsidR="00681821" w:rsidRPr="00681821" w:rsidRDefault="00681821" w:rsidP="00681821">
      <w:pPr>
        <w:spacing w:line="360" w:lineRule="auto"/>
        <w:ind w:firstLineChars="200" w:firstLine="480"/>
        <w:rPr>
          <w:sz w:val="24"/>
        </w:rPr>
      </w:pPr>
      <w:r w:rsidRPr="00681821">
        <w:rPr>
          <w:sz w:val="24"/>
        </w:rPr>
        <w:t>4</w:t>
      </w:r>
      <w:r w:rsidRPr="00681821">
        <w:rPr>
          <w:sz w:val="24"/>
        </w:rPr>
        <w:t>）交易限额参见相关基金招募说明书和相关公告中对申购和赎回限额的规定。</w:t>
      </w:r>
    </w:p>
    <w:p w:rsidR="00681821" w:rsidRPr="00681821" w:rsidRDefault="00681821" w:rsidP="00681821">
      <w:pPr>
        <w:spacing w:line="360" w:lineRule="auto"/>
        <w:ind w:firstLineChars="200" w:firstLine="480"/>
        <w:rPr>
          <w:sz w:val="24"/>
        </w:rPr>
      </w:pPr>
      <w:r w:rsidRPr="00681821">
        <w:rPr>
          <w:sz w:val="24"/>
        </w:rPr>
        <w:t>5</w:t>
      </w:r>
      <w:r w:rsidRPr="00681821">
        <w:rPr>
          <w:sz w:val="24"/>
        </w:rPr>
        <w:t>）投资者提出的基金转换申请，在当日交易时间结束之前可以撤销，交易时间结束后不得撤销。</w:t>
      </w:r>
    </w:p>
    <w:p w:rsidR="00681821" w:rsidRPr="00681821" w:rsidRDefault="00681821" w:rsidP="00681821">
      <w:pPr>
        <w:spacing w:line="360" w:lineRule="auto"/>
        <w:ind w:firstLineChars="200" w:firstLine="480"/>
        <w:rPr>
          <w:sz w:val="24"/>
        </w:rPr>
      </w:pPr>
      <w:r w:rsidRPr="00681821">
        <w:rPr>
          <w:sz w:val="24"/>
        </w:rPr>
        <w:t>6</w:t>
      </w:r>
      <w:r w:rsidRPr="00681821">
        <w:rPr>
          <w:sz w:val="24"/>
        </w:rPr>
        <w:t>）其他未尽规则详见《华安基金管理有限公司开放式证券投资基金业务规则》。</w:t>
      </w:r>
    </w:p>
    <w:p w:rsidR="00681821" w:rsidRPr="00681821" w:rsidRDefault="0096149B" w:rsidP="00681821">
      <w:pPr>
        <w:spacing w:line="360" w:lineRule="auto"/>
        <w:ind w:firstLineChars="200" w:firstLine="480"/>
        <w:rPr>
          <w:sz w:val="24"/>
        </w:rPr>
      </w:pPr>
      <w:r>
        <w:rPr>
          <w:rFonts w:hint="eastAsia"/>
          <w:sz w:val="24"/>
        </w:rPr>
        <w:t>（</w:t>
      </w:r>
      <w:r>
        <w:rPr>
          <w:rFonts w:hint="eastAsia"/>
          <w:sz w:val="24"/>
        </w:rPr>
        <w:t>2</w:t>
      </w:r>
      <w:r>
        <w:rPr>
          <w:rFonts w:hint="eastAsia"/>
          <w:sz w:val="24"/>
        </w:rPr>
        <w:t>）</w:t>
      </w:r>
      <w:r w:rsidR="00681821" w:rsidRPr="00681821">
        <w:rPr>
          <w:sz w:val="24"/>
        </w:rPr>
        <w:t>适用销售机构：投资者可通过华安基金管理有限公司直销柜台、网上直销交易系统以及其他开通转换业务的销售机构办理基金转换业务。若增加新的业务办理机构，本公司将及时</w:t>
      </w:r>
      <w:r w:rsidR="00293DA0" w:rsidRPr="00293DA0">
        <w:rPr>
          <w:rFonts w:hint="eastAsia"/>
          <w:sz w:val="24"/>
        </w:rPr>
        <w:t>在官网公示</w:t>
      </w:r>
      <w:r w:rsidR="00681821" w:rsidRPr="00681821">
        <w:rPr>
          <w:sz w:val="24"/>
        </w:rPr>
        <w:t>，敬请投资者留意。</w:t>
      </w:r>
    </w:p>
    <w:p w:rsidR="00681821" w:rsidRPr="00681821" w:rsidRDefault="0096149B" w:rsidP="00681821">
      <w:pPr>
        <w:spacing w:line="360" w:lineRule="auto"/>
        <w:ind w:firstLineChars="200" w:firstLine="480"/>
        <w:rPr>
          <w:sz w:val="24"/>
        </w:rPr>
      </w:pPr>
      <w:r>
        <w:rPr>
          <w:rFonts w:hint="eastAsia"/>
          <w:sz w:val="24"/>
        </w:rPr>
        <w:t>（</w:t>
      </w:r>
      <w:r>
        <w:rPr>
          <w:rFonts w:hint="eastAsia"/>
          <w:sz w:val="24"/>
        </w:rPr>
        <w:t>3</w:t>
      </w:r>
      <w:r>
        <w:rPr>
          <w:rFonts w:hint="eastAsia"/>
          <w:sz w:val="24"/>
        </w:rPr>
        <w:t>）</w:t>
      </w:r>
      <w:r w:rsidR="00681821" w:rsidRPr="00681821">
        <w:rPr>
          <w:sz w:val="24"/>
        </w:rPr>
        <w:t>本公司有权根据市场情况或法律法规变化调整上述转换的程序及有关限制。</w:t>
      </w:r>
    </w:p>
    <w:p w:rsidR="00681821" w:rsidRPr="00681821" w:rsidRDefault="00681821" w:rsidP="00681821">
      <w:pPr>
        <w:spacing w:line="360" w:lineRule="auto"/>
        <w:ind w:firstLineChars="200" w:firstLine="480"/>
        <w:rPr>
          <w:sz w:val="24"/>
        </w:rPr>
      </w:pPr>
      <w:r w:rsidRPr="00681821">
        <w:rPr>
          <w:sz w:val="24"/>
        </w:rPr>
        <w:t>本基金转换业务的解释权归本公司。</w:t>
      </w:r>
    </w:p>
    <w:p w:rsidR="00681821" w:rsidRPr="00681821" w:rsidRDefault="00681821" w:rsidP="00681821">
      <w:pPr>
        <w:spacing w:line="360" w:lineRule="auto"/>
        <w:ind w:firstLineChars="200" w:firstLine="480"/>
        <w:rPr>
          <w:sz w:val="24"/>
        </w:rPr>
      </w:pPr>
    </w:p>
    <w:p w:rsidR="00B124D7" w:rsidRPr="00B124D7" w:rsidRDefault="0096149B" w:rsidP="00B124D7">
      <w:pPr>
        <w:spacing w:line="360" w:lineRule="auto"/>
        <w:ind w:firstLineChars="196" w:firstLine="472"/>
        <w:outlineLvl w:val="2"/>
        <w:rPr>
          <w:rFonts w:ascii="宋体" w:hAnsi="宋体"/>
          <w:b/>
          <w:sz w:val="24"/>
        </w:rPr>
      </w:pPr>
      <w:r>
        <w:rPr>
          <w:rFonts w:ascii="宋体" w:hAnsi="宋体" w:hint="eastAsia"/>
          <w:b/>
          <w:sz w:val="24"/>
        </w:rPr>
        <w:t>6.</w:t>
      </w:r>
      <w:r w:rsidR="00B124D7" w:rsidRPr="00B124D7">
        <w:rPr>
          <w:rFonts w:ascii="宋体" w:hAnsi="宋体" w:hint="eastAsia"/>
          <w:b/>
          <w:sz w:val="24"/>
        </w:rPr>
        <w:t>定期定额投资业务</w:t>
      </w:r>
    </w:p>
    <w:p w:rsidR="00B124D7" w:rsidRPr="00B124D7" w:rsidRDefault="00B124D7" w:rsidP="00B124D7">
      <w:pPr>
        <w:spacing w:line="360" w:lineRule="auto"/>
        <w:ind w:firstLineChars="200" w:firstLine="480"/>
        <w:rPr>
          <w:rFonts w:ascii="宋体" w:hAnsi="宋体"/>
          <w:sz w:val="24"/>
        </w:rPr>
      </w:pPr>
      <w:r w:rsidRPr="00B124D7">
        <w:rPr>
          <w:rFonts w:ascii="宋体" w:hAnsi="宋体" w:hint="eastAsia"/>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B124D7" w:rsidRPr="00B124D7" w:rsidRDefault="00B124D7" w:rsidP="00B124D7">
      <w:pPr>
        <w:spacing w:line="360" w:lineRule="auto"/>
        <w:ind w:firstLineChars="200" w:firstLine="480"/>
        <w:rPr>
          <w:rFonts w:ascii="宋体" w:hAnsi="宋体"/>
          <w:sz w:val="24"/>
        </w:rPr>
      </w:pPr>
    </w:p>
    <w:p w:rsidR="00B124D7" w:rsidRPr="00B124D7" w:rsidRDefault="00B124D7" w:rsidP="00B124D7">
      <w:pPr>
        <w:spacing w:line="360" w:lineRule="auto"/>
        <w:ind w:firstLineChars="196" w:firstLine="472"/>
        <w:outlineLvl w:val="2"/>
        <w:rPr>
          <w:rFonts w:ascii="宋体" w:hAnsi="宋体"/>
          <w:b/>
          <w:sz w:val="24"/>
        </w:rPr>
      </w:pPr>
      <w:r w:rsidRPr="00B124D7">
        <w:rPr>
          <w:rFonts w:ascii="宋体" w:hAnsi="宋体" w:hint="eastAsia"/>
          <w:b/>
          <w:sz w:val="24"/>
        </w:rPr>
        <w:t xml:space="preserve">7. </w:t>
      </w:r>
      <w:r w:rsidRPr="00B124D7">
        <w:rPr>
          <w:rFonts w:ascii="宋体" w:hAnsi="宋体"/>
          <w:b/>
          <w:sz w:val="24"/>
        </w:rPr>
        <w:t>基金销售机构</w:t>
      </w:r>
    </w:p>
    <w:p w:rsidR="00B124D7" w:rsidRPr="00B124D7" w:rsidRDefault="00B124D7" w:rsidP="00B124D7">
      <w:pPr>
        <w:spacing w:line="360" w:lineRule="auto"/>
        <w:ind w:leftChars="228" w:left="520" w:hangingChars="17" w:hanging="41"/>
        <w:rPr>
          <w:rFonts w:ascii="宋体" w:hAnsi="宋体"/>
          <w:b/>
          <w:bCs/>
          <w:sz w:val="24"/>
        </w:rPr>
      </w:pPr>
      <w:r w:rsidRPr="00B124D7">
        <w:rPr>
          <w:rFonts w:ascii="宋体" w:hAnsi="宋体" w:hint="eastAsia"/>
          <w:b/>
          <w:bCs/>
          <w:sz w:val="24"/>
        </w:rPr>
        <w:t>7</w:t>
      </w:r>
      <w:r w:rsidRPr="00B124D7">
        <w:rPr>
          <w:rFonts w:ascii="宋体" w:hAnsi="宋体"/>
          <w:b/>
          <w:bCs/>
          <w:sz w:val="24"/>
        </w:rPr>
        <w:t>.1 直销机构</w:t>
      </w:r>
    </w:p>
    <w:p w:rsidR="00B124D7" w:rsidRPr="00B124D7" w:rsidRDefault="00B124D7" w:rsidP="00B124D7">
      <w:pPr>
        <w:adjustRightInd w:val="0"/>
        <w:snapToGrid w:val="0"/>
        <w:spacing w:line="360" w:lineRule="auto"/>
        <w:ind w:firstLineChars="200" w:firstLine="480"/>
        <w:rPr>
          <w:sz w:val="24"/>
        </w:rPr>
      </w:pPr>
      <w:r w:rsidRPr="00B124D7">
        <w:rPr>
          <w:rFonts w:hint="eastAsia"/>
          <w:sz w:val="24"/>
        </w:rPr>
        <w:t>（</w:t>
      </w:r>
      <w:r w:rsidRPr="00B124D7">
        <w:rPr>
          <w:rFonts w:hint="eastAsia"/>
          <w:sz w:val="24"/>
        </w:rPr>
        <w:t>1</w:t>
      </w:r>
      <w:r w:rsidRPr="00B124D7">
        <w:rPr>
          <w:rFonts w:hint="eastAsia"/>
          <w:sz w:val="24"/>
        </w:rPr>
        <w:t>）华安基金管理有限公司</w:t>
      </w:r>
    </w:p>
    <w:p w:rsidR="00B124D7" w:rsidRPr="00B124D7" w:rsidRDefault="00B124D7" w:rsidP="00B124D7">
      <w:pPr>
        <w:adjustRightInd w:val="0"/>
        <w:snapToGrid w:val="0"/>
        <w:spacing w:line="360" w:lineRule="auto"/>
        <w:ind w:firstLineChars="200" w:firstLine="480"/>
        <w:rPr>
          <w:sz w:val="24"/>
        </w:rPr>
      </w:pPr>
      <w:r w:rsidRPr="00B124D7">
        <w:rPr>
          <w:rFonts w:hint="eastAsia"/>
          <w:sz w:val="24"/>
        </w:rPr>
        <w:t>住所：</w:t>
      </w:r>
      <w:r w:rsidR="00E971F9" w:rsidRPr="00E971F9">
        <w:rPr>
          <w:rFonts w:hint="eastAsia"/>
          <w:sz w:val="24"/>
        </w:rPr>
        <w:t>中国（上海）自由贸易试验区临港新片区环湖西二路</w:t>
      </w:r>
      <w:r w:rsidR="00E971F9" w:rsidRPr="00E971F9">
        <w:rPr>
          <w:rFonts w:hint="eastAsia"/>
          <w:sz w:val="24"/>
        </w:rPr>
        <w:t>888</w:t>
      </w:r>
      <w:r w:rsidR="00E971F9" w:rsidRPr="00E971F9">
        <w:rPr>
          <w:rFonts w:hint="eastAsia"/>
          <w:sz w:val="24"/>
        </w:rPr>
        <w:t>号</w:t>
      </w:r>
      <w:r w:rsidR="00E971F9" w:rsidRPr="00E971F9">
        <w:rPr>
          <w:rFonts w:hint="eastAsia"/>
          <w:sz w:val="24"/>
        </w:rPr>
        <w:t>B</w:t>
      </w:r>
      <w:r w:rsidR="00E971F9" w:rsidRPr="00E971F9">
        <w:rPr>
          <w:rFonts w:hint="eastAsia"/>
          <w:sz w:val="24"/>
        </w:rPr>
        <w:t>楼</w:t>
      </w:r>
      <w:r w:rsidR="00E971F9" w:rsidRPr="00E971F9">
        <w:rPr>
          <w:rFonts w:hint="eastAsia"/>
          <w:sz w:val="24"/>
        </w:rPr>
        <w:t>2118</w:t>
      </w:r>
      <w:r w:rsidR="00E971F9" w:rsidRPr="00E971F9">
        <w:rPr>
          <w:rFonts w:hint="eastAsia"/>
          <w:sz w:val="24"/>
        </w:rPr>
        <w:t>室</w:t>
      </w:r>
    </w:p>
    <w:p w:rsidR="00B124D7" w:rsidRPr="00B124D7" w:rsidRDefault="00B124D7" w:rsidP="00B124D7">
      <w:pPr>
        <w:adjustRightInd w:val="0"/>
        <w:snapToGrid w:val="0"/>
        <w:spacing w:line="360" w:lineRule="auto"/>
        <w:ind w:firstLineChars="200" w:firstLine="480"/>
        <w:rPr>
          <w:sz w:val="24"/>
        </w:rPr>
      </w:pPr>
      <w:r w:rsidRPr="00B124D7">
        <w:rPr>
          <w:rFonts w:hint="eastAsia"/>
          <w:sz w:val="24"/>
        </w:rPr>
        <w:t>办公地址：中国（上海）自由贸易试验区世纪大道</w:t>
      </w:r>
      <w:r w:rsidRPr="00B124D7">
        <w:rPr>
          <w:rFonts w:hint="eastAsia"/>
          <w:sz w:val="24"/>
        </w:rPr>
        <w:t>8</w:t>
      </w:r>
      <w:r w:rsidRPr="00B124D7">
        <w:rPr>
          <w:rFonts w:hint="eastAsia"/>
          <w:sz w:val="24"/>
        </w:rPr>
        <w:t>号国金中心二期</w:t>
      </w:r>
      <w:r w:rsidRPr="00B124D7">
        <w:rPr>
          <w:rFonts w:hint="eastAsia"/>
          <w:sz w:val="24"/>
        </w:rPr>
        <w:t>31-32</w:t>
      </w:r>
      <w:r w:rsidRPr="00B124D7">
        <w:rPr>
          <w:rFonts w:hint="eastAsia"/>
          <w:sz w:val="24"/>
        </w:rPr>
        <w:t>层</w:t>
      </w:r>
    </w:p>
    <w:p w:rsidR="00B124D7" w:rsidRPr="00B124D7" w:rsidRDefault="00B124D7" w:rsidP="00B124D7">
      <w:pPr>
        <w:adjustRightInd w:val="0"/>
        <w:snapToGrid w:val="0"/>
        <w:spacing w:line="360" w:lineRule="auto"/>
        <w:ind w:firstLineChars="200" w:firstLine="480"/>
        <w:rPr>
          <w:sz w:val="24"/>
        </w:rPr>
      </w:pPr>
      <w:r w:rsidRPr="00B124D7">
        <w:rPr>
          <w:rFonts w:hint="eastAsia"/>
          <w:sz w:val="24"/>
        </w:rPr>
        <w:t>法定代表人：</w:t>
      </w:r>
      <w:r w:rsidR="006E6102">
        <w:rPr>
          <w:rFonts w:hint="eastAsia"/>
          <w:sz w:val="24"/>
        </w:rPr>
        <w:t>徐勇</w:t>
      </w:r>
    </w:p>
    <w:p w:rsidR="00B124D7" w:rsidRPr="00B124D7" w:rsidRDefault="00B124D7" w:rsidP="00B124D7">
      <w:pPr>
        <w:adjustRightInd w:val="0"/>
        <w:snapToGrid w:val="0"/>
        <w:spacing w:line="360" w:lineRule="auto"/>
        <w:ind w:firstLineChars="200" w:firstLine="480"/>
        <w:rPr>
          <w:sz w:val="24"/>
        </w:rPr>
      </w:pPr>
      <w:r w:rsidRPr="00B124D7">
        <w:rPr>
          <w:rFonts w:hint="eastAsia"/>
          <w:sz w:val="24"/>
        </w:rPr>
        <w:t>成立日期：</w:t>
      </w:r>
      <w:r w:rsidRPr="00B124D7">
        <w:rPr>
          <w:rFonts w:hint="eastAsia"/>
          <w:sz w:val="24"/>
        </w:rPr>
        <w:t>1998</w:t>
      </w:r>
      <w:r w:rsidRPr="00B124D7">
        <w:rPr>
          <w:rFonts w:hint="eastAsia"/>
          <w:sz w:val="24"/>
        </w:rPr>
        <w:t>年</w:t>
      </w:r>
      <w:r w:rsidRPr="00B124D7">
        <w:rPr>
          <w:rFonts w:hint="eastAsia"/>
          <w:sz w:val="24"/>
        </w:rPr>
        <w:t>6</w:t>
      </w:r>
      <w:r w:rsidRPr="00B124D7">
        <w:rPr>
          <w:rFonts w:hint="eastAsia"/>
          <w:sz w:val="24"/>
        </w:rPr>
        <w:t>月</w:t>
      </w:r>
      <w:r w:rsidRPr="00B124D7">
        <w:rPr>
          <w:rFonts w:hint="eastAsia"/>
          <w:sz w:val="24"/>
        </w:rPr>
        <w:t>4</w:t>
      </w:r>
      <w:r w:rsidRPr="00B124D7">
        <w:rPr>
          <w:rFonts w:hint="eastAsia"/>
          <w:sz w:val="24"/>
        </w:rPr>
        <w:t>日</w:t>
      </w:r>
    </w:p>
    <w:p w:rsidR="00B124D7" w:rsidRPr="00B124D7" w:rsidRDefault="00B124D7" w:rsidP="00B124D7">
      <w:pPr>
        <w:adjustRightInd w:val="0"/>
        <w:snapToGrid w:val="0"/>
        <w:spacing w:line="360" w:lineRule="auto"/>
        <w:ind w:firstLineChars="200" w:firstLine="480"/>
        <w:rPr>
          <w:sz w:val="24"/>
        </w:rPr>
      </w:pPr>
      <w:r w:rsidRPr="00B124D7">
        <w:rPr>
          <w:rFonts w:hint="eastAsia"/>
          <w:sz w:val="24"/>
        </w:rPr>
        <w:t>客户服务统一咨询电话：</w:t>
      </w:r>
      <w:r w:rsidRPr="00B124D7">
        <w:rPr>
          <w:rFonts w:hint="eastAsia"/>
          <w:sz w:val="24"/>
        </w:rPr>
        <w:t xml:space="preserve">40088-50099 </w:t>
      </w:r>
    </w:p>
    <w:p w:rsidR="00B124D7" w:rsidRPr="00B124D7" w:rsidRDefault="00B124D7" w:rsidP="00B124D7">
      <w:pPr>
        <w:adjustRightInd w:val="0"/>
        <w:snapToGrid w:val="0"/>
        <w:spacing w:line="360" w:lineRule="auto"/>
        <w:ind w:firstLineChars="200" w:firstLine="480"/>
        <w:rPr>
          <w:sz w:val="24"/>
        </w:rPr>
      </w:pPr>
      <w:r w:rsidRPr="00B124D7">
        <w:rPr>
          <w:rFonts w:hint="eastAsia"/>
          <w:sz w:val="24"/>
        </w:rPr>
        <w:t>公司网站：</w:t>
      </w:r>
      <w:r w:rsidRPr="00B124D7">
        <w:rPr>
          <w:rFonts w:hint="eastAsia"/>
          <w:sz w:val="24"/>
        </w:rPr>
        <w:t>www.huaan.com.cn</w:t>
      </w:r>
    </w:p>
    <w:p w:rsidR="00B124D7" w:rsidRPr="00B124D7" w:rsidRDefault="00B124D7" w:rsidP="00B124D7">
      <w:pPr>
        <w:adjustRightInd w:val="0"/>
        <w:snapToGrid w:val="0"/>
        <w:spacing w:line="360" w:lineRule="auto"/>
        <w:ind w:firstLineChars="200" w:firstLine="480"/>
        <w:rPr>
          <w:sz w:val="24"/>
        </w:rPr>
      </w:pPr>
      <w:r w:rsidRPr="00B124D7">
        <w:rPr>
          <w:rFonts w:hint="eastAsia"/>
          <w:sz w:val="24"/>
        </w:rPr>
        <w:t>（</w:t>
      </w:r>
      <w:r w:rsidRPr="00B124D7">
        <w:rPr>
          <w:rFonts w:hint="eastAsia"/>
          <w:sz w:val="24"/>
        </w:rPr>
        <w:t>2</w:t>
      </w:r>
      <w:r w:rsidRPr="00B124D7">
        <w:rPr>
          <w:rFonts w:hint="eastAsia"/>
          <w:sz w:val="24"/>
        </w:rPr>
        <w:t>）华安基金管理有限公司电子交易平台</w:t>
      </w:r>
    </w:p>
    <w:p w:rsidR="005C6DCA" w:rsidRPr="005C6DCA" w:rsidRDefault="005C6DCA" w:rsidP="005C6DCA">
      <w:pPr>
        <w:adjustRightInd w:val="0"/>
        <w:snapToGrid w:val="0"/>
        <w:spacing w:line="360" w:lineRule="auto"/>
        <w:ind w:firstLineChars="200" w:firstLine="480"/>
        <w:rPr>
          <w:sz w:val="24"/>
        </w:rPr>
      </w:pPr>
      <w:r w:rsidRPr="005C6DCA">
        <w:rPr>
          <w:rFonts w:hint="eastAsia"/>
          <w:sz w:val="24"/>
        </w:rPr>
        <w:t>华安电子交易网站：</w:t>
      </w:r>
      <w:r w:rsidRPr="005C6DCA">
        <w:rPr>
          <w:rFonts w:hint="eastAsia"/>
          <w:sz w:val="24"/>
        </w:rPr>
        <w:t>www.huaan.com.cn</w:t>
      </w:r>
      <w:r w:rsidRPr="005C6DCA">
        <w:rPr>
          <w:rFonts w:hint="eastAsia"/>
          <w:sz w:val="24"/>
        </w:rPr>
        <w:t>；</w:t>
      </w:r>
      <w:r w:rsidRPr="005C6DCA">
        <w:rPr>
          <w:rFonts w:hint="eastAsia"/>
          <w:sz w:val="24"/>
        </w:rPr>
        <w:t>m.huaan.com.cn</w:t>
      </w:r>
    </w:p>
    <w:p w:rsidR="00B124D7" w:rsidRPr="00B124D7" w:rsidRDefault="005C6DCA" w:rsidP="005C6DCA">
      <w:pPr>
        <w:adjustRightInd w:val="0"/>
        <w:snapToGrid w:val="0"/>
        <w:spacing w:line="360" w:lineRule="auto"/>
        <w:ind w:firstLineChars="200" w:firstLine="480"/>
        <w:rPr>
          <w:sz w:val="24"/>
        </w:rPr>
      </w:pPr>
      <w:r w:rsidRPr="005C6DCA">
        <w:rPr>
          <w:rFonts w:hint="eastAsia"/>
          <w:sz w:val="24"/>
        </w:rPr>
        <w:t>移动客户端：华安基金</w:t>
      </w:r>
      <w:r w:rsidRPr="005C6DCA">
        <w:rPr>
          <w:rFonts w:hint="eastAsia"/>
          <w:sz w:val="24"/>
        </w:rPr>
        <w:t>APP</w:t>
      </w:r>
    </w:p>
    <w:p w:rsidR="00B124D7" w:rsidRPr="00B124D7" w:rsidRDefault="00B124D7" w:rsidP="00B124D7">
      <w:pPr>
        <w:spacing w:line="360" w:lineRule="auto"/>
        <w:ind w:firstLineChars="196" w:firstLine="470"/>
        <w:rPr>
          <w:rFonts w:ascii="宋体" w:hAnsi="宋体" w:cs="Arial"/>
          <w:sz w:val="24"/>
        </w:rPr>
      </w:pPr>
    </w:p>
    <w:p w:rsidR="00B124D7" w:rsidRPr="00B124D7" w:rsidRDefault="00B124D7" w:rsidP="00B124D7">
      <w:pPr>
        <w:spacing w:line="360" w:lineRule="auto"/>
        <w:ind w:firstLineChars="196" w:firstLine="472"/>
        <w:rPr>
          <w:rFonts w:ascii="宋体" w:hAnsi="宋体"/>
          <w:b/>
          <w:bCs/>
          <w:sz w:val="24"/>
        </w:rPr>
      </w:pPr>
      <w:r w:rsidRPr="00B124D7">
        <w:rPr>
          <w:rFonts w:ascii="宋体" w:hAnsi="宋体" w:hint="eastAsia"/>
          <w:b/>
          <w:bCs/>
          <w:sz w:val="24"/>
        </w:rPr>
        <w:t>7</w:t>
      </w:r>
      <w:r w:rsidRPr="00B124D7">
        <w:rPr>
          <w:rFonts w:ascii="宋体" w:hAnsi="宋体"/>
          <w:b/>
          <w:bCs/>
          <w:sz w:val="24"/>
        </w:rPr>
        <w:t>.2 场外非直销机构</w:t>
      </w:r>
    </w:p>
    <w:p w:rsidR="00B124D7" w:rsidRPr="00B124D7" w:rsidRDefault="00B124D7" w:rsidP="00B124D7">
      <w:pPr>
        <w:spacing w:line="360" w:lineRule="auto"/>
        <w:ind w:firstLineChars="200" w:firstLine="480"/>
        <w:rPr>
          <w:sz w:val="24"/>
        </w:rPr>
      </w:pPr>
      <w:bookmarkStart w:id="2" w:name="_Hlt66183637"/>
      <w:bookmarkStart w:id="3" w:name="_Hlt139856224"/>
      <w:bookmarkStart w:id="4" w:name="_Hlt73419843"/>
      <w:bookmarkStart w:id="5" w:name="_Hlt66163251"/>
      <w:bookmarkStart w:id="6" w:name="_Hlt73420416"/>
      <w:bookmarkStart w:id="7" w:name="_Hlt66163277"/>
      <w:bookmarkStart w:id="8" w:name="_Hlt73348442"/>
      <w:bookmarkStart w:id="9" w:name="_Hlt73420560"/>
      <w:bookmarkStart w:id="10" w:name="_DV_M237"/>
      <w:bookmarkStart w:id="11" w:name="_Hlt70481650"/>
      <w:bookmarkStart w:id="12" w:name="_Hlt73354168"/>
      <w:bookmarkStart w:id="13" w:name="_Hlt81032199"/>
      <w:bookmarkStart w:id="14" w:name="_Hlt48727052"/>
      <w:bookmarkStart w:id="15" w:name="_Hlt73429199"/>
      <w:bookmarkStart w:id="16" w:name="_Hlt73429191"/>
      <w:bookmarkStart w:id="17" w:name="_Hlt88841837"/>
      <w:bookmarkStart w:id="18" w:name="_Hlt88900062"/>
      <w:bookmarkStart w:id="19" w:name="_Hlt88827255"/>
      <w:bookmarkStart w:id="20" w:name="_Hlt80426600"/>
      <w:bookmarkStart w:id="21" w:name="_Hlt80426776"/>
      <w:bookmarkStart w:id="22" w:name="_Hlt73348214"/>
      <w:bookmarkStart w:id="23" w:name="_Hlt21944130"/>
      <w:bookmarkStart w:id="24" w:name="_Hlt21943953"/>
      <w:bookmarkStart w:id="25" w:name="_Hlt73347926"/>
      <w:bookmarkStart w:id="26" w:name="_Hlt73348255"/>
      <w:bookmarkStart w:id="27" w:name="_Hlt73348294"/>
      <w:bookmarkStart w:id="28" w:name="_Hlt73348378"/>
      <w:bookmarkStart w:id="29" w:name="_Hlt73348157"/>
      <w:bookmarkStart w:id="30" w:name="_Hlt88825574"/>
      <w:bookmarkStart w:id="31" w:name="_Hlt8889729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B124D7">
        <w:rPr>
          <w:rFonts w:hint="eastAsia"/>
          <w:sz w:val="24"/>
        </w:rPr>
        <w:t>基金管理人可以根据情况增加或者减少销售机构，并在官网公示。销售机构可以根据情况增加或者减少其销售城市、网点，并另行公告。敬请投资者留意。</w:t>
      </w:r>
    </w:p>
    <w:p w:rsidR="00681821" w:rsidRPr="00681821" w:rsidRDefault="00681821" w:rsidP="00681821">
      <w:pPr>
        <w:spacing w:line="360" w:lineRule="auto"/>
        <w:ind w:firstLineChars="196" w:firstLine="472"/>
        <w:rPr>
          <w:b/>
          <w:sz w:val="24"/>
        </w:rPr>
      </w:pPr>
    </w:p>
    <w:p w:rsidR="00681821" w:rsidRPr="00681821" w:rsidRDefault="00B24676" w:rsidP="00681821">
      <w:pPr>
        <w:spacing w:line="360" w:lineRule="auto"/>
        <w:ind w:firstLineChars="196" w:firstLine="472"/>
        <w:rPr>
          <w:b/>
          <w:color w:val="000000"/>
          <w:sz w:val="24"/>
        </w:rPr>
      </w:pPr>
      <w:r>
        <w:rPr>
          <w:b/>
          <w:sz w:val="24"/>
        </w:rPr>
        <w:t>8</w:t>
      </w:r>
      <w:r w:rsidR="00681821" w:rsidRPr="00681821">
        <w:rPr>
          <w:b/>
          <w:bCs/>
          <w:sz w:val="24"/>
        </w:rPr>
        <w:t>.</w:t>
      </w:r>
      <w:r w:rsidR="00681821" w:rsidRPr="00681821">
        <w:rPr>
          <w:b/>
          <w:color w:val="000000"/>
          <w:sz w:val="24"/>
        </w:rPr>
        <w:t>基金份额净值公告</w:t>
      </w:r>
      <w:r w:rsidR="00681821" w:rsidRPr="00681821">
        <w:rPr>
          <w:b/>
          <w:color w:val="000000"/>
          <w:sz w:val="24"/>
        </w:rPr>
        <w:t>/</w:t>
      </w:r>
      <w:r w:rsidR="00681821" w:rsidRPr="00681821">
        <w:rPr>
          <w:b/>
          <w:color w:val="000000"/>
          <w:sz w:val="24"/>
        </w:rPr>
        <w:t>基金收益公告的披露安排</w:t>
      </w:r>
    </w:p>
    <w:p w:rsidR="00681821" w:rsidRPr="00681821" w:rsidRDefault="00681821" w:rsidP="0073402D">
      <w:pPr>
        <w:spacing w:line="360" w:lineRule="auto"/>
        <w:ind w:firstLineChars="200" w:firstLine="480"/>
        <w:rPr>
          <w:sz w:val="24"/>
        </w:rPr>
      </w:pPr>
      <w:r w:rsidRPr="00681821">
        <w:rPr>
          <w:sz w:val="24"/>
        </w:rPr>
        <w:t>自</w:t>
      </w:r>
      <w:r w:rsidR="003E2EE6" w:rsidRPr="00056262">
        <w:rPr>
          <w:rFonts w:hint="eastAsia"/>
          <w:sz w:val="24"/>
        </w:rPr>
        <w:t>2025</w:t>
      </w:r>
      <w:r w:rsidR="003E2EE6" w:rsidRPr="00056262">
        <w:rPr>
          <w:rFonts w:hint="eastAsia"/>
          <w:sz w:val="24"/>
        </w:rPr>
        <w:t>年</w:t>
      </w:r>
      <w:r w:rsidR="003E2EE6" w:rsidRPr="00056262">
        <w:rPr>
          <w:rFonts w:hint="eastAsia"/>
          <w:sz w:val="24"/>
        </w:rPr>
        <w:t>10</w:t>
      </w:r>
      <w:r w:rsidR="003E2EE6" w:rsidRPr="00056262">
        <w:rPr>
          <w:rFonts w:hint="eastAsia"/>
          <w:sz w:val="24"/>
        </w:rPr>
        <w:t>月</w:t>
      </w:r>
      <w:r w:rsidR="003E2EE6" w:rsidRPr="00056262">
        <w:rPr>
          <w:rFonts w:hint="eastAsia"/>
          <w:sz w:val="24"/>
        </w:rPr>
        <w:t>27</w:t>
      </w:r>
      <w:r w:rsidR="003E2EE6" w:rsidRPr="00056262">
        <w:rPr>
          <w:rFonts w:hint="eastAsia"/>
          <w:sz w:val="24"/>
        </w:rPr>
        <w:t>日</w:t>
      </w:r>
      <w:r w:rsidRPr="00681821">
        <w:rPr>
          <w:sz w:val="24"/>
        </w:rPr>
        <w:t>起，本</w:t>
      </w:r>
      <w:r w:rsidR="00B533FC" w:rsidRPr="00B533FC">
        <w:rPr>
          <w:rFonts w:hint="eastAsia"/>
          <w:sz w:val="24"/>
        </w:rPr>
        <w:t>基金管理人应当在不晚于每个开放日的次日，通过规定网站、基金销售机构网站或者营业网点披露开放日各类别的基金份额净值和基金份额累计净值。</w:t>
      </w:r>
      <w:r w:rsidRPr="00681821">
        <w:rPr>
          <w:sz w:val="24"/>
        </w:rPr>
        <w:t>敬请投资者留意。</w:t>
      </w:r>
    </w:p>
    <w:p w:rsidR="00681821" w:rsidRPr="00681821" w:rsidRDefault="00681821" w:rsidP="00681821">
      <w:pPr>
        <w:spacing w:line="360" w:lineRule="auto"/>
        <w:ind w:firstLineChars="218" w:firstLine="458"/>
      </w:pPr>
    </w:p>
    <w:p w:rsidR="00681821" w:rsidRPr="00681821" w:rsidRDefault="00B24676" w:rsidP="00681821">
      <w:pPr>
        <w:tabs>
          <w:tab w:val="left" w:pos="7440"/>
        </w:tabs>
        <w:spacing w:line="360" w:lineRule="auto"/>
        <w:ind w:firstLineChars="196" w:firstLine="472"/>
        <w:outlineLvl w:val="2"/>
        <w:rPr>
          <w:b/>
          <w:bCs/>
          <w:color w:val="000000"/>
          <w:sz w:val="24"/>
        </w:rPr>
      </w:pPr>
      <w:r>
        <w:rPr>
          <w:b/>
          <w:bCs/>
          <w:color w:val="000000"/>
          <w:sz w:val="24"/>
        </w:rPr>
        <w:t>9</w:t>
      </w:r>
      <w:r w:rsidR="00681821" w:rsidRPr="00681821">
        <w:rPr>
          <w:b/>
          <w:bCs/>
          <w:color w:val="000000"/>
          <w:sz w:val="24"/>
        </w:rPr>
        <w:t>.</w:t>
      </w:r>
      <w:r w:rsidR="00681821" w:rsidRPr="00681821">
        <w:rPr>
          <w:b/>
          <w:bCs/>
          <w:color w:val="000000"/>
          <w:sz w:val="24"/>
        </w:rPr>
        <w:t>其他需要提示的事项</w:t>
      </w:r>
      <w:r w:rsidR="00681821" w:rsidRPr="00681821">
        <w:rPr>
          <w:b/>
          <w:bCs/>
          <w:color w:val="000000"/>
          <w:sz w:val="24"/>
        </w:rPr>
        <w:tab/>
      </w:r>
    </w:p>
    <w:p w:rsidR="00B24676" w:rsidRPr="00B24676" w:rsidRDefault="00B24676" w:rsidP="00B24676">
      <w:pPr>
        <w:spacing w:line="360" w:lineRule="auto"/>
        <w:ind w:firstLineChars="200" w:firstLine="480"/>
        <w:rPr>
          <w:color w:val="000000"/>
          <w:sz w:val="24"/>
        </w:rPr>
      </w:pPr>
      <w:r w:rsidRPr="00B24676">
        <w:rPr>
          <w:rFonts w:hint="eastAsia"/>
          <w:color w:val="000000"/>
          <w:sz w:val="24"/>
        </w:rPr>
        <w:t>（</w:t>
      </w:r>
      <w:r w:rsidRPr="00B24676">
        <w:rPr>
          <w:rFonts w:hint="eastAsia"/>
          <w:color w:val="000000"/>
          <w:sz w:val="24"/>
        </w:rPr>
        <w:t>1</w:t>
      </w:r>
      <w:r w:rsidRPr="00B24676">
        <w:rPr>
          <w:rFonts w:hint="eastAsia"/>
          <w:color w:val="000000"/>
          <w:sz w:val="24"/>
        </w:rPr>
        <w:t>）本公告仅对本基金开放日常申购、赎回、转换和定期定额投资的有关事项予以说明。投资者欲了解本基金的详细情况，请仔细阅读《基金合同》《招募说明书》及基金产品资料概要等基金法律文件。</w:t>
      </w:r>
    </w:p>
    <w:p w:rsidR="00B24676" w:rsidRPr="00B24676" w:rsidRDefault="00B24676" w:rsidP="00B24676">
      <w:pPr>
        <w:spacing w:line="360" w:lineRule="auto"/>
        <w:ind w:firstLineChars="200" w:firstLine="480"/>
        <w:rPr>
          <w:color w:val="000000"/>
          <w:sz w:val="24"/>
        </w:rPr>
      </w:pPr>
      <w:r w:rsidRPr="00B24676">
        <w:rPr>
          <w:rFonts w:hint="eastAsia"/>
          <w:color w:val="000000"/>
          <w:sz w:val="24"/>
        </w:rPr>
        <w:t>（</w:t>
      </w:r>
      <w:r w:rsidRPr="00B24676">
        <w:rPr>
          <w:rFonts w:hint="eastAsia"/>
          <w:color w:val="000000"/>
          <w:sz w:val="24"/>
        </w:rPr>
        <w:t>2</w:t>
      </w:r>
      <w:r w:rsidRPr="00B24676">
        <w:rPr>
          <w:rFonts w:hint="eastAsia"/>
          <w:color w:val="000000"/>
          <w:sz w:val="24"/>
        </w:rPr>
        <w:t>）投资者可拨打本公司的客户服务电话（</w:t>
      </w:r>
      <w:r w:rsidRPr="00B24676">
        <w:rPr>
          <w:rFonts w:hint="eastAsia"/>
          <w:color w:val="000000"/>
          <w:sz w:val="24"/>
        </w:rPr>
        <w:t>40088-50099</w:t>
      </w:r>
      <w:r w:rsidRPr="00B24676">
        <w:rPr>
          <w:rFonts w:hint="eastAsia"/>
          <w:color w:val="000000"/>
          <w:sz w:val="24"/>
        </w:rPr>
        <w:t>）了解基金申购、赎回、转换和定期定额投资等事宜，亦可通过本公司网站（</w:t>
      </w:r>
      <w:r w:rsidRPr="00B24676">
        <w:rPr>
          <w:rFonts w:hint="eastAsia"/>
          <w:color w:val="000000"/>
          <w:sz w:val="24"/>
        </w:rPr>
        <w:t>www.huaan.com.cn</w:t>
      </w:r>
      <w:r w:rsidRPr="00B24676">
        <w:rPr>
          <w:rFonts w:hint="eastAsia"/>
          <w:color w:val="000000"/>
          <w:sz w:val="24"/>
        </w:rPr>
        <w:t>）下载开放式基金交易业务申请表和了解基金销售相关事宜。</w:t>
      </w:r>
    </w:p>
    <w:p w:rsidR="00B24676" w:rsidRPr="00B24676" w:rsidRDefault="00B24676" w:rsidP="00B24676">
      <w:pPr>
        <w:spacing w:line="360" w:lineRule="auto"/>
        <w:ind w:firstLineChars="200" w:firstLine="480"/>
        <w:rPr>
          <w:color w:val="000000"/>
          <w:sz w:val="24"/>
        </w:rPr>
      </w:pPr>
      <w:r w:rsidRPr="00B24676">
        <w:rPr>
          <w:rFonts w:hint="eastAsia"/>
          <w:color w:val="000000"/>
          <w:sz w:val="24"/>
        </w:rPr>
        <w:t>（</w:t>
      </w:r>
      <w:r w:rsidRPr="00B24676">
        <w:rPr>
          <w:rFonts w:hint="eastAsia"/>
          <w:color w:val="000000"/>
          <w:sz w:val="24"/>
        </w:rPr>
        <w:t>3</w:t>
      </w:r>
      <w:r w:rsidRPr="00B24676">
        <w:rPr>
          <w:rFonts w:hint="eastAsia"/>
          <w:color w:val="000000"/>
          <w:sz w:val="24"/>
        </w:rPr>
        <w:t>）投资者可通过本基金的直销机构或其他销售机构办理本基金的申购、赎回、转换和定期定额投资业务。</w:t>
      </w:r>
    </w:p>
    <w:p w:rsidR="00B24676" w:rsidRPr="00B24676" w:rsidRDefault="00B24676" w:rsidP="00B24676">
      <w:pPr>
        <w:spacing w:line="360" w:lineRule="auto"/>
        <w:ind w:firstLineChars="200" w:firstLine="480"/>
        <w:rPr>
          <w:color w:val="000000"/>
          <w:sz w:val="24"/>
        </w:rPr>
      </w:pPr>
      <w:r w:rsidRPr="00B24676">
        <w:rPr>
          <w:rFonts w:hint="eastAsia"/>
          <w:color w:val="000000"/>
          <w:sz w:val="24"/>
        </w:rPr>
        <w:t>（</w:t>
      </w:r>
      <w:r w:rsidRPr="00B24676">
        <w:rPr>
          <w:rFonts w:hint="eastAsia"/>
          <w:color w:val="000000"/>
          <w:sz w:val="24"/>
        </w:rPr>
        <w:t>4</w:t>
      </w:r>
      <w:r w:rsidRPr="00B24676">
        <w:rPr>
          <w:rFonts w:hint="eastAsia"/>
          <w:color w:val="000000"/>
          <w:sz w:val="24"/>
        </w:rPr>
        <w:t>）风险提示：基金管理人承诺以诚实信用、勤勉尽责的原则管理和运用基金资产，但不保证基金一定盈利，也不保证最低收益。投资者应当认真阅读《基金合同》《招募说明书》、基金产品资料概要等信息披露文件，了解基金的风险收益特征，并根据自身的投资目的、投资期限、投资经验、资产状况等判断基金是否和投资者的风险承受能力相适应，自主判断基金的投资价值，自主做出投资决策，自行承担投资风险。基金管理人提醒投资者基金投资的“买者自负”原则，在作出投资决策后，基金运营状况与基金净值变化引致的投资风险，由投资者自行负担。</w:t>
      </w:r>
    </w:p>
    <w:p w:rsidR="00B24676" w:rsidRPr="00B24676" w:rsidRDefault="00B24676" w:rsidP="00B24676">
      <w:pPr>
        <w:spacing w:line="360" w:lineRule="auto"/>
        <w:ind w:firstLineChars="200" w:firstLine="480"/>
        <w:rPr>
          <w:color w:val="000000"/>
          <w:sz w:val="24"/>
        </w:rPr>
      </w:pPr>
    </w:p>
    <w:p w:rsidR="00681821" w:rsidRPr="00681821" w:rsidRDefault="00B24676" w:rsidP="00B24676">
      <w:pPr>
        <w:spacing w:line="360" w:lineRule="auto"/>
        <w:ind w:firstLineChars="200" w:firstLine="480"/>
        <w:rPr>
          <w:color w:val="000000"/>
          <w:sz w:val="24"/>
        </w:rPr>
      </w:pPr>
      <w:r w:rsidRPr="00B24676">
        <w:rPr>
          <w:rFonts w:hint="eastAsia"/>
          <w:color w:val="000000"/>
          <w:sz w:val="24"/>
        </w:rPr>
        <w:t>特此公告。</w:t>
      </w:r>
    </w:p>
    <w:p w:rsidR="00681821" w:rsidRPr="00681821" w:rsidRDefault="00681821" w:rsidP="00681821">
      <w:pPr>
        <w:spacing w:line="360" w:lineRule="auto"/>
        <w:ind w:firstLineChars="200" w:firstLine="480"/>
        <w:rPr>
          <w:color w:val="000000"/>
          <w:sz w:val="24"/>
        </w:rPr>
      </w:pPr>
    </w:p>
    <w:p w:rsidR="00E179EF" w:rsidRPr="003E55B1" w:rsidRDefault="00E179EF" w:rsidP="00DC5ABB">
      <w:pPr>
        <w:spacing w:line="360" w:lineRule="auto"/>
        <w:ind w:firstLineChars="200" w:firstLine="480"/>
        <w:rPr>
          <w:rFonts w:ascii="宋体" w:hAnsi="宋体"/>
          <w:sz w:val="24"/>
        </w:rPr>
      </w:pPr>
    </w:p>
    <w:p w:rsidR="00AA64E4" w:rsidRPr="003E55B1" w:rsidRDefault="003E55B1" w:rsidP="00BE5432">
      <w:pPr>
        <w:spacing w:line="360" w:lineRule="auto"/>
        <w:ind w:leftChars="228" w:left="5879" w:hangingChars="2250" w:hanging="5400"/>
        <w:jc w:val="right"/>
        <w:rPr>
          <w:rFonts w:ascii="宋体" w:hAnsi="宋体"/>
          <w:sz w:val="24"/>
        </w:rPr>
      </w:pPr>
      <w:r>
        <w:rPr>
          <w:rFonts w:ascii="宋体" w:hAnsi="宋体"/>
          <w:sz w:val="24"/>
        </w:rPr>
        <w:t>华安基金</w:t>
      </w:r>
      <w:r w:rsidR="00EA5512" w:rsidRPr="003E55B1">
        <w:rPr>
          <w:rFonts w:ascii="宋体" w:hAnsi="宋体"/>
          <w:sz w:val="24"/>
        </w:rPr>
        <w:t>管理有限公司</w:t>
      </w:r>
    </w:p>
    <w:p w:rsidR="009A63B0" w:rsidRPr="003E55B1" w:rsidRDefault="00452408" w:rsidP="00BE5432">
      <w:pPr>
        <w:spacing w:line="360" w:lineRule="auto"/>
        <w:jc w:val="right"/>
        <w:rPr>
          <w:rFonts w:ascii="宋体" w:hAnsi="宋体"/>
          <w:sz w:val="24"/>
        </w:rPr>
      </w:pPr>
      <w:r w:rsidRPr="00452408">
        <w:rPr>
          <w:rFonts w:ascii="宋体" w:hAnsi="宋体" w:hint="eastAsia"/>
          <w:sz w:val="24"/>
        </w:rPr>
        <w:t>2025年10月22日</w:t>
      </w:r>
    </w:p>
    <w:sectPr w:rsidR="009A63B0" w:rsidRPr="003E55B1" w:rsidSect="005478B2">
      <w:footerReference w:type="default" r:id="rId8"/>
      <w:footerReference w:type="first" r:id="rId9"/>
      <w:pgSz w:w="11906" w:h="16838"/>
      <w:pgMar w:top="1440" w:right="1558" w:bottom="1440"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EFC" w:rsidRDefault="00FC3EFC">
      <w:r>
        <w:separator/>
      </w:r>
    </w:p>
  </w:endnote>
  <w:endnote w:type="continuationSeparator" w:id="0">
    <w:p w:rsidR="00FC3EFC" w:rsidRDefault="00FC3E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D4D" w:rsidRDefault="00AC1E16">
    <w:pPr>
      <w:pStyle w:val="a3"/>
      <w:jc w:val="center"/>
    </w:pPr>
    <w:r w:rsidRPr="00AC1E16">
      <w:fldChar w:fldCharType="begin"/>
    </w:r>
    <w:r w:rsidR="00791D4D">
      <w:instrText xml:space="preserve"> PAGE   \* MERGEFORMAT </w:instrText>
    </w:r>
    <w:r w:rsidRPr="00AC1E16">
      <w:fldChar w:fldCharType="separate"/>
    </w:r>
    <w:r w:rsidR="007A586E" w:rsidRPr="007A586E">
      <w:rPr>
        <w:noProof/>
        <w:lang w:val="zh-CN"/>
      </w:rPr>
      <w:t>1</w:t>
    </w:r>
    <w:r>
      <w:rPr>
        <w:noProof/>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D4D" w:rsidRDefault="00AC1E16">
    <w:pPr>
      <w:pStyle w:val="a3"/>
      <w:jc w:val="center"/>
    </w:pPr>
    <w:r w:rsidRPr="00AC1E16">
      <w:fldChar w:fldCharType="begin"/>
    </w:r>
    <w:r w:rsidR="00791D4D">
      <w:instrText xml:space="preserve"> PAGE   \* MERGEFORMAT </w:instrText>
    </w:r>
    <w:r w:rsidRPr="00AC1E16">
      <w:fldChar w:fldCharType="separate"/>
    </w:r>
    <w:r w:rsidR="00791D4D" w:rsidRPr="00405957">
      <w:rPr>
        <w:noProof/>
        <w:lang w:val="zh-CN"/>
      </w:rPr>
      <w:t>1</w:t>
    </w:r>
    <w:r>
      <w:rPr>
        <w:noProof/>
        <w:lang w:val="zh-CN"/>
      </w:rPr>
      <w:fldChar w:fldCharType="end"/>
    </w:r>
  </w:p>
  <w:p w:rsidR="00791D4D" w:rsidRDefault="00791D4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EFC" w:rsidRDefault="00FC3EFC">
      <w:r>
        <w:separator/>
      </w:r>
    </w:p>
  </w:footnote>
  <w:footnote w:type="continuationSeparator" w:id="0">
    <w:p w:rsidR="00FC3EFC" w:rsidRDefault="00FC3E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51C3CA1"/>
    <w:multiLevelType w:val="hybridMultilevel"/>
    <w:tmpl w:val="DBB07672"/>
    <w:lvl w:ilvl="0" w:tplc="0409000F">
      <w:start w:val="1"/>
      <w:numFmt w:val="decimal"/>
      <w:lvlText w:val="%1."/>
      <w:lvlJc w:val="left"/>
      <w:pPr>
        <w:ind w:left="840" w:hanging="420"/>
      </w:pPr>
      <w:rPr>
        <w:rFonts w:cs="Times New Roman"/>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2">
    <w:nsid w:val="29793D9F"/>
    <w:multiLevelType w:val="multilevel"/>
    <w:tmpl w:val="0409001D"/>
    <w:numStyleLink w:val="3"/>
  </w:abstractNum>
  <w:abstractNum w:abstractNumId="3">
    <w:nsid w:val="2D49161B"/>
    <w:multiLevelType w:val="hybridMultilevel"/>
    <w:tmpl w:val="DBB07672"/>
    <w:lvl w:ilvl="0" w:tplc="0409000F">
      <w:start w:val="1"/>
      <w:numFmt w:val="decimal"/>
      <w:lvlText w:val="%1."/>
      <w:lvlJc w:val="left"/>
      <w:pPr>
        <w:ind w:left="840" w:hanging="420"/>
      </w:pPr>
      <w:rPr>
        <w:rFonts w:cs="Times New Roman"/>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4">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7">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
    <w:nsid w:val="64832FB5"/>
    <w:multiLevelType w:val="hybridMultilevel"/>
    <w:tmpl w:val="79FE96BC"/>
    <w:lvl w:ilvl="0" w:tplc="8604CF80">
      <w:start w:val="1"/>
      <w:numFmt w:val="decimal"/>
      <w:lvlText w:val="%1）"/>
      <w:lvlJc w:val="left"/>
      <w:pPr>
        <w:tabs>
          <w:tab w:val="num" w:pos="360"/>
        </w:tabs>
        <w:ind w:left="360" w:hanging="360"/>
      </w:pPr>
      <w:rPr>
        <w:rFonts w:hint="default"/>
      </w:rPr>
    </w:lvl>
    <w:lvl w:ilvl="1" w:tplc="D91CBDB6" w:tentative="1">
      <w:start w:val="1"/>
      <w:numFmt w:val="lowerLetter"/>
      <w:lvlText w:val="%2)"/>
      <w:lvlJc w:val="left"/>
      <w:pPr>
        <w:tabs>
          <w:tab w:val="num" w:pos="840"/>
        </w:tabs>
        <w:ind w:left="840" w:hanging="420"/>
      </w:pPr>
    </w:lvl>
    <w:lvl w:ilvl="2" w:tplc="8EEA3338" w:tentative="1">
      <w:start w:val="1"/>
      <w:numFmt w:val="lowerRoman"/>
      <w:lvlText w:val="%3."/>
      <w:lvlJc w:val="right"/>
      <w:pPr>
        <w:tabs>
          <w:tab w:val="num" w:pos="1260"/>
        </w:tabs>
        <w:ind w:left="1260" w:hanging="420"/>
      </w:pPr>
    </w:lvl>
    <w:lvl w:ilvl="3" w:tplc="42D40D66" w:tentative="1">
      <w:start w:val="1"/>
      <w:numFmt w:val="decimal"/>
      <w:lvlText w:val="%4."/>
      <w:lvlJc w:val="left"/>
      <w:pPr>
        <w:tabs>
          <w:tab w:val="num" w:pos="1680"/>
        </w:tabs>
        <w:ind w:left="1680" w:hanging="420"/>
      </w:pPr>
    </w:lvl>
    <w:lvl w:ilvl="4" w:tplc="55F874E0" w:tentative="1">
      <w:start w:val="1"/>
      <w:numFmt w:val="lowerLetter"/>
      <w:lvlText w:val="%5)"/>
      <w:lvlJc w:val="left"/>
      <w:pPr>
        <w:tabs>
          <w:tab w:val="num" w:pos="2100"/>
        </w:tabs>
        <w:ind w:left="2100" w:hanging="420"/>
      </w:pPr>
    </w:lvl>
    <w:lvl w:ilvl="5" w:tplc="4F5E3B38" w:tentative="1">
      <w:start w:val="1"/>
      <w:numFmt w:val="lowerRoman"/>
      <w:lvlText w:val="%6."/>
      <w:lvlJc w:val="right"/>
      <w:pPr>
        <w:tabs>
          <w:tab w:val="num" w:pos="2520"/>
        </w:tabs>
        <w:ind w:left="2520" w:hanging="420"/>
      </w:pPr>
    </w:lvl>
    <w:lvl w:ilvl="6" w:tplc="3E349ED8" w:tentative="1">
      <w:start w:val="1"/>
      <w:numFmt w:val="decimal"/>
      <w:lvlText w:val="%7."/>
      <w:lvlJc w:val="left"/>
      <w:pPr>
        <w:tabs>
          <w:tab w:val="num" w:pos="2940"/>
        </w:tabs>
        <w:ind w:left="2940" w:hanging="420"/>
      </w:pPr>
    </w:lvl>
    <w:lvl w:ilvl="7" w:tplc="55168886" w:tentative="1">
      <w:start w:val="1"/>
      <w:numFmt w:val="lowerLetter"/>
      <w:lvlText w:val="%8)"/>
      <w:lvlJc w:val="left"/>
      <w:pPr>
        <w:tabs>
          <w:tab w:val="num" w:pos="3360"/>
        </w:tabs>
        <w:ind w:left="3360" w:hanging="420"/>
      </w:pPr>
    </w:lvl>
    <w:lvl w:ilvl="8" w:tplc="F6FAA14A" w:tentative="1">
      <w:start w:val="1"/>
      <w:numFmt w:val="lowerRoman"/>
      <w:lvlText w:val="%9."/>
      <w:lvlJc w:val="right"/>
      <w:pPr>
        <w:tabs>
          <w:tab w:val="num" w:pos="3780"/>
        </w:tabs>
        <w:ind w:left="3780" w:hanging="420"/>
      </w:pPr>
    </w:lvl>
  </w:abstractNum>
  <w:abstractNum w:abstractNumId="9">
    <w:nsid w:val="64C22724"/>
    <w:multiLevelType w:val="multilevel"/>
    <w:tmpl w:val="0409001D"/>
    <w:numStyleLink w:val="5"/>
  </w:abstractNum>
  <w:abstractNum w:abstractNumId="10">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2">
    <w:nsid w:val="683D317B"/>
    <w:multiLevelType w:val="multilevel"/>
    <w:tmpl w:val="D3D2C8D2"/>
    <w:lvl w:ilvl="0">
      <w:start w:val="4"/>
      <w:numFmt w:val="decimal"/>
      <w:lvlText w:val="%1"/>
      <w:lvlJc w:val="left"/>
      <w:pPr>
        <w:ind w:left="360" w:hanging="360"/>
      </w:pPr>
      <w:rPr>
        <w:rFonts w:hint="default"/>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3">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8"/>
  </w:num>
  <w:num w:numId="2">
    <w:abstractNumId w:val="5"/>
  </w:num>
  <w:num w:numId="3">
    <w:abstractNumId w:val="2"/>
  </w:num>
  <w:num w:numId="4">
    <w:abstractNumId w:val="6"/>
  </w:num>
  <w:num w:numId="5">
    <w:abstractNumId w:val="9"/>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4"/>
  </w:num>
  <w:num w:numId="7">
    <w:abstractNumId w:val="11"/>
  </w:num>
  <w:num w:numId="8">
    <w:abstractNumId w:val="13"/>
  </w:num>
  <w:num w:numId="9">
    <w:abstractNumId w:val="7"/>
  </w:num>
  <w:num w:numId="10">
    <w:abstractNumId w:val="0"/>
  </w:num>
  <w:num w:numId="11">
    <w:abstractNumId w:val="10"/>
  </w:num>
  <w:num w:numId="12">
    <w:abstractNumId w:val="4"/>
  </w:num>
  <w:num w:numId="13">
    <w:abstractNumId w:val="3"/>
  </w:num>
  <w:num w:numId="14">
    <w:abstractNumId w:val="1"/>
  </w:num>
  <w:num w:numId="15">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activeWritingStyle w:appName="MSWord" w:lang="en-US" w:vendorID="64" w:dllVersion="131078" w:nlCheck="1" w:checkStyle="0"/>
  <w:activeWritingStyle w:appName="MSWord" w:lang="zh-CN" w:vendorID="64" w:dllVersion="131077" w:nlCheck="1" w:checkStyle="1"/>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61E"/>
    <w:rsid w:val="00000052"/>
    <w:rsid w:val="000006C2"/>
    <w:rsid w:val="00000EC2"/>
    <w:rsid w:val="00003643"/>
    <w:rsid w:val="00003689"/>
    <w:rsid w:val="00003884"/>
    <w:rsid w:val="00003F44"/>
    <w:rsid w:val="000042EE"/>
    <w:rsid w:val="000049D7"/>
    <w:rsid w:val="00004A56"/>
    <w:rsid w:val="000050BB"/>
    <w:rsid w:val="0000539E"/>
    <w:rsid w:val="000053B1"/>
    <w:rsid w:val="000053F9"/>
    <w:rsid w:val="0000583A"/>
    <w:rsid w:val="000060CA"/>
    <w:rsid w:val="000068A0"/>
    <w:rsid w:val="00006AFB"/>
    <w:rsid w:val="00006D84"/>
    <w:rsid w:val="000078DC"/>
    <w:rsid w:val="00007B2C"/>
    <w:rsid w:val="00007BF4"/>
    <w:rsid w:val="00010335"/>
    <w:rsid w:val="000111A8"/>
    <w:rsid w:val="00011346"/>
    <w:rsid w:val="00011385"/>
    <w:rsid w:val="00011EFD"/>
    <w:rsid w:val="00012B84"/>
    <w:rsid w:val="00012C13"/>
    <w:rsid w:val="00012DD7"/>
    <w:rsid w:val="00012FBB"/>
    <w:rsid w:val="00013DEC"/>
    <w:rsid w:val="000144B9"/>
    <w:rsid w:val="000147F4"/>
    <w:rsid w:val="000149D4"/>
    <w:rsid w:val="00016267"/>
    <w:rsid w:val="00016299"/>
    <w:rsid w:val="000166AB"/>
    <w:rsid w:val="0001678D"/>
    <w:rsid w:val="00016904"/>
    <w:rsid w:val="000169EE"/>
    <w:rsid w:val="000174B9"/>
    <w:rsid w:val="00017822"/>
    <w:rsid w:val="00017A90"/>
    <w:rsid w:val="00020C55"/>
    <w:rsid w:val="000211A0"/>
    <w:rsid w:val="000219DD"/>
    <w:rsid w:val="00022564"/>
    <w:rsid w:val="00023071"/>
    <w:rsid w:val="00023C29"/>
    <w:rsid w:val="000250A9"/>
    <w:rsid w:val="0002511F"/>
    <w:rsid w:val="0002673F"/>
    <w:rsid w:val="00030918"/>
    <w:rsid w:val="0003196B"/>
    <w:rsid w:val="00031AB7"/>
    <w:rsid w:val="00031B2E"/>
    <w:rsid w:val="000320D8"/>
    <w:rsid w:val="00032404"/>
    <w:rsid w:val="00032820"/>
    <w:rsid w:val="00032E23"/>
    <w:rsid w:val="00033914"/>
    <w:rsid w:val="00034059"/>
    <w:rsid w:val="000342E3"/>
    <w:rsid w:val="0003513B"/>
    <w:rsid w:val="0003517F"/>
    <w:rsid w:val="00035A6F"/>
    <w:rsid w:val="000368C2"/>
    <w:rsid w:val="00036A6A"/>
    <w:rsid w:val="00037B62"/>
    <w:rsid w:val="00037D70"/>
    <w:rsid w:val="000400EE"/>
    <w:rsid w:val="00040284"/>
    <w:rsid w:val="000404CC"/>
    <w:rsid w:val="0004141E"/>
    <w:rsid w:val="00041C5A"/>
    <w:rsid w:val="0004211E"/>
    <w:rsid w:val="00042244"/>
    <w:rsid w:val="000422C3"/>
    <w:rsid w:val="00042B2A"/>
    <w:rsid w:val="00042EB1"/>
    <w:rsid w:val="0004332F"/>
    <w:rsid w:val="00043E44"/>
    <w:rsid w:val="00044A21"/>
    <w:rsid w:val="00044D5D"/>
    <w:rsid w:val="00044E83"/>
    <w:rsid w:val="000459D7"/>
    <w:rsid w:val="00046198"/>
    <w:rsid w:val="00046AD8"/>
    <w:rsid w:val="0004779C"/>
    <w:rsid w:val="00047A68"/>
    <w:rsid w:val="00047CDA"/>
    <w:rsid w:val="00050455"/>
    <w:rsid w:val="000506E3"/>
    <w:rsid w:val="00050A32"/>
    <w:rsid w:val="00050CAE"/>
    <w:rsid w:val="00051D2D"/>
    <w:rsid w:val="0005247E"/>
    <w:rsid w:val="000546BB"/>
    <w:rsid w:val="00055217"/>
    <w:rsid w:val="00055D5C"/>
    <w:rsid w:val="0005608A"/>
    <w:rsid w:val="00056262"/>
    <w:rsid w:val="0005700E"/>
    <w:rsid w:val="00057131"/>
    <w:rsid w:val="00057B3C"/>
    <w:rsid w:val="0006007C"/>
    <w:rsid w:val="00060225"/>
    <w:rsid w:val="00061B34"/>
    <w:rsid w:val="0006210E"/>
    <w:rsid w:val="00062D60"/>
    <w:rsid w:val="00063746"/>
    <w:rsid w:val="000639EF"/>
    <w:rsid w:val="00063B80"/>
    <w:rsid w:val="000642ED"/>
    <w:rsid w:val="000644A3"/>
    <w:rsid w:val="000655D4"/>
    <w:rsid w:val="00065BA8"/>
    <w:rsid w:val="00065D90"/>
    <w:rsid w:val="000662E0"/>
    <w:rsid w:val="00066A94"/>
    <w:rsid w:val="000671E4"/>
    <w:rsid w:val="0006768A"/>
    <w:rsid w:val="00067B3E"/>
    <w:rsid w:val="000702E5"/>
    <w:rsid w:val="0007061E"/>
    <w:rsid w:val="00070D95"/>
    <w:rsid w:val="0007127F"/>
    <w:rsid w:val="000712E5"/>
    <w:rsid w:val="00071C59"/>
    <w:rsid w:val="00074069"/>
    <w:rsid w:val="000748A5"/>
    <w:rsid w:val="00074F38"/>
    <w:rsid w:val="00074FB0"/>
    <w:rsid w:val="00075839"/>
    <w:rsid w:val="00076C25"/>
    <w:rsid w:val="0007715E"/>
    <w:rsid w:val="000805C2"/>
    <w:rsid w:val="00080630"/>
    <w:rsid w:val="000816D7"/>
    <w:rsid w:val="000826E0"/>
    <w:rsid w:val="000829AD"/>
    <w:rsid w:val="00083707"/>
    <w:rsid w:val="0008398A"/>
    <w:rsid w:val="00083E96"/>
    <w:rsid w:val="000841F6"/>
    <w:rsid w:val="00084AB9"/>
    <w:rsid w:val="00084DA0"/>
    <w:rsid w:val="00086A09"/>
    <w:rsid w:val="00086B61"/>
    <w:rsid w:val="000870C0"/>
    <w:rsid w:val="0008749A"/>
    <w:rsid w:val="000874E2"/>
    <w:rsid w:val="000878B1"/>
    <w:rsid w:val="0009012F"/>
    <w:rsid w:val="00090141"/>
    <w:rsid w:val="00090BE0"/>
    <w:rsid w:val="00090C1A"/>
    <w:rsid w:val="000910F2"/>
    <w:rsid w:val="000914C7"/>
    <w:rsid w:val="000916A3"/>
    <w:rsid w:val="00091B13"/>
    <w:rsid w:val="000926FC"/>
    <w:rsid w:val="00093044"/>
    <w:rsid w:val="00093212"/>
    <w:rsid w:val="00094A85"/>
    <w:rsid w:val="00095149"/>
    <w:rsid w:val="00095446"/>
    <w:rsid w:val="00095C56"/>
    <w:rsid w:val="00095C68"/>
    <w:rsid w:val="00095CCF"/>
    <w:rsid w:val="00095DC9"/>
    <w:rsid w:val="0009790C"/>
    <w:rsid w:val="000A0430"/>
    <w:rsid w:val="000A0F33"/>
    <w:rsid w:val="000A1095"/>
    <w:rsid w:val="000A1CCC"/>
    <w:rsid w:val="000A1EEF"/>
    <w:rsid w:val="000A1EF3"/>
    <w:rsid w:val="000A1F2B"/>
    <w:rsid w:val="000A25E6"/>
    <w:rsid w:val="000A277B"/>
    <w:rsid w:val="000A2873"/>
    <w:rsid w:val="000A2C9E"/>
    <w:rsid w:val="000A2D39"/>
    <w:rsid w:val="000A5698"/>
    <w:rsid w:val="000A6E54"/>
    <w:rsid w:val="000A6F87"/>
    <w:rsid w:val="000A77B4"/>
    <w:rsid w:val="000A78D1"/>
    <w:rsid w:val="000B101D"/>
    <w:rsid w:val="000B167C"/>
    <w:rsid w:val="000B1C32"/>
    <w:rsid w:val="000B1E73"/>
    <w:rsid w:val="000B1E7A"/>
    <w:rsid w:val="000B2FD6"/>
    <w:rsid w:val="000B32FB"/>
    <w:rsid w:val="000B43E5"/>
    <w:rsid w:val="000B5C4B"/>
    <w:rsid w:val="000B7854"/>
    <w:rsid w:val="000C006E"/>
    <w:rsid w:val="000C171B"/>
    <w:rsid w:val="000C1878"/>
    <w:rsid w:val="000C1ED8"/>
    <w:rsid w:val="000C262B"/>
    <w:rsid w:val="000C263A"/>
    <w:rsid w:val="000C2D5C"/>
    <w:rsid w:val="000C330C"/>
    <w:rsid w:val="000C378B"/>
    <w:rsid w:val="000C37B0"/>
    <w:rsid w:val="000C3CBE"/>
    <w:rsid w:val="000C435B"/>
    <w:rsid w:val="000C4B0C"/>
    <w:rsid w:val="000C4C08"/>
    <w:rsid w:val="000C4C60"/>
    <w:rsid w:val="000C5080"/>
    <w:rsid w:val="000C5941"/>
    <w:rsid w:val="000C59C2"/>
    <w:rsid w:val="000C5F0B"/>
    <w:rsid w:val="000C6918"/>
    <w:rsid w:val="000D06C8"/>
    <w:rsid w:val="000D0897"/>
    <w:rsid w:val="000D1BC4"/>
    <w:rsid w:val="000D1C84"/>
    <w:rsid w:val="000D1FD3"/>
    <w:rsid w:val="000D27DC"/>
    <w:rsid w:val="000D2A9A"/>
    <w:rsid w:val="000D338A"/>
    <w:rsid w:val="000D515C"/>
    <w:rsid w:val="000D51E8"/>
    <w:rsid w:val="000D57BA"/>
    <w:rsid w:val="000D60C8"/>
    <w:rsid w:val="000D66DD"/>
    <w:rsid w:val="000D7069"/>
    <w:rsid w:val="000D72F6"/>
    <w:rsid w:val="000D7307"/>
    <w:rsid w:val="000D7E10"/>
    <w:rsid w:val="000D7F68"/>
    <w:rsid w:val="000E0BAB"/>
    <w:rsid w:val="000E12D3"/>
    <w:rsid w:val="000E1BC2"/>
    <w:rsid w:val="000E1C3A"/>
    <w:rsid w:val="000E2273"/>
    <w:rsid w:val="000E2681"/>
    <w:rsid w:val="000E34A0"/>
    <w:rsid w:val="000E3636"/>
    <w:rsid w:val="000E41D7"/>
    <w:rsid w:val="000E49EF"/>
    <w:rsid w:val="000E51FD"/>
    <w:rsid w:val="000E5D40"/>
    <w:rsid w:val="000E6A69"/>
    <w:rsid w:val="000E73BE"/>
    <w:rsid w:val="000F0B77"/>
    <w:rsid w:val="000F1221"/>
    <w:rsid w:val="000F157F"/>
    <w:rsid w:val="000F1F16"/>
    <w:rsid w:val="000F227A"/>
    <w:rsid w:val="000F274B"/>
    <w:rsid w:val="000F306D"/>
    <w:rsid w:val="000F3800"/>
    <w:rsid w:val="000F3EE5"/>
    <w:rsid w:val="000F40C6"/>
    <w:rsid w:val="000F4841"/>
    <w:rsid w:val="000F5213"/>
    <w:rsid w:val="000F5D1C"/>
    <w:rsid w:val="000F6885"/>
    <w:rsid w:val="000F73FA"/>
    <w:rsid w:val="00100212"/>
    <w:rsid w:val="001005A8"/>
    <w:rsid w:val="001016A1"/>
    <w:rsid w:val="0010182D"/>
    <w:rsid w:val="001019AE"/>
    <w:rsid w:val="001025ED"/>
    <w:rsid w:val="0010267A"/>
    <w:rsid w:val="001029C1"/>
    <w:rsid w:val="0010327F"/>
    <w:rsid w:val="0010370A"/>
    <w:rsid w:val="001039DE"/>
    <w:rsid w:val="00104155"/>
    <w:rsid w:val="0010433C"/>
    <w:rsid w:val="00104344"/>
    <w:rsid w:val="0010438C"/>
    <w:rsid w:val="0010463D"/>
    <w:rsid w:val="00105568"/>
    <w:rsid w:val="001055F8"/>
    <w:rsid w:val="00105AC4"/>
    <w:rsid w:val="00105BD4"/>
    <w:rsid w:val="001064BB"/>
    <w:rsid w:val="001065FF"/>
    <w:rsid w:val="00107429"/>
    <w:rsid w:val="001074B3"/>
    <w:rsid w:val="00107616"/>
    <w:rsid w:val="00107A65"/>
    <w:rsid w:val="00111259"/>
    <w:rsid w:val="00111477"/>
    <w:rsid w:val="00111748"/>
    <w:rsid w:val="00111970"/>
    <w:rsid w:val="00112C32"/>
    <w:rsid w:val="00112FAB"/>
    <w:rsid w:val="001132BB"/>
    <w:rsid w:val="00113A18"/>
    <w:rsid w:val="00113C35"/>
    <w:rsid w:val="0011487A"/>
    <w:rsid w:val="00114C2B"/>
    <w:rsid w:val="00114CC7"/>
    <w:rsid w:val="00114ECB"/>
    <w:rsid w:val="001174F0"/>
    <w:rsid w:val="00120142"/>
    <w:rsid w:val="00120829"/>
    <w:rsid w:val="0012120E"/>
    <w:rsid w:val="00121289"/>
    <w:rsid w:val="00121B27"/>
    <w:rsid w:val="001227D9"/>
    <w:rsid w:val="00122B70"/>
    <w:rsid w:val="001238A7"/>
    <w:rsid w:val="00123A41"/>
    <w:rsid w:val="00123F85"/>
    <w:rsid w:val="00125360"/>
    <w:rsid w:val="00125F8D"/>
    <w:rsid w:val="00126127"/>
    <w:rsid w:val="00126521"/>
    <w:rsid w:val="00126984"/>
    <w:rsid w:val="00126AF6"/>
    <w:rsid w:val="00127635"/>
    <w:rsid w:val="001300B0"/>
    <w:rsid w:val="001304FE"/>
    <w:rsid w:val="00130918"/>
    <w:rsid w:val="00130BE5"/>
    <w:rsid w:val="001313E7"/>
    <w:rsid w:val="00131630"/>
    <w:rsid w:val="00131A50"/>
    <w:rsid w:val="001328E0"/>
    <w:rsid w:val="00133010"/>
    <w:rsid w:val="00133D18"/>
    <w:rsid w:val="00134051"/>
    <w:rsid w:val="00134735"/>
    <w:rsid w:val="00134898"/>
    <w:rsid w:val="00134FC7"/>
    <w:rsid w:val="00135227"/>
    <w:rsid w:val="0013553B"/>
    <w:rsid w:val="00135876"/>
    <w:rsid w:val="00135AC2"/>
    <w:rsid w:val="0013639C"/>
    <w:rsid w:val="00137CDF"/>
    <w:rsid w:val="001408E2"/>
    <w:rsid w:val="00140E60"/>
    <w:rsid w:val="001414DA"/>
    <w:rsid w:val="001418A5"/>
    <w:rsid w:val="00142986"/>
    <w:rsid w:val="0014308D"/>
    <w:rsid w:val="001437EF"/>
    <w:rsid w:val="00143FEB"/>
    <w:rsid w:val="00144390"/>
    <w:rsid w:val="00144C33"/>
    <w:rsid w:val="00145B54"/>
    <w:rsid w:val="00145E44"/>
    <w:rsid w:val="001464E1"/>
    <w:rsid w:val="00146C9D"/>
    <w:rsid w:val="00146CC8"/>
    <w:rsid w:val="00150A41"/>
    <w:rsid w:val="00150B93"/>
    <w:rsid w:val="00150C95"/>
    <w:rsid w:val="00150E52"/>
    <w:rsid w:val="00151276"/>
    <w:rsid w:val="00151D4A"/>
    <w:rsid w:val="001534CA"/>
    <w:rsid w:val="0015369F"/>
    <w:rsid w:val="001540C2"/>
    <w:rsid w:val="001547BA"/>
    <w:rsid w:val="00154940"/>
    <w:rsid w:val="00154A37"/>
    <w:rsid w:val="00155130"/>
    <w:rsid w:val="0015578E"/>
    <w:rsid w:val="00155D84"/>
    <w:rsid w:val="00155DAE"/>
    <w:rsid w:val="001562D4"/>
    <w:rsid w:val="00156E4F"/>
    <w:rsid w:val="00160719"/>
    <w:rsid w:val="001613D9"/>
    <w:rsid w:val="00161876"/>
    <w:rsid w:val="00161915"/>
    <w:rsid w:val="001620ED"/>
    <w:rsid w:val="001629AA"/>
    <w:rsid w:val="00162BC2"/>
    <w:rsid w:val="00163EA4"/>
    <w:rsid w:val="00164D44"/>
    <w:rsid w:val="00165613"/>
    <w:rsid w:val="0016661A"/>
    <w:rsid w:val="00166B41"/>
    <w:rsid w:val="0016729C"/>
    <w:rsid w:val="00167E28"/>
    <w:rsid w:val="00170125"/>
    <w:rsid w:val="0017050D"/>
    <w:rsid w:val="00170C2B"/>
    <w:rsid w:val="00171A0C"/>
    <w:rsid w:val="001726AF"/>
    <w:rsid w:val="00172C5E"/>
    <w:rsid w:val="00173970"/>
    <w:rsid w:val="00173C26"/>
    <w:rsid w:val="00174033"/>
    <w:rsid w:val="00174389"/>
    <w:rsid w:val="00175079"/>
    <w:rsid w:val="00175137"/>
    <w:rsid w:val="00175218"/>
    <w:rsid w:val="0017530D"/>
    <w:rsid w:val="00175612"/>
    <w:rsid w:val="00175BD8"/>
    <w:rsid w:val="001764CC"/>
    <w:rsid w:val="00176AAA"/>
    <w:rsid w:val="00176EF0"/>
    <w:rsid w:val="00177135"/>
    <w:rsid w:val="0017766C"/>
    <w:rsid w:val="00177940"/>
    <w:rsid w:val="00177A5A"/>
    <w:rsid w:val="00177A86"/>
    <w:rsid w:val="0018008C"/>
    <w:rsid w:val="00180A97"/>
    <w:rsid w:val="00180D49"/>
    <w:rsid w:val="00180D59"/>
    <w:rsid w:val="00181B4D"/>
    <w:rsid w:val="001833E8"/>
    <w:rsid w:val="00183684"/>
    <w:rsid w:val="00183A49"/>
    <w:rsid w:val="00183FC1"/>
    <w:rsid w:val="00184B58"/>
    <w:rsid w:val="001862F4"/>
    <w:rsid w:val="0018671B"/>
    <w:rsid w:val="00186EE8"/>
    <w:rsid w:val="00190A51"/>
    <w:rsid w:val="00190C63"/>
    <w:rsid w:val="0019168C"/>
    <w:rsid w:val="001919B1"/>
    <w:rsid w:val="00191C62"/>
    <w:rsid w:val="00191EF7"/>
    <w:rsid w:val="001920BF"/>
    <w:rsid w:val="00192F24"/>
    <w:rsid w:val="001932D0"/>
    <w:rsid w:val="00193DA8"/>
    <w:rsid w:val="001941C1"/>
    <w:rsid w:val="00194610"/>
    <w:rsid w:val="00194C1D"/>
    <w:rsid w:val="00194C80"/>
    <w:rsid w:val="00195240"/>
    <w:rsid w:val="0019545C"/>
    <w:rsid w:val="001955AB"/>
    <w:rsid w:val="00195A46"/>
    <w:rsid w:val="00196095"/>
    <w:rsid w:val="00196473"/>
    <w:rsid w:val="0019717A"/>
    <w:rsid w:val="001971AF"/>
    <w:rsid w:val="0019737B"/>
    <w:rsid w:val="00197382"/>
    <w:rsid w:val="001A02B3"/>
    <w:rsid w:val="001A061F"/>
    <w:rsid w:val="001A0E63"/>
    <w:rsid w:val="001A0F7C"/>
    <w:rsid w:val="001A12AC"/>
    <w:rsid w:val="001A25B6"/>
    <w:rsid w:val="001A3FE1"/>
    <w:rsid w:val="001A4052"/>
    <w:rsid w:val="001A4A12"/>
    <w:rsid w:val="001A70A4"/>
    <w:rsid w:val="001A74F7"/>
    <w:rsid w:val="001A794C"/>
    <w:rsid w:val="001A7B39"/>
    <w:rsid w:val="001A7B46"/>
    <w:rsid w:val="001A7CE6"/>
    <w:rsid w:val="001B09E5"/>
    <w:rsid w:val="001B11ED"/>
    <w:rsid w:val="001B17A7"/>
    <w:rsid w:val="001B1817"/>
    <w:rsid w:val="001B1913"/>
    <w:rsid w:val="001B1A2D"/>
    <w:rsid w:val="001B2F15"/>
    <w:rsid w:val="001B318F"/>
    <w:rsid w:val="001B38DE"/>
    <w:rsid w:val="001B4E01"/>
    <w:rsid w:val="001B552A"/>
    <w:rsid w:val="001B55CA"/>
    <w:rsid w:val="001B7D67"/>
    <w:rsid w:val="001C0665"/>
    <w:rsid w:val="001C16E5"/>
    <w:rsid w:val="001C2B57"/>
    <w:rsid w:val="001C2D2C"/>
    <w:rsid w:val="001C2D8A"/>
    <w:rsid w:val="001C492E"/>
    <w:rsid w:val="001C4C35"/>
    <w:rsid w:val="001C4F06"/>
    <w:rsid w:val="001C628D"/>
    <w:rsid w:val="001C664E"/>
    <w:rsid w:val="001C6869"/>
    <w:rsid w:val="001C6A1A"/>
    <w:rsid w:val="001C6DFD"/>
    <w:rsid w:val="001C6F12"/>
    <w:rsid w:val="001C74F1"/>
    <w:rsid w:val="001C772C"/>
    <w:rsid w:val="001C7F8E"/>
    <w:rsid w:val="001D0814"/>
    <w:rsid w:val="001D0857"/>
    <w:rsid w:val="001D0D5A"/>
    <w:rsid w:val="001D0F6C"/>
    <w:rsid w:val="001D1338"/>
    <w:rsid w:val="001D17B8"/>
    <w:rsid w:val="001D20D0"/>
    <w:rsid w:val="001D2347"/>
    <w:rsid w:val="001D2B02"/>
    <w:rsid w:val="001D3096"/>
    <w:rsid w:val="001D477B"/>
    <w:rsid w:val="001D4AB6"/>
    <w:rsid w:val="001D4E1A"/>
    <w:rsid w:val="001D5242"/>
    <w:rsid w:val="001D5AC2"/>
    <w:rsid w:val="001D5D5A"/>
    <w:rsid w:val="001D60DD"/>
    <w:rsid w:val="001D6375"/>
    <w:rsid w:val="001D64F0"/>
    <w:rsid w:val="001D6DA7"/>
    <w:rsid w:val="001D6E14"/>
    <w:rsid w:val="001D7047"/>
    <w:rsid w:val="001D75D5"/>
    <w:rsid w:val="001D7820"/>
    <w:rsid w:val="001E02F5"/>
    <w:rsid w:val="001E0612"/>
    <w:rsid w:val="001E148F"/>
    <w:rsid w:val="001E1BAF"/>
    <w:rsid w:val="001E2837"/>
    <w:rsid w:val="001E3121"/>
    <w:rsid w:val="001E3A46"/>
    <w:rsid w:val="001E5AD8"/>
    <w:rsid w:val="001E61B3"/>
    <w:rsid w:val="001E6A67"/>
    <w:rsid w:val="001E78DC"/>
    <w:rsid w:val="001E7A26"/>
    <w:rsid w:val="001E7C64"/>
    <w:rsid w:val="001E7CC4"/>
    <w:rsid w:val="001F0C2B"/>
    <w:rsid w:val="001F19FB"/>
    <w:rsid w:val="001F219B"/>
    <w:rsid w:val="001F2C0B"/>
    <w:rsid w:val="001F32DE"/>
    <w:rsid w:val="001F3F23"/>
    <w:rsid w:val="001F4596"/>
    <w:rsid w:val="001F4663"/>
    <w:rsid w:val="001F4D38"/>
    <w:rsid w:val="001F4FD9"/>
    <w:rsid w:val="001F574B"/>
    <w:rsid w:val="001F62A3"/>
    <w:rsid w:val="001F796B"/>
    <w:rsid w:val="00201B68"/>
    <w:rsid w:val="00201BE0"/>
    <w:rsid w:val="00201FE3"/>
    <w:rsid w:val="00202198"/>
    <w:rsid w:val="002027D4"/>
    <w:rsid w:val="00202E0F"/>
    <w:rsid w:val="002032BE"/>
    <w:rsid w:val="002035F2"/>
    <w:rsid w:val="0020457E"/>
    <w:rsid w:val="00204C2F"/>
    <w:rsid w:val="00205F56"/>
    <w:rsid w:val="0020649C"/>
    <w:rsid w:val="002066C2"/>
    <w:rsid w:val="00206B24"/>
    <w:rsid w:val="00206E5A"/>
    <w:rsid w:val="002078C2"/>
    <w:rsid w:val="00207EF9"/>
    <w:rsid w:val="00207FEE"/>
    <w:rsid w:val="002100A6"/>
    <w:rsid w:val="002121AE"/>
    <w:rsid w:val="0021278C"/>
    <w:rsid w:val="002139A5"/>
    <w:rsid w:val="00213A66"/>
    <w:rsid w:val="00214037"/>
    <w:rsid w:val="002140D0"/>
    <w:rsid w:val="0021446F"/>
    <w:rsid w:val="00214E9A"/>
    <w:rsid w:val="00215880"/>
    <w:rsid w:val="00215EF5"/>
    <w:rsid w:val="00216418"/>
    <w:rsid w:val="00216483"/>
    <w:rsid w:val="00216511"/>
    <w:rsid w:val="002170EF"/>
    <w:rsid w:val="0021792F"/>
    <w:rsid w:val="002205FB"/>
    <w:rsid w:val="00220CB3"/>
    <w:rsid w:val="002221B1"/>
    <w:rsid w:val="00223052"/>
    <w:rsid w:val="00223EF6"/>
    <w:rsid w:val="0022487D"/>
    <w:rsid w:val="00224A2D"/>
    <w:rsid w:val="00224AEC"/>
    <w:rsid w:val="00224FF1"/>
    <w:rsid w:val="00225D4E"/>
    <w:rsid w:val="00226265"/>
    <w:rsid w:val="00226A1D"/>
    <w:rsid w:val="00226AA7"/>
    <w:rsid w:val="00226AF3"/>
    <w:rsid w:val="00227713"/>
    <w:rsid w:val="0022781C"/>
    <w:rsid w:val="0022784D"/>
    <w:rsid w:val="00227BFF"/>
    <w:rsid w:val="00231FB0"/>
    <w:rsid w:val="0023224D"/>
    <w:rsid w:val="00232B1D"/>
    <w:rsid w:val="00234CAF"/>
    <w:rsid w:val="00234DC7"/>
    <w:rsid w:val="00234EE4"/>
    <w:rsid w:val="0023507E"/>
    <w:rsid w:val="002350E9"/>
    <w:rsid w:val="00235BB6"/>
    <w:rsid w:val="00236213"/>
    <w:rsid w:val="00236645"/>
    <w:rsid w:val="00236979"/>
    <w:rsid w:val="0023731D"/>
    <w:rsid w:val="00240863"/>
    <w:rsid w:val="00240CFF"/>
    <w:rsid w:val="002411EF"/>
    <w:rsid w:val="002419C6"/>
    <w:rsid w:val="00241EA7"/>
    <w:rsid w:val="00242040"/>
    <w:rsid w:val="002428A2"/>
    <w:rsid w:val="00242F7A"/>
    <w:rsid w:val="00243DB3"/>
    <w:rsid w:val="00244168"/>
    <w:rsid w:val="00244491"/>
    <w:rsid w:val="00244AB9"/>
    <w:rsid w:val="00244ED9"/>
    <w:rsid w:val="0024543A"/>
    <w:rsid w:val="0024728C"/>
    <w:rsid w:val="00247436"/>
    <w:rsid w:val="00247548"/>
    <w:rsid w:val="0024782D"/>
    <w:rsid w:val="002503AC"/>
    <w:rsid w:val="002504CC"/>
    <w:rsid w:val="00250F56"/>
    <w:rsid w:val="0025194C"/>
    <w:rsid w:val="0025209D"/>
    <w:rsid w:val="00252787"/>
    <w:rsid w:val="002536B3"/>
    <w:rsid w:val="002541D9"/>
    <w:rsid w:val="00254BCF"/>
    <w:rsid w:val="00255FA6"/>
    <w:rsid w:val="00256178"/>
    <w:rsid w:val="00256D7B"/>
    <w:rsid w:val="00257492"/>
    <w:rsid w:val="00257839"/>
    <w:rsid w:val="0026149C"/>
    <w:rsid w:val="00262146"/>
    <w:rsid w:val="00262BCB"/>
    <w:rsid w:val="00263163"/>
    <w:rsid w:val="00263495"/>
    <w:rsid w:val="00263D28"/>
    <w:rsid w:val="002646F0"/>
    <w:rsid w:val="00265147"/>
    <w:rsid w:val="0026566E"/>
    <w:rsid w:val="00266D64"/>
    <w:rsid w:val="00267E52"/>
    <w:rsid w:val="002726E8"/>
    <w:rsid w:val="00273A26"/>
    <w:rsid w:val="00273ACD"/>
    <w:rsid w:val="00273FD4"/>
    <w:rsid w:val="00274BC9"/>
    <w:rsid w:val="00274C93"/>
    <w:rsid w:val="002764EC"/>
    <w:rsid w:val="00277828"/>
    <w:rsid w:val="00277F0F"/>
    <w:rsid w:val="00282B70"/>
    <w:rsid w:val="00282FC8"/>
    <w:rsid w:val="002834DA"/>
    <w:rsid w:val="00283553"/>
    <w:rsid w:val="00283D05"/>
    <w:rsid w:val="00283EDD"/>
    <w:rsid w:val="00283F41"/>
    <w:rsid w:val="002848B4"/>
    <w:rsid w:val="002855A0"/>
    <w:rsid w:val="00285EC5"/>
    <w:rsid w:val="002861D9"/>
    <w:rsid w:val="0028664B"/>
    <w:rsid w:val="00286C48"/>
    <w:rsid w:val="00286C66"/>
    <w:rsid w:val="002873B0"/>
    <w:rsid w:val="002874FC"/>
    <w:rsid w:val="00287EBD"/>
    <w:rsid w:val="00287EC8"/>
    <w:rsid w:val="00290BA6"/>
    <w:rsid w:val="0029114F"/>
    <w:rsid w:val="0029330A"/>
    <w:rsid w:val="00293DA0"/>
    <w:rsid w:val="002958EF"/>
    <w:rsid w:val="0029642B"/>
    <w:rsid w:val="00296B54"/>
    <w:rsid w:val="00297FAA"/>
    <w:rsid w:val="002A00A5"/>
    <w:rsid w:val="002A074F"/>
    <w:rsid w:val="002A0893"/>
    <w:rsid w:val="002A1DC6"/>
    <w:rsid w:val="002A2652"/>
    <w:rsid w:val="002A27EE"/>
    <w:rsid w:val="002A2828"/>
    <w:rsid w:val="002A2C3A"/>
    <w:rsid w:val="002A2CC6"/>
    <w:rsid w:val="002A3127"/>
    <w:rsid w:val="002A4953"/>
    <w:rsid w:val="002A5196"/>
    <w:rsid w:val="002A51C4"/>
    <w:rsid w:val="002A5F5E"/>
    <w:rsid w:val="002A6718"/>
    <w:rsid w:val="002A6879"/>
    <w:rsid w:val="002A71D3"/>
    <w:rsid w:val="002B01F7"/>
    <w:rsid w:val="002B044F"/>
    <w:rsid w:val="002B0D95"/>
    <w:rsid w:val="002B0F15"/>
    <w:rsid w:val="002B1080"/>
    <w:rsid w:val="002B1B3D"/>
    <w:rsid w:val="002B3287"/>
    <w:rsid w:val="002B492C"/>
    <w:rsid w:val="002B512A"/>
    <w:rsid w:val="002B5534"/>
    <w:rsid w:val="002B5A83"/>
    <w:rsid w:val="002B5D10"/>
    <w:rsid w:val="002B5E9B"/>
    <w:rsid w:val="002B64CA"/>
    <w:rsid w:val="002B684B"/>
    <w:rsid w:val="002B6E5B"/>
    <w:rsid w:val="002C0AEE"/>
    <w:rsid w:val="002C1248"/>
    <w:rsid w:val="002C13B6"/>
    <w:rsid w:val="002C13D3"/>
    <w:rsid w:val="002C1839"/>
    <w:rsid w:val="002C2247"/>
    <w:rsid w:val="002C28C8"/>
    <w:rsid w:val="002C32C7"/>
    <w:rsid w:val="002C381A"/>
    <w:rsid w:val="002C443F"/>
    <w:rsid w:val="002C4CFE"/>
    <w:rsid w:val="002C57D0"/>
    <w:rsid w:val="002C590A"/>
    <w:rsid w:val="002C5AA7"/>
    <w:rsid w:val="002C627F"/>
    <w:rsid w:val="002C64B0"/>
    <w:rsid w:val="002C71DB"/>
    <w:rsid w:val="002C73A0"/>
    <w:rsid w:val="002C7655"/>
    <w:rsid w:val="002D0FFB"/>
    <w:rsid w:val="002D1595"/>
    <w:rsid w:val="002D1DC3"/>
    <w:rsid w:val="002D3353"/>
    <w:rsid w:val="002D37D6"/>
    <w:rsid w:val="002D3B7C"/>
    <w:rsid w:val="002D3C5F"/>
    <w:rsid w:val="002D3E6F"/>
    <w:rsid w:val="002D4670"/>
    <w:rsid w:val="002D4B5B"/>
    <w:rsid w:val="002D4C24"/>
    <w:rsid w:val="002D541D"/>
    <w:rsid w:val="002D5892"/>
    <w:rsid w:val="002D60A2"/>
    <w:rsid w:val="002D633B"/>
    <w:rsid w:val="002D74E2"/>
    <w:rsid w:val="002E0889"/>
    <w:rsid w:val="002E14AA"/>
    <w:rsid w:val="002E228D"/>
    <w:rsid w:val="002E3072"/>
    <w:rsid w:val="002E34FF"/>
    <w:rsid w:val="002E49F1"/>
    <w:rsid w:val="002E52B4"/>
    <w:rsid w:val="002E55B4"/>
    <w:rsid w:val="002E5B2D"/>
    <w:rsid w:val="002E60F1"/>
    <w:rsid w:val="002E6836"/>
    <w:rsid w:val="002E6982"/>
    <w:rsid w:val="002E6B2F"/>
    <w:rsid w:val="002E78AA"/>
    <w:rsid w:val="002F00D1"/>
    <w:rsid w:val="002F078D"/>
    <w:rsid w:val="002F0ED8"/>
    <w:rsid w:val="002F101B"/>
    <w:rsid w:val="002F10EE"/>
    <w:rsid w:val="002F1531"/>
    <w:rsid w:val="002F1FE7"/>
    <w:rsid w:val="002F2788"/>
    <w:rsid w:val="002F2844"/>
    <w:rsid w:val="002F2DD1"/>
    <w:rsid w:val="002F2E52"/>
    <w:rsid w:val="002F418D"/>
    <w:rsid w:val="002F477D"/>
    <w:rsid w:val="002F4D5A"/>
    <w:rsid w:val="002F5634"/>
    <w:rsid w:val="002F6983"/>
    <w:rsid w:val="002F7199"/>
    <w:rsid w:val="002F7412"/>
    <w:rsid w:val="002F74FD"/>
    <w:rsid w:val="002F7550"/>
    <w:rsid w:val="002F7986"/>
    <w:rsid w:val="00300971"/>
    <w:rsid w:val="003011CB"/>
    <w:rsid w:val="0030194A"/>
    <w:rsid w:val="00302430"/>
    <w:rsid w:val="003024E7"/>
    <w:rsid w:val="00302984"/>
    <w:rsid w:val="00302A09"/>
    <w:rsid w:val="00302D37"/>
    <w:rsid w:val="003032CE"/>
    <w:rsid w:val="003033B1"/>
    <w:rsid w:val="00303CAD"/>
    <w:rsid w:val="003043C8"/>
    <w:rsid w:val="00304413"/>
    <w:rsid w:val="003048FA"/>
    <w:rsid w:val="003048FB"/>
    <w:rsid w:val="0030496F"/>
    <w:rsid w:val="00305D23"/>
    <w:rsid w:val="00307718"/>
    <w:rsid w:val="00310396"/>
    <w:rsid w:val="00310725"/>
    <w:rsid w:val="00310CCE"/>
    <w:rsid w:val="003114C6"/>
    <w:rsid w:val="00312094"/>
    <w:rsid w:val="00312632"/>
    <w:rsid w:val="00312C3B"/>
    <w:rsid w:val="003139F8"/>
    <w:rsid w:val="00313A10"/>
    <w:rsid w:val="00313EBF"/>
    <w:rsid w:val="003149E8"/>
    <w:rsid w:val="00316115"/>
    <w:rsid w:val="0031655D"/>
    <w:rsid w:val="00316C60"/>
    <w:rsid w:val="00316D08"/>
    <w:rsid w:val="00316D63"/>
    <w:rsid w:val="00316FE3"/>
    <w:rsid w:val="00317724"/>
    <w:rsid w:val="00320404"/>
    <w:rsid w:val="00321552"/>
    <w:rsid w:val="0032256B"/>
    <w:rsid w:val="0032264B"/>
    <w:rsid w:val="00322857"/>
    <w:rsid w:val="00322F8E"/>
    <w:rsid w:val="00323E5B"/>
    <w:rsid w:val="003241E0"/>
    <w:rsid w:val="003242D0"/>
    <w:rsid w:val="0032564B"/>
    <w:rsid w:val="00326751"/>
    <w:rsid w:val="00326959"/>
    <w:rsid w:val="00327174"/>
    <w:rsid w:val="003272F9"/>
    <w:rsid w:val="003273A6"/>
    <w:rsid w:val="00327C16"/>
    <w:rsid w:val="00327D92"/>
    <w:rsid w:val="00330F87"/>
    <w:rsid w:val="0033214F"/>
    <w:rsid w:val="00332452"/>
    <w:rsid w:val="00332773"/>
    <w:rsid w:val="00333D19"/>
    <w:rsid w:val="00333EC9"/>
    <w:rsid w:val="003351CF"/>
    <w:rsid w:val="003356EB"/>
    <w:rsid w:val="0033616D"/>
    <w:rsid w:val="00336602"/>
    <w:rsid w:val="00336B7C"/>
    <w:rsid w:val="00336D73"/>
    <w:rsid w:val="00340F17"/>
    <w:rsid w:val="0034170A"/>
    <w:rsid w:val="00341A0C"/>
    <w:rsid w:val="00341B70"/>
    <w:rsid w:val="00342D35"/>
    <w:rsid w:val="0034314C"/>
    <w:rsid w:val="00343E27"/>
    <w:rsid w:val="00344A69"/>
    <w:rsid w:val="0034510B"/>
    <w:rsid w:val="00345156"/>
    <w:rsid w:val="003453AD"/>
    <w:rsid w:val="00345618"/>
    <w:rsid w:val="003458AF"/>
    <w:rsid w:val="00345A6E"/>
    <w:rsid w:val="00345C56"/>
    <w:rsid w:val="00345C96"/>
    <w:rsid w:val="00346428"/>
    <w:rsid w:val="00346717"/>
    <w:rsid w:val="00346ACE"/>
    <w:rsid w:val="00350750"/>
    <w:rsid w:val="00350F43"/>
    <w:rsid w:val="0035226D"/>
    <w:rsid w:val="0035257E"/>
    <w:rsid w:val="003529A0"/>
    <w:rsid w:val="00352C98"/>
    <w:rsid w:val="003531F1"/>
    <w:rsid w:val="003536F0"/>
    <w:rsid w:val="003538EA"/>
    <w:rsid w:val="00353B72"/>
    <w:rsid w:val="0035595C"/>
    <w:rsid w:val="00356D01"/>
    <w:rsid w:val="003578A8"/>
    <w:rsid w:val="00357A0D"/>
    <w:rsid w:val="00360575"/>
    <w:rsid w:val="003607AD"/>
    <w:rsid w:val="00360A37"/>
    <w:rsid w:val="003612BF"/>
    <w:rsid w:val="003617A0"/>
    <w:rsid w:val="003621AB"/>
    <w:rsid w:val="00362AC5"/>
    <w:rsid w:val="00362B38"/>
    <w:rsid w:val="00363751"/>
    <w:rsid w:val="003647C6"/>
    <w:rsid w:val="00364B85"/>
    <w:rsid w:val="00365AB0"/>
    <w:rsid w:val="00366D9B"/>
    <w:rsid w:val="00370263"/>
    <w:rsid w:val="00370349"/>
    <w:rsid w:val="00370B48"/>
    <w:rsid w:val="00370C07"/>
    <w:rsid w:val="00370DBA"/>
    <w:rsid w:val="00371299"/>
    <w:rsid w:val="0037134E"/>
    <w:rsid w:val="0037181C"/>
    <w:rsid w:val="00371F64"/>
    <w:rsid w:val="003722C1"/>
    <w:rsid w:val="00372A51"/>
    <w:rsid w:val="00372C26"/>
    <w:rsid w:val="00373255"/>
    <w:rsid w:val="0037370C"/>
    <w:rsid w:val="00373CA5"/>
    <w:rsid w:val="0037471C"/>
    <w:rsid w:val="003757CE"/>
    <w:rsid w:val="003761E3"/>
    <w:rsid w:val="00376306"/>
    <w:rsid w:val="003772FD"/>
    <w:rsid w:val="00377BC0"/>
    <w:rsid w:val="00377C25"/>
    <w:rsid w:val="00377F7B"/>
    <w:rsid w:val="0038043C"/>
    <w:rsid w:val="00380499"/>
    <w:rsid w:val="00380642"/>
    <w:rsid w:val="003808FF"/>
    <w:rsid w:val="00381BF8"/>
    <w:rsid w:val="00381E75"/>
    <w:rsid w:val="00382589"/>
    <w:rsid w:val="00382D87"/>
    <w:rsid w:val="00383368"/>
    <w:rsid w:val="00383AA5"/>
    <w:rsid w:val="00383AC6"/>
    <w:rsid w:val="00383DE6"/>
    <w:rsid w:val="00383EEC"/>
    <w:rsid w:val="00385842"/>
    <w:rsid w:val="00386A12"/>
    <w:rsid w:val="00386C3E"/>
    <w:rsid w:val="00387F10"/>
    <w:rsid w:val="00390131"/>
    <w:rsid w:val="0039021B"/>
    <w:rsid w:val="0039032C"/>
    <w:rsid w:val="00390A51"/>
    <w:rsid w:val="00391F7C"/>
    <w:rsid w:val="003927ED"/>
    <w:rsid w:val="00392A02"/>
    <w:rsid w:val="00392B2A"/>
    <w:rsid w:val="003936B4"/>
    <w:rsid w:val="00393EDA"/>
    <w:rsid w:val="00393FBD"/>
    <w:rsid w:val="00394033"/>
    <w:rsid w:val="003940D2"/>
    <w:rsid w:val="00394CE2"/>
    <w:rsid w:val="00394FE8"/>
    <w:rsid w:val="00395162"/>
    <w:rsid w:val="003962FB"/>
    <w:rsid w:val="00396992"/>
    <w:rsid w:val="00396E9B"/>
    <w:rsid w:val="0039702B"/>
    <w:rsid w:val="0039785E"/>
    <w:rsid w:val="003979D4"/>
    <w:rsid w:val="003A07C2"/>
    <w:rsid w:val="003A0906"/>
    <w:rsid w:val="003A0DBA"/>
    <w:rsid w:val="003A0E79"/>
    <w:rsid w:val="003A1EB8"/>
    <w:rsid w:val="003A21AD"/>
    <w:rsid w:val="003A2E29"/>
    <w:rsid w:val="003A2E3C"/>
    <w:rsid w:val="003A3308"/>
    <w:rsid w:val="003A3625"/>
    <w:rsid w:val="003A39D8"/>
    <w:rsid w:val="003A3CE5"/>
    <w:rsid w:val="003A4618"/>
    <w:rsid w:val="003A4BA6"/>
    <w:rsid w:val="003A56BB"/>
    <w:rsid w:val="003A5A5A"/>
    <w:rsid w:val="003A6028"/>
    <w:rsid w:val="003A6187"/>
    <w:rsid w:val="003A62D4"/>
    <w:rsid w:val="003A65B6"/>
    <w:rsid w:val="003A6741"/>
    <w:rsid w:val="003A68FC"/>
    <w:rsid w:val="003A714F"/>
    <w:rsid w:val="003A7830"/>
    <w:rsid w:val="003B006E"/>
    <w:rsid w:val="003B012E"/>
    <w:rsid w:val="003B0155"/>
    <w:rsid w:val="003B03A5"/>
    <w:rsid w:val="003B0541"/>
    <w:rsid w:val="003B1418"/>
    <w:rsid w:val="003B158B"/>
    <w:rsid w:val="003B2052"/>
    <w:rsid w:val="003B2188"/>
    <w:rsid w:val="003B3052"/>
    <w:rsid w:val="003B3183"/>
    <w:rsid w:val="003B3D8A"/>
    <w:rsid w:val="003B40E0"/>
    <w:rsid w:val="003B566A"/>
    <w:rsid w:val="003B56F1"/>
    <w:rsid w:val="003B5DFD"/>
    <w:rsid w:val="003C06E8"/>
    <w:rsid w:val="003C0C01"/>
    <w:rsid w:val="003C0F6B"/>
    <w:rsid w:val="003C1148"/>
    <w:rsid w:val="003C1A66"/>
    <w:rsid w:val="003C1DCA"/>
    <w:rsid w:val="003C231B"/>
    <w:rsid w:val="003C3107"/>
    <w:rsid w:val="003C3685"/>
    <w:rsid w:val="003C542E"/>
    <w:rsid w:val="003C66E8"/>
    <w:rsid w:val="003C7924"/>
    <w:rsid w:val="003D0F3B"/>
    <w:rsid w:val="003D14EF"/>
    <w:rsid w:val="003D26D8"/>
    <w:rsid w:val="003D2E43"/>
    <w:rsid w:val="003D370A"/>
    <w:rsid w:val="003D48ED"/>
    <w:rsid w:val="003D5A05"/>
    <w:rsid w:val="003D5ACA"/>
    <w:rsid w:val="003D6376"/>
    <w:rsid w:val="003D665B"/>
    <w:rsid w:val="003D6788"/>
    <w:rsid w:val="003D6CF0"/>
    <w:rsid w:val="003D7025"/>
    <w:rsid w:val="003D7D4C"/>
    <w:rsid w:val="003E0139"/>
    <w:rsid w:val="003E039E"/>
    <w:rsid w:val="003E0782"/>
    <w:rsid w:val="003E0E6C"/>
    <w:rsid w:val="003E239D"/>
    <w:rsid w:val="003E2EE6"/>
    <w:rsid w:val="003E3544"/>
    <w:rsid w:val="003E3AE6"/>
    <w:rsid w:val="003E3DD1"/>
    <w:rsid w:val="003E44D1"/>
    <w:rsid w:val="003E46CC"/>
    <w:rsid w:val="003E55B1"/>
    <w:rsid w:val="003E6282"/>
    <w:rsid w:val="003E6364"/>
    <w:rsid w:val="003E67EE"/>
    <w:rsid w:val="003E6E4E"/>
    <w:rsid w:val="003E70D0"/>
    <w:rsid w:val="003E72FE"/>
    <w:rsid w:val="003E7643"/>
    <w:rsid w:val="003F0730"/>
    <w:rsid w:val="003F090F"/>
    <w:rsid w:val="003F130F"/>
    <w:rsid w:val="003F13F0"/>
    <w:rsid w:val="003F1DF3"/>
    <w:rsid w:val="003F1EE8"/>
    <w:rsid w:val="003F2678"/>
    <w:rsid w:val="003F2D9F"/>
    <w:rsid w:val="003F38AD"/>
    <w:rsid w:val="003F3AD4"/>
    <w:rsid w:val="003F4096"/>
    <w:rsid w:val="003F4982"/>
    <w:rsid w:val="003F4D8C"/>
    <w:rsid w:val="003F5577"/>
    <w:rsid w:val="003F580D"/>
    <w:rsid w:val="003F5B3A"/>
    <w:rsid w:val="003F5DDB"/>
    <w:rsid w:val="003F63F2"/>
    <w:rsid w:val="003F6A92"/>
    <w:rsid w:val="003F703D"/>
    <w:rsid w:val="003F73F7"/>
    <w:rsid w:val="003F77D6"/>
    <w:rsid w:val="003F7872"/>
    <w:rsid w:val="003F78F4"/>
    <w:rsid w:val="003F795A"/>
    <w:rsid w:val="0040095E"/>
    <w:rsid w:val="00400960"/>
    <w:rsid w:val="00400B1B"/>
    <w:rsid w:val="00402BC2"/>
    <w:rsid w:val="00403E19"/>
    <w:rsid w:val="0040449F"/>
    <w:rsid w:val="0040460F"/>
    <w:rsid w:val="00404EC6"/>
    <w:rsid w:val="004054C4"/>
    <w:rsid w:val="00405957"/>
    <w:rsid w:val="00405A11"/>
    <w:rsid w:val="00405A47"/>
    <w:rsid w:val="00405CF7"/>
    <w:rsid w:val="004073CD"/>
    <w:rsid w:val="004075D4"/>
    <w:rsid w:val="00410870"/>
    <w:rsid w:val="00410E37"/>
    <w:rsid w:val="004125B4"/>
    <w:rsid w:val="0041265B"/>
    <w:rsid w:val="004134B4"/>
    <w:rsid w:val="00414A4B"/>
    <w:rsid w:val="00414F57"/>
    <w:rsid w:val="00415AE4"/>
    <w:rsid w:val="0041693A"/>
    <w:rsid w:val="00416BBF"/>
    <w:rsid w:val="00416F20"/>
    <w:rsid w:val="00417B39"/>
    <w:rsid w:val="00420380"/>
    <w:rsid w:val="0042091E"/>
    <w:rsid w:val="00420F27"/>
    <w:rsid w:val="00422101"/>
    <w:rsid w:val="004222B8"/>
    <w:rsid w:val="00422D25"/>
    <w:rsid w:val="00423383"/>
    <w:rsid w:val="004237BF"/>
    <w:rsid w:val="0042415C"/>
    <w:rsid w:val="0042496C"/>
    <w:rsid w:val="004249C7"/>
    <w:rsid w:val="00425049"/>
    <w:rsid w:val="00425F10"/>
    <w:rsid w:val="00426038"/>
    <w:rsid w:val="004262B5"/>
    <w:rsid w:val="0042670F"/>
    <w:rsid w:val="004274C4"/>
    <w:rsid w:val="0043081F"/>
    <w:rsid w:val="004315FF"/>
    <w:rsid w:val="00431908"/>
    <w:rsid w:val="00431A3F"/>
    <w:rsid w:val="004320DF"/>
    <w:rsid w:val="0043270B"/>
    <w:rsid w:val="00432DD0"/>
    <w:rsid w:val="004330D6"/>
    <w:rsid w:val="00433C18"/>
    <w:rsid w:val="00434044"/>
    <w:rsid w:val="004343DD"/>
    <w:rsid w:val="00434737"/>
    <w:rsid w:val="00436213"/>
    <w:rsid w:val="00436DE5"/>
    <w:rsid w:val="00440350"/>
    <w:rsid w:val="00440447"/>
    <w:rsid w:val="0044054F"/>
    <w:rsid w:val="00440668"/>
    <w:rsid w:val="00442C7D"/>
    <w:rsid w:val="00442D52"/>
    <w:rsid w:val="00443602"/>
    <w:rsid w:val="004436A8"/>
    <w:rsid w:val="00443929"/>
    <w:rsid w:val="00444405"/>
    <w:rsid w:val="00444598"/>
    <w:rsid w:val="004447FC"/>
    <w:rsid w:val="00444BA4"/>
    <w:rsid w:val="0044583B"/>
    <w:rsid w:val="00446993"/>
    <w:rsid w:val="00446F05"/>
    <w:rsid w:val="0044743E"/>
    <w:rsid w:val="00447C66"/>
    <w:rsid w:val="00447F1D"/>
    <w:rsid w:val="0045086B"/>
    <w:rsid w:val="0045102A"/>
    <w:rsid w:val="00451AE0"/>
    <w:rsid w:val="00452408"/>
    <w:rsid w:val="00452983"/>
    <w:rsid w:val="00452BD2"/>
    <w:rsid w:val="004536CB"/>
    <w:rsid w:val="00453F26"/>
    <w:rsid w:val="00453F6C"/>
    <w:rsid w:val="00454121"/>
    <w:rsid w:val="00454528"/>
    <w:rsid w:val="00454784"/>
    <w:rsid w:val="00454B9B"/>
    <w:rsid w:val="0045537C"/>
    <w:rsid w:val="00455786"/>
    <w:rsid w:val="00456151"/>
    <w:rsid w:val="004565E5"/>
    <w:rsid w:val="00456B1C"/>
    <w:rsid w:val="00456F08"/>
    <w:rsid w:val="00457B26"/>
    <w:rsid w:val="0046066B"/>
    <w:rsid w:val="00461280"/>
    <w:rsid w:val="00461917"/>
    <w:rsid w:val="00461968"/>
    <w:rsid w:val="00461B57"/>
    <w:rsid w:val="00462309"/>
    <w:rsid w:val="0046366A"/>
    <w:rsid w:val="004639FC"/>
    <w:rsid w:val="00463E14"/>
    <w:rsid w:val="004649DF"/>
    <w:rsid w:val="00464C32"/>
    <w:rsid w:val="00464EBE"/>
    <w:rsid w:val="004652EF"/>
    <w:rsid w:val="004661BD"/>
    <w:rsid w:val="00466302"/>
    <w:rsid w:val="004672F9"/>
    <w:rsid w:val="00467902"/>
    <w:rsid w:val="00467975"/>
    <w:rsid w:val="004712D4"/>
    <w:rsid w:val="004716A2"/>
    <w:rsid w:val="004717F7"/>
    <w:rsid w:val="00471C57"/>
    <w:rsid w:val="00471D58"/>
    <w:rsid w:val="00471F11"/>
    <w:rsid w:val="00472ADC"/>
    <w:rsid w:val="00472BB8"/>
    <w:rsid w:val="0047388C"/>
    <w:rsid w:val="004744A0"/>
    <w:rsid w:val="004752EC"/>
    <w:rsid w:val="004752EE"/>
    <w:rsid w:val="00475A85"/>
    <w:rsid w:val="00475DAB"/>
    <w:rsid w:val="004766B3"/>
    <w:rsid w:val="004766EF"/>
    <w:rsid w:val="00476ED5"/>
    <w:rsid w:val="00477274"/>
    <w:rsid w:val="004776F5"/>
    <w:rsid w:val="004801EE"/>
    <w:rsid w:val="00480D97"/>
    <w:rsid w:val="004813BC"/>
    <w:rsid w:val="0048215F"/>
    <w:rsid w:val="00482A77"/>
    <w:rsid w:val="00484946"/>
    <w:rsid w:val="00484C3A"/>
    <w:rsid w:val="00484DA4"/>
    <w:rsid w:val="00485145"/>
    <w:rsid w:val="00485ED1"/>
    <w:rsid w:val="00487B46"/>
    <w:rsid w:val="00490584"/>
    <w:rsid w:val="004905A8"/>
    <w:rsid w:val="00490AAB"/>
    <w:rsid w:val="00490D9A"/>
    <w:rsid w:val="004920AB"/>
    <w:rsid w:val="00492EAC"/>
    <w:rsid w:val="00493362"/>
    <w:rsid w:val="00494574"/>
    <w:rsid w:val="00494990"/>
    <w:rsid w:val="00494BB8"/>
    <w:rsid w:val="004952BD"/>
    <w:rsid w:val="00495533"/>
    <w:rsid w:val="00495738"/>
    <w:rsid w:val="00495D84"/>
    <w:rsid w:val="00495DF2"/>
    <w:rsid w:val="0049690B"/>
    <w:rsid w:val="00496C56"/>
    <w:rsid w:val="00496CB0"/>
    <w:rsid w:val="00496F96"/>
    <w:rsid w:val="00497160"/>
    <w:rsid w:val="0049794A"/>
    <w:rsid w:val="004A00D8"/>
    <w:rsid w:val="004A0947"/>
    <w:rsid w:val="004A0D52"/>
    <w:rsid w:val="004A137A"/>
    <w:rsid w:val="004A1AFF"/>
    <w:rsid w:val="004A1C4F"/>
    <w:rsid w:val="004A1CC3"/>
    <w:rsid w:val="004A1EEC"/>
    <w:rsid w:val="004A2586"/>
    <w:rsid w:val="004A2CA9"/>
    <w:rsid w:val="004A3033"/>
    <w:rsid w:val="004A332E"/>
    <w:rsid w:val="004A3895"/>
    <w:rsid w:val="004A4014"/>
    <w:rsid w:val="004A4341"/>
    <w:rsid w:val="004A4CAA"/>
    <w:rsid w:val="004A575A"/>
    <w:rsid w:val="004A5C53"/>
    <w:rsid w:val="004A6E3F"/>
    <w:rsid w:val="004A6FA9"/>
    <w:rsid w:val="004A7DF9"/>
    <w:rsid w:val="004B0095"/>
    <w:rsid w:val="004B01C9"/>
    <w:rsid w:val="004B031D"/>
    <w:rsid w:val="004B07C8"/>
    <w:rsid w:val="004B08A9"/>
    <w:rsid w:val="004B0D11"/>
    <w:rsid w:val="004B1158"/>
    <w:rsid w:val="004B1207"/>
    <w:rsid w:val="004B1A54"/>
    <w:rsid w:val="004B3B75"/>
    <w:rsid w:val="004B43A3"/>
    <w:rsid w:val="004B43AC"/>
    <w:rsid w:val="004B52A7"/>
    <w:rsid w:val="004B5386"/>
    <w:rsid w:val="004B5E05"/>
    <w:rsid w:val="004B5EBE"/>
    <w:rsid w:val="004B603A"/>
    <w:rsid w:val="004B6761"/>
    <w:rsid w:val="004B6DEA"/>
    <w:rsid w:val="004B706B"/>
    <w:rsid w:val="004B7C59"/>
    <w:rsid w:val="004C04F6"/>
    <w:rsid w:val="004C279F"/>
    <w:rsid w:val="004C3371"/>
    <w:rsid w:val="004C3640"/>
    <w:rsid w:val="004C3A85"/>
    <w:rsid w:val="004C4139"/>
    <w:rsid w:val="004C4CEC"/>
    <w:rsid w:val="004C528E"/>
    <w:rsid w:val="004C562D"/>
    <w:rsid w:val="004C613D"/>
    <w:rsid w:val="004C6E0E"/>
    <w:rsid w:val="004C75C6"/>
    <w:rsid w:val="004C7D37"/>
    <w:rsid w:val="004C7F32"/>
    <w:rsid w:val="004D03D7"/>
    <w:rsid w:val="004D0C69"/>
    <w:rsid w:val="004D0D75"/>
    <w:rsid w:val="004D111C"/>
    <w:rsid w:val="004D144C"/>
    <w:rsid w:val="004D3423"/>
    <w:rsid w:val="004D3827"/>
    <w:rsid w:val="004D5061"/>
    <w:rsid w:val="004D57B5"/>
    <w:rsid w:val="004D592C"/>
    <w:rsid w:val="004D6148"/>
    <w:rsid w:val="004D6AF5"/>
    <w:rsid w:val="004D7825"/>
    <w:rsid w:val="004D7879"/>
    <w:rsid w:val="004D7B26"/>
    <w:rsid w:val="004E0471"/>
    <w:rsid w:val="004E0E67"/>
    <w:rsid w:val="004E0F73"/>
    <w:rsid w:val="004E184C"/>
    <w:rsid w:val="004E1882"/>
    <w:rsid w:val="004E2774"/>
    <w:rsid w:val="004E2A42"/>
    <w:rsid w:val="004E34BD"/>
    <w:rsid w:val="004E39AA"/>
    <w:rsid w:val="004E3F9E"/>
    <w:rsid w:val="004E54FC"/>
    <w:rsid w:val="004E6651"/>
    <w:rsid w:val="004E667A"/>
    <w:rsid w:val="004E6DC9"/>
    <w:rsid w:val="004E72D1"/>
    <w:rsid w:val="004F0429"/>
    <w:rsid w:val="004F132E"/>
    <w:rsid w:val="004F14A3"/>
    <w:rsid w:val="004F1EAD"/>
    <w:rsid w:val="004F214E"/>
    <w:rsid w:val="004F287E"/>
    <w:rsid w:val="004F2D87"/>
    <w:rsid w:val="004F34EB"/>
    <w:rsid w:val="004F37CE"/>
    <w:rsid w:val="004F45B7"/>
    <w:rsid w:val="004F4BC6"/>
    <w:rsid w:val="004F5FDD"/>
    <w:rsid w:val="004F62C5"/>
    <w:rsid w:val="004F6315"/>
    <w:rsid w:val="004F728A"/>
    <w:rsid w:val="004F74A7"/>
    <w:rsid w:val="004F75AF"/>
    <w:rsid w:val="004F7BA8"/>
    <w:rsid w:val="004F7D25"/>
    <w:rsid w:val="0050004F"/>
    <w:rsid w:val="0050008B"/>
    <w:rsid w:val="00500F35"/>
    <w:rsid w:val="00501D65"/>
    <w:rsid w:val="00502C11"/>
    <w:rsid w:val="005033A1"/>
    <w:rsid w:val="00503589"/>
    <w:rsid w:val="00503C2E"/>
    <w:rsid w:val="0050418D"/>
    <w:rsid w:val="005043AB"/>
    <w:rsid w:val="005044A3"/>
    <w:rsid w:val="005046D2"/>
    <w:rsid w:val="00504B19"/>
    <w:rsid w:val="005053E8"/>
    <w:rsid w:val="005058F3"/>
    <w:rsid w:val="00505D2B"/>
    <w:rsid w:val="005061FC"/>
    <w:rsid w:val="00506627"/>
    <w:rsid w:val="005067B3"/>
    <w:rsid w:val="0050712B"/>
    <w:rsid w:val="0050718A"/>
    <w:rsid w:val="00507CE6"/>
    <w:rsid w:val="0051041B"/>
    <w:rsid w:val="005109FC"/>
    <w:rsid w:val="005111B4"/>
    <w:rsid w:val="00511604"/>
    <w:rsid w:val="00511A40"/>
    <w:rsid w:val="00512E9C"/>
    <w:rsid w:val="005136E7"/>
    <w:rsid w:val="00514030"/>
    <w:rsid w:val="005148BB"/>
    <w:rsid w:val="00514B76"/>
    <w:rsid w:val="0051509F"/>
    <w:rsid w:val="00515833"/>
    <w:rsid w:val="00515973"/>
    <w:rsid w:val="00515C74"/>
    <w:rsid w:val="005164C2"/>
    <w:rsid w:val="0051682F"/>
    <w:rsid w:val="00516EA9"/>
    <w:rsid w:val="00517228"/>
    <w:rsid w:val="00517814"/>
    <w:rsid w:val="005202FE"/>
    <w:rsid w:val="005205EB"/>
    <w:rsid w:val="00520775"/>
    <w:rsid w:val="00520830"/>
    <w:rsid w:val="00520A80"/>
    <w:rsid w:val="00520C4C"/>
    <w:rsid w:val="00522306"/>
    <w:rsid w:val="005228C0"/>
    <w:rsid w:val="005231BC"/>
    <w:rsid w:val="00523527"/>
    <w:rsid w:val="00523C2E"/>
    <w:rsid w:val="00524013"/>
    <w:rsid w:val="00524911"/>
    <w:rsid w:val="0052536D"/>
    <w:rsid w:val="0052577E"/>
    <w:rsid w:val="005262A0"/>
    <w:rsid w:val="0052649D"/>
    <w:rsid w:val="00526FDF"/>
    <w:rsid w:val="00527192"/>
    <w:rsid w:val="005276D5"/>
    <w:rsid w:val="00527921"/>
    <w:rsid w:val="00527B9F"/>
    <w:rsid w:val="00530A31"/>
    <w:rsid w:val="00531891"/>
    <w:rsid w:val="0053191B"/>
    <w:rsid w:val="00531B24"/>
    <w:rsid w:val="00531D93"/>
    <w:rsid w:val="00532049"/>
    <w:rsid w:val="005323FF"/>
    <w:rsid w:val="005325D9"/>
    <w:rsid w:val="005326A9"/>
    <w:rsid w:val="00532944"/>
    <w:rsid w:val="00532B71"/>
    <w:rsid w:val="005332AA"/>
    <w:rsid w:val="0053361D"/>
    <w:rsid w:val="005339EC"/>
    <w:rsid w:val="00533AD4"/>
    <w:rsid w:val="005345F9"/>
    <w:rsid w:val="0053497A"/>
    <w:rsid w:val="005349F3"/>
    <w:rsid w:val="00534AB2"/>
    <w:rsid w:val="005352B2"/>
    <w:rsid w:val="005356EE"/>
    <w:rsid w:val="0053587D"/>
    <w:rsid w:val="00535B03"/>
    <w:rsid w:val="00535CBC"/>
    <w:rsid w:val="00536AF7"/>
    <w:rsid w:val="0053774A"/>
    <w:rsid w:val="00537888"/>
    <w:rsid w:val="00537A75"/>
    <w:rsid w:val="005400F6"/>
    <w:rsid w:val="00540F41"/>
    <w:rsid w:val="00541BD8"/>
    <w:rsid w:val="005420A1"/>
    <w:rsid w:val="005420CE"/>
    <w:rsid w:val="00542183"/>
    <w:rsid w:val="00542821"/>
    <w:rsid w:val="0054306A"/>
    <w:rsid w:val="00543090"/>
    <w:rsid w:val="00543491"/>
    <w:rsid w:val="005437CC"/>
    <w:rsid w:val="0054390D"/>
    <w:rsid w:val="00543AAE"/>
    <w:rsid w:val="00543DF0"/>
    <w:rsid w:val="00543F0D"/>
    <w:rsid w:val="005442EB"/>
    <w:rsid w:val="005443CA"/>
    <w:rsid w:val="005457FC"/>
    <w:rsid w:val="00545A2F"/>
    <w:rsid w:val="0054657E"/>
    <w:rsid w:val="00546962"/>
    <w:rsid w:val="00546A38"/>
    <w:rsid w:val="00546A83"/>
    <w:rsid w:val="00547427"/>
    <w:rsid w:val="005478B2"/>
    <w:rsid w:val="00547ACB"/>
    <w:rsid w:val="0055219D"/>
    <w:rsid w:val="00552D91"/>
    <w:rsid w:val="00552E45"/>
    <w:rsid w:val="00553CBE"/>
    <w:rsid w:val="005543F0"/>
    <w:rsid w:val="005552F4"/>
    <w:rsid w:val="00556101"/>
    <w:rsid w:val="005563F4"/>
    <w:rsid w:val="0055686E"/>
    <w:rsid w:val="00556EBA"/>
    <w:rsid w:val="0055765F"/>
    <w:rsid w:val="00557C52"/>
    <w:rsid w:val="00557DCD"/>
    <w:rsid w:val="00560D89"/>
    <w:rsid w:val="005613BE"/>
    <w:rsid w:val="0056197B"/>
    <w:rsid w:val="005619F4"/>
    <w:rsid w:val="00562E91"/>
    <w:rsid w:val="005636DA"/>
    <w:rsid w:val="00563E76"/>
    <w:rsid w:val="0056484A"/>
    <w:rsid w:val="00564AF9"/>
    <w:rsid w:val="005657F5"/>
    <w:rsid w:val="00565D6C"/>
    <w:rsid w:val="00570123"/>
    <w:rsid w:val="0057087F"/>
    <w:rsid w:val="00570979"/>
    <w:rsid w:val="005711E2"/>
    <w:rsid w:val="0057134A"/>
    <w:rsid w:val="00571650"/>
    <w:rsid w:val="0057176B"/>
    <w:rsid w:val="0057211A"/>
    <w:rsid w:val="005731B4"/>
    <w:rsid w:val="00573A01"/>
    <w:rsid w:val="005752FB"/>
    <w:rsid w:val="0057540C"/>
    <w:rsid w:val="0057655D"/>
    <w:rsid w:val="00576DF6"/>
    <w:rsid w:val="005773EE"/>
    <w:rsid w:val="00577536"/>
    <w:rsid w:val="0057782B"/>
    <w:rsid w:val="00577CC5"/>
    <w:rsid w:val="0058012C"/>
    <w:rsid w:val="0058068B"/>
    <w:rsid w:val="00581610"/>
    <w:rsid w:val="00582938"/>
    <w:rsid w:val="00582D39"/>
    <w:rsid w:val="00583603"/>
    <w:rsid w:val="00583750"/>
    <w:rsid w:val="00583C26"/>
    <w:rsid w:val="00584BEE"/>
    <w:rsid w:val="005850E7"/>
    <w:rsid w:val="005861FC"/>
    <w:rsid w:val="00587577"/>
    <w:rsid w:val="00587F31"/>
    <w:rsid w:val="005901C8"/>
    <w:rsid w:val="0059105E"/>
    <w:rsid w:val="005928E1"/>
    <w:rsid w:val="00593017"/>
    <w:rsid w:val="005945B2"/>
    <w:rsid w:val="00594635"/>
    <w:rsid w:val="00594DCB"/>
    <w:rsid w:val="00595BD3"/>
    <w:rsid w:val="005963B3"/>
    <w:rsid w:val="005963DB"/>
    <w:rsid w:val="005A03CE"/>
    <w:rsid w:val="005A03DF"/>
    <w:rsid w:val="005A0588"/>
    <w:rsid w:val="005A2273"/>
    <w:rsid w:val="005A29F2"/>
    <w:rsid w:val="005A2F67"/>
    <w:rsid w:val="005A449A"/>
    <w:rsid w:val="005A54FD"/>
    <w:rsid w:val="005A5C68"/>
    <w:rsid w:val="005A5FF7"/>
    <w:rsid w:val="005A625A"/>
    <w:rsid w:val="005A62BB"/>
    <w:rsid w:val="005A633B"/>
    <w:rsid w:val="005A6B80"/>
    <w:rsid w:val="005A73AE"/>
    <w:rsid w:val="005A7660"/>
    <w:rsid w:val="005A78EA"/>
    <w:rsid w:val="005B0031"/>
    <w:rsid w:val="005B0097"/>
    <w:rsid w:val="005B112D"/>
    <w:rsid w:val="005B1945"/>
    <w:rsid w:val="005B1B4C"/>
    <w:rsid w:val="005B2106"/>
    <w:rsid w:val="005B37A9"/>
    <w:rsid w:val="005B3AC4"/>
    <w:rsid w:val="005B3C0B"/>
    <w:rsid w:val="005B4095"/>
    <w:rsid w:val="005B55B2"/>
    <w:rsid w:val="005B58FD"/>
    <w:rsid w:val="005B5954"/>
    <w:rsid w:val="005B61BE"/>
    <w:rsid w:val="005B744C"/>
    <w:rsid w:val="005B7792"/>
    <w:rsid w:val="005B77F7"/>
    <w:rsid w:val="005C03F3"/>
    <w:rsid w:val="005C04EA"/>
    <w:rsid w:val="005C0D69"/>
    <w:rsid w:val="005C224D"/>
    <w:rsid w:val="005C2566"/>
    <w:rsid w:val="005C320A"/>
    <w:rsid w:val="005C3599"/>
    <w:rsid w:val="005C3916"/>
    <w:rsid w:val="005C3ACB"/>
    <w:rsid w:val="005C58EE"/>
    <w:rsid w:val="005C6066"/>
    <w:rsid w:val="005C62B6"/>
    <w:rsid w:val="005C64D3"/>
    <w:rsid w:val="005C6BBA"/>
    <w:rsid w:val="005C6D92"/>
    <w:rsid w:val="005C6DCA"/>
    <w:rsid w:val="005D05E5"/>
    <w:rsid w:val="005D18B3"/>
    <w:rsid w:val="005D219F"/>
    <w:rsid w:val="005D2CF9"/>
    <w:rsid w:val="005D329C"/>
    <w:rsid w:val="005D363F"/>
    <w:rsid w:val="005D3B06"/>
    <w:rsid w:val="005D46D6"/>
    <w:rsid w:val="005D47D1"/>
    <w:rsid w:val="005D4842"/>
    <w:rsid w:val="005D5225"/>
    <w:rsid w:val="005D578E"/>
    <w:rsid w:val="005D597B"/>
    <w:rsid w:val="005D5A33"/>
    <w:rsid w:val="005D5D5E"/>
    <w:rsid w:val="005D6102"/>
    <w:rsid w:val="005D67EC"/>
    <w:rsid w:val="005D712E"/>
    <w:rsid w:val="005D7E05"/>
    <w:rsid w:val="005D7E9B"/>
    <w:rsid w:val="005E0C0B"/>
    <w:rsid w:val="005E0F3B"/>
    <w:rsid w:val="005E1101"/>
    <w:rsid w:val="005E1656"/>
    <w:rsid w:val="005E22F8"/>
    <w:rsid w:val="005E2837"/>
    <w:rsid w:val="005E2861"/>
    <w:rsid w:val="005E2CF1"/>
    <w:rsid w:val="005E3199"/>
    <w:rsid w:val="005E38C9"/>
    <w:rsid w:val="005E38EA"/>
    <w:rsid w:val="005E4101"/>
    <w:rsid w:val="005E4644"/>
    <w:rsid w:val="005E4A27"/>
    <w:rsid w:val="005E4B47"/>
    <w:rsid w:val="005E54C9"/>
    <w:rsid w:val="005E5B2D"/>
    <w:rsid w:val="005E5F43"/>
    <w:rsid w:val="005E676C"/>
    <w:rsid w:val="005E7292"/>
    <w:rsid w:val="005E78EE"/>
    <w:rsid w:val="005F006A"/>
    <w:rsid w:val="005F095B"/>
    <w:rsid w:val="005F1134"/>
    <w:rsid w:val="005F1A04"/>
    <w:rsid w:val="005F1D97"/>
    <w:rsid w:val="005F2EF7"/>
    <w:rsid w:val="005F3210"/>
    <w:rsid w:val="005F4925"/>
    <w:rsid w:val="005F5B5A"/>
    <w:rsid w:val="005F5C01"/>
    <w:rsid w:val="005F608E"/>
    <w:rsid w:val="005F63A8"/>
    <w:rsid w:val="005F6864"/>
    <w:rsid w:val="005F6B1D"/>
    <w:rsid w:val="005F716D"/>
    <w:rsid w:val="005F7732"/>
    <w:rsid w:val="005F7D58"/>
    <w:rsid w:val="00600818"/>
    <w:rsid w:val="0060094E"/>
    <w:rsid w:val="00600AE7"/>
    <w:rsid w:val="00601D43"/>
    <w:rsid w:val="0060272E"/>
    <w:rsid w:val="00602EA5"/>
    <w:rsid w:val="006030CF"/>
    <w:rsid w:val="00603680"/>
    <w:rsid w:val="0060369C"/>
    <w:rsid w:val="0060374A"/>
    <w:rsid w:val="006041A9"/>
    <w:rsid w:val="00604224"/>
    <w:rsid w:val="00605DD8"/>
    <w:rsid w:val="00606539"/>
    <w:rsid w:val="006067A6"/>
    <w:rsid w:val="006069AD"/>
    <w:rsid w:val="00606D5C"/>
    <w:rsid w:val="006078AC"/>
    <w:rsid w:val="0061085F"/>
    <w:rsid w:val="00610D71"/>
    <w:rsid w:val="0061250A"/>
    <w:rsid w:val="00612D51"/>
    <w:rsid w:val="00613D9D"/>
    <w:rsid w:val="00613F05"/>
    <w:rsid w:val="0061495D"/>
    <w:rsid w:val="00614E3A"/>
    <w:rsid w:val="00616459"/>
    <w:rsid w:val="006172BF"/>
    <w:rsid w:val="006175D4"/>
    <w:rsid w:val="0061779C"/>
    <w:rsid w:val="00617BC3"/>
    <w:rsid w:val="00620895"/>
    <w:rsid w:val="00620ABF"/>
    <w:rsid w:val="00620F52"/>
    <w:rsid w:val="0062104F"/>
    <w:rsid w:val="0062286F"/>
    <w:rsid w:val="00623473"/>
    <w:rsid w:val="0062387F"/>
    <w:rsid w:val="00623A1C"/>
    <w:rsid w:val="006247DF"/>
    <w:rsid w:val="0062546A"/>
    <w:rsid w:val="006259CB"/>
    <w:rsid w:val="00625BAB"/>
    <w:rsid w:val="00625C1F"/>
    <w:rsid w:val="00625FBE"/>
    <w:rsid w:val="00627046"/>
    <w:rsid w:val="006270E0"/>
    <w:rsid w:val="00627344"/>
    <w:rsid w:val="0062755C"/>
    <w:rsid w:val="00627618"/>
    <w:rsid w:val="00627883"/>
    <w:rsid w:val="00627B2C"/>
    <w:rsid w:val="00627EC1"/>
    <w:rsid w:val="006300B0"/>
    <w:rsid w:val="006303AA"/>
    <w:rsid w:val="00630901"/>
    <w:rsid w:val="00630B45"/>
    <w:rsid w:val="0063152D"/>
    <w:rsid w:val="00631DDD"/>
    <w:rsid w:val="00632246"/>
    <w:rsid w:val="00632508"/>
    <w:rsid w:val="00632CE4"/>
    <w:rsid w:val="006332F8"/>
    <w:rsid w:val="00635B36"/>
    <w:rsid w:val="00635B59"/>
    <w:rsid w:val="00635E1C"/>
    <w:rsid w:val="006377B3"/>
    <w:rsid w:val="006405E3"/>
    <w:rsid w:val="006407B1"/>
    <w:rsid w:val="00640947"/>
    <w:rsid w:val="0064189E"/>
    <w:rsid w:val="00641EAB"/>
    <w:rsid w:val="00642927"/>
    <w:rsid w:val="00642D24"/>
    <w:rsid w:val="00643FEB"/>
    <w:rsid w:val="00644325"/>
    <w:rsid w:val="0064459C"/>
    <w:rsid w:val="006445F8"/>
    <w:rsid w:val="006448C0"/>
    <w:rsid w:val="00644AB2"/>
    <w:rsid w:val="0064511D"/>
    <w:rsid w:val="006452CE"/>
    <w:rsid w:val="00645354"/>
    <w:rsid w:val="006457C3"/>
    <w:rsid w:val="00645D4A"/>
    <w:rsid w:val="00645F26"/>
    <w:rsid w:val="006469FF"/>
    <w:rsid w:val="00646BC8"/>
    <w:rsid w:val="00650CEC"/>
    <w:rsid w:val="00650DFA"/>
    <w:rsid w:val="00650F67"/>
    <w:rsid w:val="0065129B"/>
    <w:rsid w:val="006514D6"/>
    <w:rsid w:val="00652091"/>
    <w:rsid w:val="006532A4"/>
    <w:rsid w:val="006538CE"/>
    <w:rsid w:val="00654538"/>
    <w:rsid w:val="00654967"/>
    <w:rsid w:val="00654B58"/>
    <w:rsid w:val="00654D90"/>
    <w:rsid w:val="00654DC2"/>
    <w:rsid w:val="00655551"/>
    <w:rsid w:val="0065574E"/>
    <w:rsid w:val="00655A09"/>
    <w:rsid w:val="00655E54"/>
    <w:rsid w:val="00656011"/>
    <w:rsid w:val="006561F2"/>
    <w:rsid w:val="00656758"/>
    <w:rsid w:val="006572DC"/>
    <w:rsid w:val="0066111E"/>
    <w:rsid w:val="00661616"/>
    <w:rsid w:val="00661701"/>
    <w:rsid w:val="00661B01"/>
    <w:rsid w:val="00661BDC"/>
    <w:rsid w:val="00662EF5"/>
    <w:rsid w:val="006640F8"/>
    <w:rsid w:val="0066489C"/>
    <w:rsid w:val="00664CC9"/>
    <w:rsid w:val="006650E5"/>
    <w:rsid w:val="00665AFB"/>
    <w:rsid w:val="006677E6"/>
    <w:rsid w:val="00670A00"/>
    <w:rsid w:val="00671737"/>
    <w:rsid w:val="006720E9"/>
    <w:rsid w:val="0067220F"/>
    <w:rsid w:val="00672C67"/>
    <w:rsid w:val="0067313F"/>
    <w:rsid w:val="00673C92"/>
    <w:rsid w:val="00673CA2"/>
    <w:rsid w:val="00673CC1"/>
    <w:rsid w:val="006740D7"/>
    <w:rsid w:val="006746C3"/>
    <w:rsid w:val="00674F7B"/>
    <w:rsid w:val="00675891"/>
    <w:rsid w:val="00675E40"/>
    <w:rsid w:val="0067601B"/>
    <w:rsid w:val="00676257"/>
    <w:rsid w:val="00676BDB"/>
    <w:rsid w:val="006777E0"/>
    <w:rsid w:val="00680459"/>
    <w:rsid w:val="006809A9"/>
    <w:rsid w:val="00681725"/>
    <w:rsid w:val="00681821"/>
    <w:rsid w:val="00681D44"/>
    <w:rsid w:val="006826A0"/>
    <w:rsid w:val="00682D51"/>
    <w:rsid w:val="006834C5"/>
    <w:rsid w:val="00683B54"/>
    <w:rsid w:val="00683E0B"/>
    <w:rsid w:val="00684785"/>
    <w:rsid w:val="0068488B"/>
    <w:rsid w:val="006851FC"/>
    <w:rsid w:val="006853C7"/>
    <w:rsid w:val="0068591D"/>
    <w:rsid w:val="00686932"/>
    <w:rsid w:val="0068694C"/>
    <w:rsid w:val="00686B04"/>
    <w:rsid w:val="00686BC6"/>
    <w:rsid w:val="00686C90"/>
    <w:rsid w:val="00687604"/>
    <w:rsid w:val="006902A0"/>
    <w:rsid w:val="00690B44"/>
    <w:rsid w:val="00691622"/>
    <w:rsid w:val="00691990"/>
    <w:rsid w:val="00691DFF"/>
    <w:rsid w:val="00693321"/>
    <w:rsid w:val="00693D48"/>
    <w:rsid w:val="00693F85"/>
    <w:rsid w:val="006946E6"/>
    <w:rsid w:val="0069493B"/>
    <w:rsid w:val="00694FFB"/>
    <w:rsid w:val="0069515A"/>
    <w:rsid w:val="006954BD"/>
    <w:rsid w:val="0069715C"/>
    <w:rsid w:val="006975F0"/>
    <w:rsid w:val="00697CDB"/>
    <w:rsid w:val="006A1AA6"/>
    <w:rsid w:val="006A1F13"/>
    <w:rsid w:val="006A2733"/>
    <w:rsid w:val="006A2E31"/>
    <w:rsid w:val="006A359C"/>
    <w:rsid w:val="006A4895"/>
    <w:rsid w:val="006A4DC8"/>
    <w:rsid w:val="006A5732"/>
    <w:rsid w:val="006A5946"/>
    <w:rsid w:val="006A5974"/>
    <w:rsid w:val="006A5EB5"/>
    <w:rsid w:val="006A632D"/>
    <w:rsid w:val="006A67C2"/>
    <w:rsid w:val="006A6CEB"/>
    <w:rsid w:val="006A7569"/>
    <w:rsid w:val="006B0023"/>
    <w:rsid w:val="006B02A3"/>
    <w:rsid w:val="006B0702"/>
    <w:rsid w:val="006B08A9"/>
    <w:rsid w:val="006B0A5F"/>
    <w:rsid w:val="006B138D"/>
    <w:rsid w:val="006B1A1F"/>
    <w:rsid w:val="006B2BD3"/>
    <w:rsid w:val="006B32E7"/>
    <w:rsid w:val="006B45DD"/>
    <w:rsid w:val="006B5604"/>
    <w:rsid w:val="006B5EAB"/>
    <w:rsid w:val="006B5F02"/>
    <w:rsid w:val="006B6BE8"/>
    <w:rsid w:val="006B70D9"/>
    <w:rsid w:val="006B7A54"/>
    <w:rsid w:val="006C04BA"/>
    <w:rsid w:val="006C0D97"/>
    <w:rsid w:val="006C1E27"/>
    <w:rsid w:val="006C49EA"/>
    <w:rsid w:val="006C5562"/>
    <w:rsid w:val="006C67C1"/>
    <w:rsid w:val="006C71C4"/>
    <w:rsid w:val="006C75C5"/>
    <w:rsid w:val="006D0098"/>
    <w:rsid w:val="006D0443"/>
    <w:rsid w:val="006D070C"/>
    <w:rsid w:val="006D1322"/>
    <w:rsid w:val="006D13B6"/>
    <w:rsid w:val="006D1989"/>
    <w:rsid w:val="006D1CA6"/>
    <w:rsid w:val="006D2409"/>
    <w:rsid w:val="006D28D9"/>
    <w:rsid w:val="006D33A3"/>
    <w:rsid w:val="006D373D"/>
    <w:rsid w:val="006D4045"/>
    <w:rsid w:val="006D41E7"/>
    <w:rsid w:val="006D4F78"/>
    <w:rsid w:val="006D5082"/>
    <w:rsid w:val="006D547A"/>
    <w:rsid w:val="006D54C5"/>
    <w:rsid w:val="006D5EB2"/>
    <w:rsid w:val="006D6427"/>
    <w:rsid w:val="006D7060"/>
    <w:rsid w:val="006E06C5"/>
    <w:rsid w:val="006E09EA"/>
    <w:rsid w:val="006E0F6D"/>
    <w:rsid w:val="006E0F84"/>
    <w:rsid w:val="006E0FD4"/>
    <w:rsid w:val="006E21E3"/>
    <w:rsid w:val="006E3832"/>
    <w:rsid w:val="006E43A7"/>
    <w:rsid w:val="006E5D30"/>
    <w:rsid w:val="006E60E7"/>
    <w:rsid w:val="006E6102"/>
    <w:rsid w:val="006E6B8B"/>
    <w:rsid w:val="006E71BD"/>
    <w:rsid w:val="006E74AF"/>
    <w:rsid w:val="006E7B16"/>
    <w:rsid w:val="006E7CDD"/>
    <w:rsid w:val="006E7CE1"/>
    <w:rsid w:val="006F1306"/>
    <w:rsid w:val="006F1D09"/>
    <w:rsid w:val="006F1D2C"/>
    <w:rsid w:val="006F2535"/>
    <w:rsid w:val="006F2551"/>
    <w:rsid w:val="006F2EAF"/>
    <w:rsid w:val="006F39AB"/>
    <w:rsid w:val="006F3AF3"/>
    <w:rsid w:val="006F4AD4"/>
    <w:rsid w:val="006F4C4E"/>
    <w:rsid w:val="006F55AE"/>
    <w:rsid w:val="006F5BA1"/>
    <w:rsid w:val="006F7748"/>
    <w:rsid w:val="006F7D01"/>
    <w:rsid w:val="006F7DE5"/>
    <w:rsid w:val="00700053"/>
    <w:rsid w:val="0070167B"/>
    <w:rsid w:val="007016F2"/>
    <w:rsid w:val="00702230"/>
    <w:rsid w:val="00702B9F"/>
    <w:rsid w:val="00704021"/>
    <w:rsid w:val="00704199"/>
    <w:rsid w:val="00704306"/>
    <w:rsid w:val="00704E3F"/>
    <w:rsid w:val="007056D2"/>
    <w:rsid w:val="00705F0A"/>
    <w:rsid w:val="00706F23"/>
    <w:rsid w:val="007072DD"/>
    <w:rsid w:val="007074EF"/>
    <w:rsid w:val="00707758"/>
    <w:rsid w:val="00710CF6"/>
    <w:rsid w:val="0071216D"/>
    <w:rsid w:val="00712BFA"/>
    <w:rsid w:val="00712EE4"/>
    <w:rsid w:val="007132CF"/>
    <w:rsid w:val="00713AD8"/>
    <w:rsid w:val="00713DDC"/>
    <w:rsid w:val="007152C5"/>
    <w:rsid w:val="0071587E"/>
    <w:rsid w:val="007158E0"/>
    <w:rsid w:val="0071621F"/>
    <w:rsid w:val="00716F3D"/>
    <w:rsid w:val="0071783D"/>
    <w:rsid w:val="007201D9"/>
    <w:rsid w:val="00720C95"/>
    <w:rsid w:val="00720EE4"/>
    <w:rsid w:val="007210EA"/>
    <w:rsid w:val="007222FB"/>
    <w:rsid w:val="0072257A"/>
    <w:rsid w:val="00722812"/>
    <w:rsid w:val="00722AB8"/>
    <w:rsid w:val="00722AF8"/>
    <w:rsid w:val="007238BF"/>
    <w:rsid w:val="00723EB1"/>
    <w:rsid w:val="007240D1"/>
    <w:rsid w:val="007248E5"/>
    <w:rsid w:val="00724A5E"/>
    <w:rsid w:val="0072534B"/>
    <w:rsid w:val="007268CF"/>
    <w:rsid w:val="00726C86"/>
    <w:rsid w:val="00726EC5"/>
    <w:rsid w:val="0073016C"/>
    <w:rsid w:val="00730333"/>
    <w:rsid w:val="00730FC9"/>
    <w:rsid w:val="0073402D"/>
    <w:rsid w:val="0073415D"/>
    <w:rsid w:val="007341FB"/>
    <w:rsid w:val="00734298"/>
    <w:rsid w:val="00734CA7"/>
    <w:rsid w:val="00734EE7"/>
    <w:rsid w:val="0073521D"/>
    <w:rsid w:val="0073534F"/>
    <w:rsid w:val="00735C8B"/>
    <w:rsid w:val="00736133"/>
    <w:rsid w:val="00736175"/>
    <w:rsid w:val="007375C3"/>
    <w:rsid w:val="00740244"/>
    <w:rsid w:val="00740378"/>
    <w:rsid w:val="007419EB"/>
    <w:rsid w:val="00741E40"/>
    <w:rsid w:val="00742115"/>
    <w:rsid w:val="00742EDA"/>
    <w:rsid w:val="00743FD5"/>
    <w:rsid w:val="00745933"/>
    <w:rsid w:val="00746A17"/>
    <w:rsid w:val="00747A60"/>
    <w:rsid w:val="00747A73"/>
    <w:rsid w:val="00747BB3"/>
    <w:rsid w:val="00747F13"/>
    <w:rsid w:val="007500FE"/>
    <w:rsid w:val="00750258"/>
    <w:rsid w:val="0075030C"/>
    <w:rsid w:val="00751918"/>
    <w:rsid w:val="00753E01"/>
    <w:rsid w:val="007543AB"/>
    <w:rsid w:val="007547D0"/>
    <w:rsid w:val="00755723"/>
    <w:rsid w:val="00756742"/>
    <w:rsid w:val="0075697A"/>
    <w:rsid w:val="00756DD6"/>
    <w:rsid w:val="0075705E"/>
    <w:rsid w:val="00757248"/>
    <w:rsid w:val="007605F6"/>
    <w:rsid w:val="00760CAD"/>
    <w:rsid w:val="00760E2B"/>
    <w:rsid w:val="00761368"/>
    <w:rsid w:val="007620FA"/>
    <w:rsid w:val="007622E6"/>
    <w:rsid w:val="00762905"/>
    <w:rsid w:val="00762E1D"/>
    <w:rsid w:val="00763129"/>
    <w:rsid w:val="007638EC"/>
    <w:rsid w:val="00763F03"/>
    <w:rsid w:val="007646F7"/>
    <w:rsid w:val="00764C91"/>
    <w:rsid w:val="0076606B"/>
    <w:rsid w:val="007660C6"/>
    <w:rsid w:val="0076656F"/>
    <w:rsid w:val="00766EB7"/>
    <w:rsid w:val="00767682"/>
    <w:rsid w:val="0076769A"/>
    <w:rsid w:val="00767ED7"/>
    <w:rsid w:val="0077075F"/>
    <w:rsid w:val="00770DB4"/>
    <w:rsid w:val="0077113E"/>
    <w:rsid w:val="007717DA"/>
    <w:rsid w:val="00771940"/>
    <w:rsid w:val="00772BF6"/>
    <w:rsid w:val="007743E2"/>
    <w:rsid w:val="0077529F"/>
    <w:rsid w:val="00775BED"/>
    <w:rsid w:val="00775C22"/>
    <w:rsid w:val="007763F9"/>
    <w:rsid w:val="00776BEF"/>
    <w:rsid w:val="00776E74"/>
    <w:rsid w:val="00776FA6"/>
    <w:rsid w:val="00777876"/>
    <w:rsid w:val="00777EAD"/>
    <w:rsid w:val="00780C51"/>
    <w:rsid w:val="0078102B"/>
    <w:rsid w:val="0078108A"/>
    <w:rsid w:val="00781133"/>
    <w:rsid w:val="00782C93"/>
    <w:rsid w:val="00783BF8"/>
    <w:rsid w:val="00783CE3"/>
    <w:rsid w:val="00786848"/>
    <w:rsid w:val="0078799E"/>
    <w:rsid w:val="00791D4D"/>
    <w:rsid w:val="007927B1"/>
    <w:rsid w:val="00793396"/>
    <w:rsid w:val="00794E0B"/>
    <w:rsid w:val="00795173"/>
    <w:rsid w:val="0079614C"/>
    <w:rsid w:val="007965E8"/>
    <w:rsid w:val="007968D5"/>
    <w:rsid w:val="007973F9"/>
    <w:rsid w:val="00797532"/>
    <w:rsid w:val="007977ED"/>
    <w:rsid w:val="007A16F0"/>
    <w:rsid w:val="007A1948"/>
    <w:rsid w:val="007A2DEF"/>
    <w:rsid w:val="007A2E36"/>
    <w:rsid w:val="007A2FC3"/>
    <w:rsid w:val="007A343C"/>
    <w:rsid w:val="007A3959"/>
    <w:rsid w:val="007A4D9F"/>
    <w:rsid w:val="007A51C9"/>
    <w:rsid w:val="007A586E"/>
    <w:rsid w:val="007A6207"/>
    <w:rsid w:val="007A699B"/>
    <w:rsid w:val="007A69A8"/>
    <w:rsid w:val="007A6A34"/>
    <w:rsid w:val="007A6DEF"/>
    <w:rsid w:val="007A71B1"/>
    <w:rsid w:val="007B020B"/>
    <w:rsid w:val="007B06A8"/>
    <w:rsid w:val="007B08A9"/>
    <w:rsid w:val="007B0D7D"/>
    <w:rsid w:val="007B1238"/>
    <w:rsid w:val="007B16D8"/>
    <w:rsid w:val="007B1A8B"/>
    <w:rsid w:val="007B2227"/>
    <w:rsid w:val="007B273D"/>
    <w:rsid w:val="007B279E"/>
    <w:rsid w:val="007B2D7F"/>
    <w:rsid w:val="007B31E6"/>
    <w:rsid w:val="007B33E7"/>
    <w:rsid w:val="007B3657"/>
    <w:rsid w:val="007B3D95"/>
    <w:rsid w:val="007B4674"/>
    <w:rsid w:val="007B4796"/>
    <w:rsid w:val="007B47DE"/>
    <w:rsid w:val="007B4C7D"/>
    <w:rsid w:val="007B5331"/>
    <w:rsid w:val="007B5EA4"/>
    <w:rsid w:val="007B6273"/>
    <w:rsid w:val="007B6D4D"/>
    <w:rsid w:val="007B71D3"/>
    <w:rsid w:val="007B748A"/>
    <w:rsid w:val="007B7852"/>
    <w:rsid w:val="007B7BA5"/>
    <w:rsid w:val="007B7EE6"/>
    <w:rsid w:val="007C0E52"/>
    <w:rsid w:val="007C1078"/>
    <w:rsid w:val="007C11E2"/>
    <w:rsid w:val="007C1258"/>
    <w:rsid w:val="007C22C7"/>
    <w:rsid w:val="007C2527"/>
    <w:rsid w:val="007C3F4D"/>
    <w:rsid w:val="007C4FC0"/>
    <w:rsid w:val="007C5297"/>
    <w:rsid w:val="007C5BB4"/>
    <w:rsid w:val="007C5EFD"/>
    <w:rsid w:val="007C6F4D"/>
    <w:rsid w:val="007C7E87"/>
    <w:rsid w:val="007D055C"/>
    <w:rsid w:val="007D0BF6"/>
    <w:rsid w:val="007D0C27"/>
    <w:rsid w:val="007D0EFC"/>
    <w:rsid w:val="007D1D4C"/>
    <w:rsid w:val="007D1FD6"/>
    <w:rsid w:val="007D2286"/>
    <w:rsid w:val="007D25E3"/>
    <w:rsid w:val="007D2C1A"/>
    <w:rsid w:val="007D2C72"/>
    <w:rsid w:val="007D393C"/>
    <w:rsid w:val="007D3F6C"/>
    <w:rsid w:val="007D4AF0"/>
    <w:rsid w:val="007D5652"/>
    <w:rsid w:val="007D58C5"/>
    <w:rsid w:val="007D6957"/>
    <w:rsid w:val="007D6993"/>
    <w:rsid w:val="007D6A80"/>
    <w:rsid w:val="007D7692"/>
    <w:rsid w:val="007D7B83"/>
    <w:rsid w:val="007E051A"/>
    <w:rsid w:val="007E13B8"/>
    <w:rsid w:val="007E15AD"/>
    <w:rsid w:val="007E15FB"/>
    <w:rsid w:val="007E1EEF"/>
    <w:rsid w:val="007E30E1"/>
    <w:rsid w:val="007E323D"/>
    <w:rsid w:val="007E3FB8"/>
    <w:rsid w:val="007E4227"/>
    <w:rsid w:val="007E48D0"/>
    <w:rsid w:val="007E4D77"/>
    <w:rsid w:val="007E4FAA"/>
    <w:rsid w:val="007E5780"/>
    <w:rsid w:val="007E5D4D"/>
    <w:rsid w:val="007E6558"/>
    <w:rsid w:val="007E667A"/>
    <w:rsid w:val="007E6684"/>
    <w:rsid w:val="007E6F57"/>
    <w:rsid w:val="007E713E"/>
    <w:rsid w:val="007E756A"/>
    <w:rsid w:val="007F08AD"/>
    <w:rsid w:val="007F0F01"/>
    <w:rsid w:val="007F1CB6"/>
    <w:rsid w:val="007F214C"/>
    <w:rsid w:val="007F233C"/>
    <w:rsid w:val="007F2EDC"/>
    <w:rsid w:val="007F3444"/>
    <w:rsid w:val="007F376A"/>
    <w:rsid w:val="007F38A5"/>
    <w:rsid w:val="007F44FA"/>
    <w:rsid w:val="007F4624"/>
    <w:rsid w:val="007F4791"/>
    <w:rsid w:val="007F59BC"/>
    <w:rsid w:val="007F5E08"/>
    <w:rsid w:val="007F7B0F"/>
    <w:rsid w:val="0080039C"/>
    <w:rsid w:val="00801451"/>
    <w:rsid w:val="00801765"/>
    <w:rsid w:val="00801C80"/>
    <w:rsid w:val="008020F4"/>
    <w:rsid w:val="00802DDF"/>
    <w:rsid w:val="00802DED"/>
    <w:rsid w:val="008034DC"/>
    <w:rsid w:val="0080376A"/>
    <w:rsid w:val="00803D49"/>
    <w:rsid w:val="00803ED0"/>
    <w:rsid w:val="00804860"/>
    <w:rsid w:val="00804923"/>
    <w:rsid w:val="00804924"/>
    <w:rsid w:val="00804DF2"/>
    <w:rsid w:val="008050F5"/>
    <w:rsid w:val="00805335"/>
    <w:rsid w:val="00805587"/>
    <w:rsid w:val="0080586A"/>
    <w:rsid w:val="00805E84"/>
    <w:rsid w:val="00806D2A"/>
    <w:rsid w:val="00807540"/>
    <w:rsid w:val="00810371"/>
    <w:rsid w:val="00810719"/>
    <w:rsid w:val="00810AD7"/>
    <w:rsid w:val="00810F54"/>
    <w:rsid w:val="008128DF"/>
    <w:rsid w:val="00812D40"/>
    <w:rsid w:val="00813512"/>
    <w:rsid w:val="00814855"/>
    <w:rsid w:val="008150A3"/>
    <w:rsid w:val="0081593C"/>
    <w:rsid w:val="00815D0B"/>
    <w:rsid w:val="008161DA"/>
    <w:rsid w:val="00816394"/>
    <w:rsid w:val="0081687D"/>
    <w:rsid w:val="008169DF"/>
    <w:rsid w:val="008170C3"/>
    <w:rsid w:val="008179FE"/>
    <w:rsid w:val="008201C0"/>
    <w:rsid w:val="00820E68"/>
    <w:rsid w:val="00821159"/>
    <w:rsid w:val="00821AAF"/>
    <w:rsid w:val="00821BB0"/>
    <w:rsid w:val="00821FD5"/>
    <w:rsid w:val="00822ACB"/>
    <w:rsid w:val="008231CC"/>
    <w:rsid w:val="00823ECC"/>
    <w:rsid w:val="008265E0"/>
    <w:rsid w:val="00826879"/>
    <w:rsid w:val="00826FAA"/>
    <w:rsid w:val="00827215"/>
    <w:rsid w:val="008274E7"/>
    <w:rsid w:val="00827B76"/>
    <w:rsid w:val="00830300"/>
    <w:rsid w:val="0083072D"/>
    <w:rsid w:val="00830BB1"/>
    <w:rsid w:val="00830C59"/>
    <w:rsid w:val="00831405"/>
    <w:rsid w:val="0083177F"/>
    <w:rsid w:val="00831869"/>
    <w:rsid w:val="0083198A"/>
    <w:rsid w:val="0083249D"/>
    <w:rsid w:val="0083268C"/>
    <w:rsid w:val="008332BC"/>
    <w:rsid w:val="0083335C"/>
    <w:rsid w:val="00834D60"/>
    <w:rsid w:val="008352E6"/>
    <w:rsid w:val="00835587"/>
    <w:rsid w:val="00835EBC"/>
    <w:rsid w:val="0083627A"/>
    <w:rsid w:val="00836338"/>
    <w:rsid w:val="00836600"/>
    <w:rsid w:val="00840011"/>
    <w:rsid w:val="008400C6"/>
    <w:rsid w:val="0084081A"/>
    <w:rsid w:val="00840ADC"/>
    <w:rsid w:val="00840AFA"/>
    <w:rsid w:val="00840EA7"/>
    <w:rsid w:val="00841B2A"/>
    <w:rsid w:val="00841E19"/>
    <w:rsid w:val="00841F02"/>
    <w:rsid w:val="00841F55"/>
    <w:rsid w:val="00842045"/>
    <w:rsid w:val="00842086"/>
    <w:rsid w:val="008427BE"/>
    <w:rsid w:val="008428FD"/>
    <w:rsid w:val="00842927"/>
    <w:rsid w:val="00843678"/>
    <w:rsid w:val="00844647"/>
    <w:rsid w:val="00844CC1"/>
    <w:rsid w:val="00845475"/>
    <w:rsid w:val="008466F3"/>
    <w:rsid w:val="00846CC6"/>
    <w:rsid w:val="00847002"/>
    <w:rsid w:val="008475E8"/>
    <w:rsid w:val="00850AE3"/>
    <w:rsid w:val="00851E9A"/>
    <w:rsid w:val="0085212B"/>
    <w:rsid w:val="008546CB"/>
    <w:rsid w:val="00854A70"/>
    <w:rsid w:val="00854DAD"/>
    <w:rsid w:val="00854E4B"/>
    <w:rsid w:val="00855123"/>
    <w:rsid w:val="0085528C"/>
    <w:rsid w:val="008558EF"/>
    <w:rsid w:val="008567AE"/>
    <w:rsid w:val="00857F67"/>
    <w:rsid w:val="008600D3"/>
    <w:rsid w:val="00860823"/>
    <w:rsid w:val="008608F9"/>
    <w:rsid w:val="00860A77"/>
    <w:rsid w:val="00860B1C"/>
    <w:rsid w:val="00861676"/>
    <w:rsid w:val="008621EB"/>
    <w:rsid w:val="0086248C"/>
    <w:rsid w:val="00862C2B"/>
    <w:rsid w:val="00863034"/>
    <w:rsid w:val="008636EB"/>
    <w:rsid w:val="008639EC"/>
    <w:rsid w:val="00863DD5"/>
    <w:rsid w:val="00864C21"/>
    <w:rsid w:val="00864C70"/>
    <w:rsid w:val="00864E46"/>
    <w:rsid w:val="00865F6E"/>
    <w:rsid w:val="00866F28"/>
    <w:rsid w:val="0086718A"/>
    <w:rsid w:val="0086792D"/>
    <w:rsid w:val="00867E7D"/>
    <w:rsid w:val="008719F0"/>
    <w:rsid w:val="0087330A"/>
    <w:rsid w:val="00874187"/>
    <w:rsid w:val="00874241"/>
    <w:rsid w:val="00874277"/>
    <w:rsid w:val="008742ED"/>
    <w:rsid w:val="008749D4"/>
    <w:rsid w:val="00875583"/>
    <w:rsid w:val="008755C7"/>
    <w:rsid w:val="00876700"/>
    <w:rsid w:val="00876C1F"/>
    <w:rsid w:val="00876DC2"/>
    <w:rsid w:val="0087780A"/>
    <w:rsid w:val="00877A1E"/>
    <w:rsid w:val="0088016C"/>
    <w:rsid w:val="00880BA3"/>
    <w:rsid w:val="00881984"/>
    <w:rsid w:val="00881D61"/>
    <w:rsid w:val="00882625"/>
    <w:rsid w:val="00882D6F"/>
    <w:rsid w:val="008830CF"/>
    <w:rsid w:val="00883138"/>
    <w:rsid w:val="008832B6"/>
    <w:rsid w:val="008832E8"/>
    <w:rsid w:val="008839C4"/>
    <w:rsid w:val="0088433D"/>
    <w:rsid w:val="00884460"/>
    <w:rsid w:val="008847FC"/>
    <w:rsid w:val="00884EEF"/>
    <w:rsid w:val="00884FC2"/>
    <w:rsid w:val="00885DC0"/>
    <w:rsid w:val="00887514"/>
    <w:rsid w:val="00887BA6"/>
    <w:rsid w:val="00890B5E"/>
    <w:rsid w:val="008916A2"/>
    <w:rsid w:val="00893D09"/>
    <w:rsid w:val="008944A6"/>
    <w:rsid w:val="008945C3"/>
    <w:rsid w:val="008947DE"/>
    <w:rsid w:val="00894BA9"/>
    <w:rsid w:val="00895420"/>
    <w:rsid w:val="00895EF7"/>
    <w:rsid w:val="008961BE"/>
    <w:rsid w:val="0089717A"/>
    <w:rsid w:val="00897715"/>
    <w:rsid w:val="008A10FD"/>
    <w:rsid w:val="008A1175"/>
    <w:rsid w:val="008A1F97"/>
    <w:rsid w:val="008A42DD"/>
    <w:rsid w:val="008A4501"/>
    <w:rsid w:val="008A4515"/>
    <w:rsid w:val="008A46A1"/>
    <w:rsid w:val="008A5397"/>
    <w:rsid w:val="008A5A2C"/>
    <w:rsid w:val="008A5A8E"/>
    <w:rsid w:val="008A5C06"/>
    <w:rsid w:val="008A68D5"/>
    <w:rsid w:val="008B037E"/>
    <w:rsid w:val="008B0567"/>
    <w:rsid w:val="008B219F"/>
    <w:rsid w:val="008B22C5"/>
    <w:rsid w:val="008B24A8"/>
    <w:rsid w:val="008B261A"/>
    <w:rsid w:val="008B2BDB"/>
    <w:rsid w:val="008B2F53"/>
    <w:rsid w:val="008B3E08"/>
    <w:rsid w:val="008B5E86"/>
    <w:rsid w:val="008B611E"/>
    <w:rsid w:val="008B63E1"/>
    <w:rsid w:val="008B6DAB"/>
    <w:rsid w:val="008B7256"/>
    <w:rsid w:val="008C07A4"/>
    <w:rsid w:val="008C0B34"/>
    <w:rsid w:val="008C0F2B"/>
    <w:rsid w:val="008C123C"/>
    <w:rsid w:val="008C1643"/>
    <w:rsid w:val="008C164E"/>
    <w:rsid w:val="008C1982"/>
    <w:rsid w:val="008C1E39"/>
    <w:rsid w:val="008C2225"/>
    <w:rsid w:val="008C22EB"/>
    <w:rsid w:val="008C2560"/>
    <w:rsid w:val="008C27F5"/>
    <w:rsid w:val="008C2A1B"/>
    <w:rsid w:val="008C3907"/>
    <w:rsid w:val="008C3922"/>
    <w:rsid w:val="008C39EC"/>
    <w:rsid w:val="008C4EF1"/>
    <w:rsid w:val="008C5071"/>
    <w:rsid w:val="008C63BB"/>
    <w:rsid w:val="008C66CF"/>
    <w:rsid w:val="008C67FB"/>
    <w:rsid w:val="008D0444"/>
    <w:rsid w:val="008D05B1"/>
    <w:rsid w:val="008D0CA2"/>
    <w:rsid w:val="008D0EF7"/>
    <w:rsid w:val="008D10CF"/>
    <w:rsid w:val="008D11A1"/>
    <w:rsid w:val="008D193D"/>
    <w:rsid w:val="008D1A65"/>
    <w:rsid w:val="008D24C7"/>
    <w:rsid w:val="008D37A5"/>
    <w:rsid w:val="008D3996"/>
    <w:rsid w:val="008D3A36"/>
    <w:rsid w:val="008D3B2A"/>
    <w:rsid w:val="008D4071"/>
    <w:rsid w:val="008D4AE4"/>
    <w:rsid w:val="008D505B"/>
    <w:rsid w:val="008D5237"/>
    <w:rsid w:val="008D5EC5"/>
    <w:rsid w:val="008D6C03"/>
    <w:rsid w:val="008D7674"/>
    <w:rsid w:val="008D7D04"/>
    <w:rsid w:val="008E0419"/>
    <w:rsid w:val="008E0AA1"/>
    <w:rsid w:val="008E1216"/>
    <w:rsid w:val="008E188D"/>
    <w:rsid w:val="008E1CDB"/>
    <w:rsid w:val="008E2392"/>
    <w:rsid w:val="008E2A44"/>
    <w:rsid w:val="008E3489"/>
    <w:rsid w:val="008E4365"/>
    <w:rsid w:val="008E4CC5"/>
    <w:rsid w:val="008E4D4C"/>
    <w:rsid w:val="008E53F7"/>
    <w:rsid w:val="008E6ADD"/>
    <w:rsid w:val="008E7CA0"/>
    <w:rsid w:val="008F0699"/>
    <w:rsid w:val="008F1CE7"/>
    <w:rsid w:val="008F2812"/>
    <w:rsid w:val="008F347E"/>
    <w:rsid w:val="008F368A"/>
    <w:rsid w:val="008F3CE8"/>
    <w:rsid w:val="008F3D29"/>
    <w:rsid w:val="008F429D"/>
    <w:rsid w:val="008F4C65"/>
    <w:rsid w:val="008F5E66"/>
    <w:rsid w:val="008F63DD"/>
    <w:rsid w:val="008F67D8"/>
    <w:rsid w:val="008F70B1"/>
    <w:rsid w:val="008F7823"/>
    <w:rsid w:val="008F7FDD"/>
    <w:rsid w:val="00900576"/>
    <w:rsid w:val="0090173C"/>
    <w:rsid w:val="00901FF7"/>
    <w:rsid w:val="009023F3"/>
    <w:rsid w:val="00902680"/>
    <w:rsid w:val="009032EA"/>
    <w:rsid w:val="009033C2"/>
    <w:rsid w:val="00903563"/>
    <w:rsid w:val="00904F1B"/>
    <w:rsid w:val="00905C64"/>
    <w:rsid w:val="009065C2"/>
    <w:rsid w:val="00906AB4"/>
    <w:rsid w:val="00907707"/>
    <w:rsid w:val="009077EE"/>
    <w:rsid w:val="00907F30"/>
    <w:rsid w:val="0091027B"/>
    <w:rsid w:val="00910523"/>
    <w:rsid w:val="00910675"/>
    <w:rsid w:val="00910927"/>
    <w:rsid w:val="00910982"/>
    <w:rsid w:val="0091125D"/>
    <w:rsid w:val="00911ACF"/>
    <w:rsid w:val="00912C55"/>
    <w:rsid w:val="009135F9"/>
    <w:rsid w:val="00914C87"/>
    <w:rsid w:val="00916300"/>
    <w:rsid w:val="0091646F"/>
    <w:rsid w:val="00916568"/>
    <w:rsid w:val="009167CB"/>
    <w:rsid w:val="00916B6D"/>
    <w:rsid w:val="00916C66"/>
    <w:rsid w:val="009171F0"/>
    <w:rsid w:val="00917337"/>
    <w:rsid w:val="00917F00"/>
    <w:rsid w:val="00917F2D"/>
    <w:rsid w:val="009215EA"/>
    <w:rsid w:val="009231A8"/>
    <w:rsid w:val="00923E60"/>
    <w:rsid w:val="0092487B"/>
    <w:rsid w:val="009249F7"/>
    <w:rsid w:val="00924F7B"/>
    <w:rsid w:val="00925587"/>
    <w:rsid w:val="009257C4"/>
    <w:rsid w:val="009258AF"/>
    <w:rsid w:val="00925D3E"/>
    <w:rsid w:val="00925E57"/>
    <w:rsid w:val="00926A35"/>
    <w:rsid w:val="009271F1"/>
    <w:rsid w:val="00927250"/>
    <w:rsid w:val="0092730F"/>
    <w:rsid w:val="00930BE9"/>
    <w:rsid w:val="00932B96"/>
    <w:rsid w:val="00932F24"/>
    <w:rsid w:val="009335B4"/>
    <w:rsid w:val="00933EEC"/>
    <w:rsid w:val="0093449C"/>
    <w:rsid w:val="00934B01"/>
    <w:rsid w:val="00934BCD"/>
    <w:rsid w:val="00934C71"/>
    <w:rsid w:val="00934CDA"/>
    <w:rsid w:val="0093513C"/>
    <w:rsid w:val="00935509"/>
    <w:rsid w:val="009361E3"/>
    <w:rsid w:val="009366C9"/>
    <w:rsid w:val="009368FE"/>
    <w:rsid w:val="00936A99"/>
    <w:rsid w:val="009371ED"/>
    <w:rsid w:val="00940856"/>
    <w:rsid w:val="009409BA"/>
    <w:rsid w:val="00940B27"/>
    <w:rsid w:val="00940E4C"/>
    <w:rsid w:val="009411E2"/>
    <w:rsid w:val="009416A0"/>
    <w:rsid w:val="00941CCE"/>
    <w:rsid w:val="00942033"/>
    <w:rsid w:val="009424AC"/>
    <w:rsid w:val="009434C6"/>
    <w:rsid w:val="009434E0"/>
    <w:rsid w:val="00943682"/>
    <w:rsid w:val="0094569A"/>
    <w:rsid w:val="009468E3"/>
    <w:rsid w:val="00946DF9"/>
    <w:rsid w:val="009474EC"/>
    <w:rsid w:val="009477BE"/>
    <w:rsid w:val="00950F84"/>
    <w:rsid w:val="0095110A"/>
    <w:rsid w:val="00952187"/>
    <w:rsid w:val="00952E69"/>
    <w:rsid w:val="00952EC0"/>
    <w:rsid w:val="00953CE2"/>
    <w:rsid w:val="00953EFA"/>
    <w:rsid w:val="009542D9"/>
    <w:rsid w:val="009542DC"/>
    <w:rsid w:val="009547B7"/>
    <w:rsid w:val="00954971"/>
    <w:rsid w:val="009552E3"/>
    <w:rsid w:val="00956293"/>
    <w:rsid w:val="009565E4"/>
    <w:rsid w:val="00957698"/>
    <w:rsid w:val="009608E7"/>
    <w:rsid w:val="00960FF7"/>
    <w:rsid w:val="0096149B"/>
    <w:rsid w:val="00962D49"/>
    <w:rsid w:val="009630B7"/>
    <w:rsid w:val="00963A35"/>
    <w:rsid w:val="00963B4F"/>
    <w:rsid w:val="00964C38"/>
    <w:rsid w:val="00965B78"/>
    <w:rsid w:val="00966624"/>
    <w:rsid w:val="00966CAA"/>
    <w:rsid w:val="00966D9D"/>
    <w:rsid w:val="00966E3E"/>
    <w:rsid w:val="009678DD"/>
    <w:rsid w:val="00967AAB"/>
    <w:rsid w:val="00967F05"/>
    <w:rsid w:val="009707D7"/>
    <w:rsid w:val="00970843"/>
    <w:rsid w:val="00971177"/>
    <w:rsid w:val="009714EA"/>
    <w:rsid w:val="00971898"/>
    <w:rsid w:val="0097209B"/>
    <w:rsid w:val="00972F42"/>
    <w:rsid w:val="00973049"/>
    <w:rsid w:val="00974112"/>
    <w:rsid w:val="009741CD"/>
    <w:rsid w:val="00974620"/>
    <w:rsid w:val="009748EE"/>
    <w:rsid w:val="00974C7D"/>
    <w:rsid w:val="00975823"/>
    <w:rsid w:val="00975D61"/>
    <w:rsid w:val="00975F22"/>
    <w:rsid w:val="00976650"/>
    <w:rsid w:val="009766B0"/>
    <w:rsid w:val="0097677F"/>
    <w:rsid w:val="009803C3"/>
    <w:rsid w:val="00980716"/>
    <w:rsid w:val="00980B6F"/>
    <w:rsid w:val="009811A0"/>
    <w:rsid w:val="0098270B"/>
    <w:rsid w:val="0098289D"/>
    <w:rsid w:val="00982B1F"/>
    <w:rsid w:val="009830BD"/>
    <w:rsid w:val="00983E8F"/>
    <w:rsid w:val="00984408"/>
    <w:rsid w:val="0098564E"/>
    <w:rsid w:val="00985A3D"/>
    <w:rsid w:val="00985E74"/>
    <w:rsid w:val="00987338"/>
    <w:rsid w:val="00987EF4"/>
    <w:rsid w:val="00990254"/>
    <w:rsid w:val="009907CE"/>
    <w:rsid w:val="009907F5"/>
    <w:rsid w:val="0099132D"/>
    <w:rsid w:val="00991507"/>
    <w:rsid w:val="00991D42"/>
    <w:rsid w:val="009920DF"/>
    <w:rsid w:val="00992575"/>
    <w:rsid w:val="009929C3"/>
    <w:rsid w:val="00992D99"/>
    <w:rsid w:val="009930DF"/>
    <w:rsid w:val="009933E5"/>
    <w:rsid w:val="009938AC"/>
    <w:rsid w:val="00993C19"/>
    <w:rsid w:val="00994026"/>
    <w:rsid w:val="00994088"/>
    <w:rsid w:val="00994A91"/>
    <w:rsid w:val="00994F61"/>
    <w:rsid w:val="00995491"/>
    <w:rsid w:val="00995B68"/>
    <w:rsid w:val="00995C84"/>
    <w:rsid w:val="00997B78"/>
    <w:rsid w:val="00997EFE"/>
    <w:rsid w:val="009A03F3"/>
    <w:rsid w:val="009A1958"/>
    <w:rsid w:val="009A2A1B"/>
    <w:rsid w:val="009A2F90"/>
    <w:rsid w:val="009A3537"/>
    <w:rsid w:val="009A41CF"/>
    <w:rsid w:val="009A52E3"/>
    <w:rsid w:val="009A5771"/>
    <w:rsid w:val="009A582D"/>
    <w:rsid w:val="009A63B0"/>
    <w:rsid w:val="009A6C9C"/>
    <w:rsid w:val="009A6D10"/>
    <w:rsid w:val="009A6D6A"/>
    <w:rsid w:val="009A7865"/>
    <w:rsid w:val="009A78C2"/>
    <w:rsid w:val="009A79D2"/>
    <w:rsid w:val="009B0866"/>
    <w:rsid w:val="009B1824"/>
    <w:rsid w:val="009B1CD9"/>
    <w:rsid w:val="009B23EB"/>
    <w:rsid w:val="009B2C44"/>
    <w:rsid w:val="009B3553"/>
    <w:rsid w:val="009B3893"/>
    <w:rsid w:val="009B4564"/>
    <w:rsid w:val="009B461B"/>
    <w:rsid w:val="009B5410"/>
    <w:rsid w:val="009B5BF6"/>
    <w:rsid w:val="009B64A5"/>
    <w:rsid w:val="009B6C57"/>
    <w:rsid w:val="009B6DA8"/>
    <w:rsid w:val="009B6DB0"/>
    <w:rsid w:val="009B7931"/>
    <w:rsid w:val="009B7BCA"/>
    <w:rsid w:val="009C05CC"/>
    <w:rsid w:val="009C0A6D"/>
    <w:rsid w:val="009C16BA"/>
    <w:rsid w:val="009C1803"/>
    <w:rsid w:val="009C1949"/>
    <w:rsid w:val="009C1C84"/>
    <w:rsid w:val="009C23EE"/>
    <w:rsid w:val="009C27C9"/>
    <w:rsid w:val="009C2F5A"/>
    <w:rsid w:val="009C3EEB"/>
    <w:rsid w:val="009C3EF8"/>
    <w:rsid w:val="009C4B4F"/>
    <w:rsid w:val="009C4DDC"/>
    <w:rsid w:val="009C54E3"/>
    <w:rsid w:val="009C65AE"/>
    <w:rsid w:val="009C6E9B"/>
    <w:rsid w:val="009C7A43"/>
    <w:rsid w:val="009D074D"/>
    <w:rsid w:val="009D1272"/>
    <w:rsid w:val="009D1D44"/>
    <w:rsid w:val="009D2471"/>
    <w:rsid w:val="009D3ECB"/>
    <w:rsid w:val="009D4A25"/>
    <w:rsid w:val="009D4BEE"/>
    <w:rsid w:val="009D5288"/>
    <w:rsid w:val="009D5756"/>
    <w:rsid w:val="009D625F"/>
    <w:rsid w:val="009D6713"/>
    <w:rsid w:val="009D6A98"/>
    <w:rsid w:val="009D759A"/>
    <w:rsid w:val="009D7D97"/>
    <w:rsid w:val="009E0A56"/>
    <w:rsid w:val="009E1BB9"/>
    <w:rsid w:val="009E335F"/>
    <w:rsid w:val="009E3569"/>
    <w:rsid w:val="009E359B"/>
    <w:rsid w:val="009E37D2"/>
    <w:rsid w:val="009E3A98"/>
    <w:rsid w:val="009E48E1"/>
    <w:rsid w:val="009E517C"/>
    <w:rsid w:val="009E5E3C"/>
    <w:rsid w:val="009E6411"/>
    <w:rsid w:val="009E6D21"/>
    <w:rsid w:val="009E6ED0"/>
    <w:rsid w:val="009E7111"/>
    <w:rsid w:val="009E7798"/>
    <w:rsid w:val="009E7EF1"/>
    <w:rsid w:val="009F13E0"/>
    <w:rsid w:val="009F1EAE"/>
    <w:rsid w:val="009F1F77"/>
    <w:rsid w:val="009F3251"/>
    <w:rsid w:val="009F360A"/>
    <w:rsid w:val="009F36D5"/>
    <w:rsid w:val="009F4A38"/>
    <w:rsid w:val="009F4D5C"/>
    <w:rsid w:val="009F5F28"/>
    <w:rsid w:val="009F6343"/>
    <w:rsid w:val="009F6BD3"/>
    <w:rsid w:val="009F7108"/>
    <w:rsid w:val="009F7441"/>
    <w:rsid w:val="009F768D"/>
    <w:rsid w:val="00A00FF9"/>
    <w:rsid w:val="00A02442"/>
    <w:rsid w:val="00A0247E"/>
    <w:rsid w:val="00A028CB"/>
    <w:rsid w:val="00A02B6E"/>
    <w:rsid w:val="00A03EDE"/>
    <w:rsid w:val="00A04026"/>
    <w:rsid w:val="00A04716"/>
    <w:rsid w:val="00A04A47"/>
    <w:rsid w:val="00A04B9C"/>
    <w:rsid w:val="00A04CC8"/>
    <w:rsid w:val="00A057B3"/>
    <w:rsid w:val="00A05B5F"/>
    <w:rsid w:val="00A05EFC"/>
    <w:rsid w:val="00A0661D"/>
    <w:rsid w:val="00A06A1F"/>
    <w:rsid w:val="00A0748A"/>
    <w:rsid w:val="00A076DA"/>
    <w:rsid w:val="00A07CD0"/>
    <w:rsid w:val="00A11651"/>
    <w:rsid w:val="00A11D54"/>
    <w:rsid w:val="00A127E6"/>
    <w:rsid w:val="00A13547"/>
    <w:rsid w:val="00A13B0E"/>
    <w:rsid w:val="00A1402A"/>
    <w:rsid w:val="00A141C0"/>
    <w:rsid w:val="00A145E4"/>
    <w:rsid w:val="00A14B59"/>
    <w:rsid w:val="00A157D0"/>
    <w:rsid w:val="00A15B1B"/>
    <w:rsid w:val="00A15B5D"/>
    <w:rsid w:val="00A15B98"/>
    <w:rsid w:val="00A1657B"/>
    <w:rsid w:val="00A16D21"/>
    <w:rsid w:val="00A16D4A"/>
    <w:rsid w:val="00A1720F"/>
    <w:rsid w:val="00A2069F"/>
    <w:rsid w:val="00A2138C"/>
    <w:rsid w:val="00A21B2E"/>
    <w:rsid w:val="00A21EE8"/>
    <w:rsid w:val="00A2246B"/>
    <w:rsid w:val="00A225CC"/>
    <w:rsid w:val="00A22B1D"/>
    <w:rsid w:val="00A23773"/>
    <w:rsid w:val="00A2393D"/>
    <w:rsid w:val="00A23D2D"/>
    <w:rsid w:val="00A2404D"/>
    <w:rsid w:val="00A240A5"/>
    <w:rsid w:val="00A2490B"/>
    <w:rsid w:val="00A24E5C"/>
    <w:rsid w:val="00A25CFF"/>
    <w:rsid w:val="00A2624D"/>
    <w:rsid w:val="00A26E84"/>
    <w:rsid w:val="00A27093"/>
    <w:rsid w:val="00A27D85"/>
    <w:rsid w:val="00A3123E"/>
    <w:rsid w:val="00A31C13"/>
    <w:rsid w:val="00A322AA"/>
    <w:rsid w:val="00A331B6"/>
    <w:rsid w:val="00A337C2"/>
    <w:rsid w:val="00A33AC1"/>
    <w:rsid w:val="00A35292"/>
    <w:rsid w:val="00A36732"/>
    <w:rsid w:val="00A36812"/>
    <w:rsid w:val="00A369EB"/>
    <w:rsid w:val="00A36D86"/>
    <w:rsid w:val="00A36D9D"/>
    <w:rsid w:val="00A36EA7"/>
    <w:rsid w:val="00A37263"/>
    <w:rsid w:val="00A379BC"/>
    <w:rsid w:val="00A40881"/>
    <w:rsid w:val="00A4189E"/>
    <w:rsid w:val="00A41AFC"/>
    <w:rsid w:val="00A41DE5"/>
    <w:rsid w:val="00A42151"/>
    <w:rsid w:val="00A4217D"/>
    <w:rsid w:val="00A426FC"/>
    <w:rsid w:val="00A428A9"/>
    <w:rsid w:val="00A42AA9"/>
    <w:rsid w:val="00A42AE1"/>
    <w:rsid w:val="00A43589"/>
    <w:rsid w:val="00A44656"/>
    <w:rsid w:val="00A4506F"/>
    <w:rsid w:val="00A45B6F"/>
    <w:rsid w:val="00A466B3"/>
    <w:rsid w:val="00A468D8"/>
    <w:rsid w:val="00A470AD"/>
    <w:rsid w:val="00A478B1"/>
    <w:rsid w:val="00A50003"/>
    <w:rsid w:val="00A50FD2"/>
    <w:rsid w:val="00A51023"/>
    <w:rsid w:val="00A51284"/>
    <w:rsid w:val="00A51982"/>
    <w:rsid w:val="00A51CB7"/>
    <w:rsid w:val="00A51D5E"/>
    <w:rsid w:val="00A5256A"/>
    <w:rsid w:val="00A52FDE"/>
    <w:rsid w:val="00A53C0D"/>
    <w:rsid w:val="00A54E40"/>
    <w:rsid w:val="00A552F3"/>
    <w:rsid w:val="00A5572C"/>
    <w:rsid w:val="00A55839"/>
    <w:rsid w:val="00A55888"/>
    <w:rsid w:val="00A55903"/>
    <w:rsid w:val="00A56921"/>
    <w:rsid w:val="00A57075"/>
    <w:rsid w:val="00A5708D"/>
    <w:rsid w:val="00A578DC"/>
    <w:rsid w:val="00A600BB"/>
    <w:rsid w:val="00A601AE"/>
    <w:rsid w:val="00A60577"/>
    <w:rsid w:val="00A60669"/>
    <w:rsid w:val="00A60E19"/>
    <w:rsid w:val="00A610D8"/>
    <w:rsid w:val="00A614E5"/>
    <w:rsid w:val="00A614F0"/>
    <w:rsid w:val="00A623F7"/>
    <w:rsid w:val="00A62C07"/>
    <w:rsid w:val="00A62F6A"/>
    <w:rsid w:val="00A62FE2"/>
    <w:rsid w:val="00A63F1F"/>
    <w:rsid w:val="00A646AC"/>
    <w:rsid w:val="00A64D23"/>
    <w:rsid w:val="00A65155"/>
    <w:rsid w:val="00A65620"/>
    <w:rsid w:val="00A65FD8"/>
    <w:rsid w:val="00A66131"/>
    <w:rsid w:val="00A67201"/>
    <w:rsid w:val="00A67306"/>
    <w:rsid w:val="00A67808"/>
    <w:rsid w:val="00A67A6A"/>
    <w:rsid w:val="00A71E83"/>
    <w:rsid w:val="00A71FF2"/>
    <w:rsid w:val="00A72C2B"/>
    <w:rsid w:val="00A72F97"/>
    <w:rsid w:val="00A734AE"/>
    <w:rsid w:val="00A73806"/>
    <w:rsid w:val="00A73B63"/>
    <w:rsid w:val="00A73C6C"/>
    <w:rsid w:val="00A73CAA"/>
    <w:rsid w:val="00A73F1B"/>
    <w:rsid w:val="00A73F22"/>
    <w:rsid w:val="00A75094"/>
    <w:rsid w:val="00A75489"/>
    <w:rsid w:val="00A758E4"/>
    <w:rsid w:val="00A75D15"/>
    <w:rsid w:val="00A7689A"/>
    <w:rsid w:val="00A76B10"/>
    <w:rsid w:val="00A76C63"/>
    <w:rsid w:val="00A7750F"/>
    <w:rsid w:val="00A800A8"/>
    <w:rsid w:val="00A8036E"/>
    <w:rsid w:val="00A80706"/>
    <w:rsid w:val="00A80DDA"/>
    <w:rsid w:val="00A80ED8"/>
    <w:rsid w:val="00A80EFB"/>
    <w:rsid w:val="00A81854"/>
    <w:rsid w:val="00A8331C"/>
    <w:rsid w:val="00A84728"/>
    <w:rsid w:val="00A8475B"/>
    <w:rsid w:val="00A84D27"/>
    <w:rsid w:val="00A84FF1"/>
    <w:rsid w:val="00A864E1"/>
    <w:rsid w:val="00A86AB7"/>
    <w:rsid w:val="00A90015"/>
    <w:rsid w:val="00A90A24"/>
    <w:rsid w:val="00A91A96"/>
    <w:rsid w:val="00A92934"/>
    <w:rsid w:val="00A92C8C"/>
    <w:rsid w:val="00A93D4A"/>
    <w:rsid w:val="00A93E82"/>
    <w:rsid w:val="00A94B3B"/>
    <w:rsid w:val="00A9520F"/>
    <w:rsid w:val="00A95AE7"/>
    <w:rsid w:val="00A95DD1"/>
    <w:rsid w:val="00A969BC"/>
    <w:rsid w:val="00A96E58"/>
    <w:rsid w:val="00A96E87"/>
    <w:rsid w:val="00AA190A"/>
    <w:rsid w:val="00AA1F18"/>
    <w:rsid w:val="00AA2027"/>
    <w:rsid w:val="00AA290C"/>
    <w:rsid w:val="00AA30CC"/>
    <w:rsid w:val="00AA3598"/>
    <w:rsid w:val="00AA35A7"/>
    <w:rsid w:val="00AA3776"/>
    <w:rsid w:val="00AA3BF3"/>
    <w:rsid w:val="00AA4003"/>
    <w:rsid w:val="00AA41AC"/>
    <w:rsid w:val="00AA49C9"/>
    <w:rsid w:val="00AA546E"/>
    <w:rsid w:val="00AA5AD6"/>
    <w:rsid w:val="00AA6219"/>
    <w:rsid w:val="00AA62F7"/>
    <w:rsid w:val="00AA64E4"/>
    <w:rsid w:val="00AA674A"/>
    <w:rsid w:val="00AA6B21"/>
    <w:rsid w:val="00AA6E0C"/>
    <w:rsid w:val="00AA7E16"/>
    <w:rsid w:val="00AB057F"/>
    <w:rsid w:val="00AB060D"/>
    <w:rsid w:val="00AB0ADE"/>
    <w:rsid w:val="00AB0DEF"/>
    <w:rsid w:val="00AB1053"/>
    <w:rsid w:val="00AB1CFF"/>
    <w:rsid w:val="00AB2B62"/>
    <w:rsid w:val="00AB30E8"/>
    <w:rsid w:val="00AB332C"/>
    <w:rsid w:val="00AB3A23"/>
    <w:rsid w:val="00AB3F82"/>
    <w:rsid w:val="00AB4403"/>
    <w:rsid w:val="00AB4A22"/>
    <w:rsid w:val="00AB4A6D"/>
    <w:rsid w:val="00AB651C"/>
    <w:rsid w:val="00AB69D8"/>
    <w:rsid w:val="00AB6DC6"/>
    <w:rsid w:val="00AC0706"/>
    <w:rsid w:val="00AC0F6D"/>
    <w:rsid w:val="00AC0F8F"/>
    <w:rsid w:val="00AC1E16"/>
    <w:rsid w:val="00AC26B2"/>
    <w:rsid w:val="00AC2B78"/>
    <w:rsid w:val="00AC3980"/>
    <w:rsid w:val="00AC3F53"/>
    <w:rsid w:val="00AC54C8"/>
    <w:rsid w:val="00AC5747"/>
    <w:rsid w:val="00AC57C1"/>
    <w:rsid w:val="00AC644F"/>
    <w:rsid w:val="00AC645D"/>
    <w:rsid w:val="00AC696F"/>
    <w:rsid w:val="00AC6ECB"/>
    <w:rsid w:val="00AC6F43"/>
    <w:rsid w:val="00AC747E"/>
    <w:rsid w:val="00AC76E8"/>
    <w:rsid w:val="00AC77D1"/>
    <w:rsid w:val="00AC78CC"/>
    <w:rsid w:val="00AC7956"/>
    <w:rsid w:val="00AD05EF"/>
    <w:rsid w:val="00AD06E9"/>
    <w:rsid w:val="00AD13EF"/>
    <w:rsid w:val="00AD1486"/>
    <w:rsid w:val="00AD1A9E"/>
    <w:rsid w:val="00AD1ABF"/>
    <w:rsid w:val="00AD1C90"/>
    <w:rsid w:val="00AD20CB"/>
    <w:rsid w:val="00AD237E"/>
    <w:rsid w:val="00AD266D"/>
    <w:rsid w:val="00AD2674"/>
    <w:rsid w:val="00AD27BD"/>
    <w:rsid w:val="00AD3D03"/>
    <w:rsid w:val="00AD3F35"/>
    <w:rsid w:val="00AD4593"/>
    <w:rsid w:val="00AD51CE"/>
    <w:rsid w:val="00AD5D0D"/>
    <w:rsid w:val="00AD6057"/>
    <w:rsid w:val="00AD6D98"/>
    <w:rsid w:val="00AD7A3D"/>
    <w:rsid w:val="00AD7EEF"/>
    <w:rsid w:val="00AE18D4"/>
    <w:rsid w:val="00AE216C"/>
    <w:rsid w:val="00AE2656"/>
    <w:rsid w:val="00AE28E1"/>
    <w:rsid w:val="00AE3253"/>
    <w:rsid w:val="00AE3337"/>
    <w:rsid w:val="00AE33E2"/>
    <w:rsid w:val="00AE34A3"/>
    <w:rsid w:val="00AE3BA2"/>
    <w:rsid w:val="00AE3D24"/>
    <w:rsid w:val="00AE3DB2"/>
    <w:rsid w:val="00AE4230"/>
    <w:rsid w:val="00AE4CBD"/>
    <w:rsid w:val="00AE5152"/>
    <w:rsid w:val="00AE61A9"/>
    <w:rsid w:val="00AE6D57"/>
    <w:rsid w:val="00AE7307"/>
    <w:rsid w:val="00AE7905"/>
    <w:rsid w:val="00AF02E4"/>
    <w:rsid w:val="00AF17B0"/>
    <w:rsid w:val="00AF1AA5"/>
    <w:rsid w:val="00AF22AC"/>
    <w:rsid w:val="00AF25A6"/>
    <w:rsid w:val="00AF28A0"/>
    <w:rsid w:val="00AF3123"/>
    <w:rsid w:val="00AF4EA5"/>
    <w:rsid w:val="00AF4EFB"/>
    <w:rsid w:val="00AF559A"/>
    <w:rsid w:val="00AF578B"/>
    <w:rsid w:val="00AF5A27"/>
    <w:rsid w:val="00AF6D3D"/>
    <w:rsid w:val="00AF732C"/>
    <w:rsid w:val="00B00985"/>
    <w:rsid w:val="00B022C3"/>
    <w:rsid w:val="00B023F3"/>
    <w:rsid w:val="00B024EC"/>
    <w:rsid w:val="00B0254D"/>
    <w:rsid w:val="00B02BB9"/>
    <w:rsid w:val="00B03077"/>
    <w:rsid w:val="00B03149"/>
    <w:rsid w:val="00B03388"/>
    <w:rsid w:val="00B03A8C"/>
    <w:rsid w:val="00B03CD3"/>
    <w:rsid w:val="00B05465"/>
    <w:rsid w:val="00B058EC"/>
    <w:rsid w:val="00B05FA1"/>
    <w:rsid w:val="00B06B4E"/>
    <w:rsid w:val="00B10168"/>
    <w:rsid w:val="00B10A34"/>
    <w:rsid w:val="00B10B08"/>
    <w:rsid w:val="00B11878"/>
    <w:rsid w:val="00B1192F"/>
    <w:rsid w:val="00B11F4D"/>
    <w:rsid w:val="00B124D7"/>
    <w:rsid w:val="00B12FDF"/>
    <w:rsid w:val="00B135FE"/>
    <w:rsid w:val="00B1395C"/>
    <w:rsid w:val="00B14154"/>
    <w:rsid w:val="00B146D1"/>
    <w:rsid w:val="00B14A3D"/>
    <w:rsid w:val="00B15192"/>
    <w:rsid w:val="00B15572"/>
    <w:rsid w:val="00B16BBE"/>
    <w:rsid w:val="00B20B65"/>
    <w:rsid w:val="00B21458"/>
    <w:rsid w:val="00B2198D"/>
    <w:rsid w:val="00B21C43"/>
    <w:rsid w:val="00B21D3E"/>
    <w:rsid w:val="00B21DCA"/>
    <w:rsid w:val="00B21E4E"/>
    <w:rsid w:val="00B23C24"/>
    <w:rsid w:val="00B23D79"/>
    <w:rsid w:val="00B2415E"/>
    <w:rsid w:val="00B242A5"/>
    <w:rsid w:val="00B24676"/>
    <w:rsid w:val="00B24B5C"/>
    <w:rsid w:val="00B251E8"/>
    <w:rsid w:val="00B26ABA"/>
    <w:rsid w:val="00B26C4D"/>
    <w:rsid w:val="00B27844"/>
    <w:rsid w:val="00B27B63"/>
    <w:rsid w:val="00B27C92"/>
    <w:rsid w:val="00B317C1"/>
    <w:rsid w:val="00B31BA1"/>
    <w:rsid w:val="00B31BDF"/>
    <w:rsid w:val="00B31C3F"/>
    <w:rsid w:val="00B32934"/>
    <w:rsid w:val="00B32C11"/>
    <w:rsid w:val="00B333D7"/>
    <w:rsid w:val="00B33535"/>
    <w:rsid w:val="00B33581"/>
    <w:rsid w:val="00B3400D"/>
    <w:rsid w:val="00B34802"/>
    <w:rsid w:val="00B35E40"/>
    <w:rsid w:val="00B3603C"/>
    <w:rsid w:val="00B36E98"/>
    <w:rsid w:val="00B3705B"/>
    <w:rsid w:val="00B37375"/>
    <w:rsid w:val="00B37708"/>
    <w:rsid w:val="00B40012"/>
    <w:rsid w:val="00B40883"/>
    <w:rsid w:val="00B41191"/>
    <w:rsid w:val="00B414FB"/>
    <w:rsid w:val="00B416F5"/>
    <w:rsid w:val="00B42B03"/>
    <w:rsid w:val="00B4392E"/>
    <w:rsid w:val="00B44888"/>
    <w:rsid w:val="00B44C23"/>
    <w:rsid w:val="00B44FE4"/>
    <w:rsid w:val="00B4507C"/>
    <w:rsid w:val="00B45828"/>
    <w:rsid w:val="00B45D60"/>
    <w:rsid w:val="00B4640C"/>
    <w:rsid w:val="00B464CC"/>
    <w:rsid w:val="00B47D85"/>
    <w:rsid w:val="00B50652"/>
    <w:rsid w:val="00B50D42"/>
    <w:rsid w:val="00B50FC3"/>
    <w:rsid w:val="00B5178E"/>
    <w:rsid w:val="00B51C8B"/>
    <w:rsid w:val="00B52302"/>
    <w:rsid w:val="00B5291F"/>
    <w:rsid w:val="00B52C70"/>
    <w:rsid w:val="00B5309F"/>
    <w:rsid w:val="00B531EC"/>
    <w:rsid w:val="00B533FC"/>
    <w:rsid w:val="00B53DC5"/>
    <w:rsid w:val="00B53FCA"/>
    <w:rsid w:val="00B54B62"/>
    <w:rsid w:val="00B55A5B"/>
    <w:rsid w:val="00B55BB9"/>
    <w:rsid w:val="00B5616A"/>
    <w:rsid w:val="00B56764"/>
    <w:rsid w:val="00B607A3"/>
    <w:rsid w:val="00B60967"/>
    <w:rsid w:val="00B60CDC"/>
    <w:rsid w:val="00B611E4"/>
    <w:rsid w:val="00B616A6"/>
    <w:rsid w:val="00B6203F"/>
    <w:rsid w:val="00B62368"/>
    <w:rsid w:val="00B62E54"/>
    <w:rsid w:val="00B631E4"/>
    <w:rsid w:val="00B63448"/>
    <w:rsid w:val="00B63558"/>
    <w:rsid w:val="00B65370"/>
    <w:rsid w:val="00B66209"/>
    <w:rsid w:val="00B664B8"/>
    <w:rsid w:val="00B6777B"/>
    <w:rsid w:val="00B677F1"/>
    <w:rsid w:val="00B67B58"/>
    <w:rsid w:val="00B70195"/>
    <w:rsid w:val="00B70DC1"/>
    <w:rsid w:val="00B7112C"/>
    <w:rsid w:val="00B71255"/>
    <w:rsid w:val="00B71EAC"/>
    <w:rsid w:val="00B731C8"/>
    <w:rsid w:val="00B73490"/>
    <w:rsid w:val="00B7458E"/>
    <w:rsid w:val="00B75B89"/>
    <w:rsid w:val="00B766BC"/>
    <w:rsid w:val="00B766D8"/>
    <w:rsid w:val="00B76802"/>
    <w:rsid w:val="00B76D36"/>
    <w:rsid w:val="00B77A3E"/>
    <w:rsid w:val="00B77B4B"/>
    <w:rsid w:val="00B77BFE"/>
    <w:rsid w:val="00B81F56"/>
    <w:rsid w:val="00B824F6"/>
    <w:rsid w:val="00B83704"/>
    <w:rsid w:val="00B84235"/>
    <w:rsid w:val="00B84678"/>
    <w:rsid w:val="00B8507E"/>
    <w:rsid w:val="00B8586E"/>
    <w:rsid w:val="00B85BCA"/>
    <w:rsid w:val="00B902E3"/>
    <w:rsid w:val="00B923DF"/>
    <w:rsid w:val="00B92402"/>
    <w:rsid w:val="00B92530"/>
    <w:rsid w:val="00B9295E"/>
    <w:rsid w:val="00B92AFB"/>
    <w:rsid w:val="00B9301A"/>
    <w:rsid w:val="00B9337C"/>
    <w:rsid w:val="00B93882"/>
    <w:rsid w:val="00B93C23"/>
    <w:rsid w:val="00B94792"/>
    <w:rsid w:val="00B94BC4"/>
    <w:rsid w:val="00B94BEF"/>
    <w:rsid w:val="00B94D6B"/>
    <w:rsid w:val="00B95146"/>
    <w:rsid w:val="00B95CCF"/>
    <w:rsid w:val="00B9682F"/>
    <w:rsid w:val="00B96E85"/>
    <w:rsid w:val="00B96F08"/>
    <w:rsid w:val="00B97544"/>
    <w:rsid w:val="00B97C5E"/>
    <w:rsid w:val="00B97FE5"/>
    <w:rsid w:val="00BA1789"/>
    <w:rsid w:val="00BA29A9"/>
    <w:rsid w:val="00BA45A7"/>
    <w:rsid w:val="00BA672E"/>
    <w:rsid w:val="00BA6A3E"/>
    <w:rsid w:val="00BA70DD"/>
    <w:rsid w:val="00BA7566"/>
    <w:rsid w:val="00BB0192"/>
    <w:rsid w:val="00BB0225"/>
    <w:rsid w:val="00BB03EA"/>
    <w:rsid w:val="00BB08AD"/>
    <w:rsid w:val="00BB0E3E"/>
    <w:rsid w:val="00BB1314"/>
    <w:rsid w:val="00BB19FB"/>
    <w:rsid w:val="00BB1C95"/>
    <w:rsid w:val="00BB2202"/>
    <w:rsid w:val="00BB2CF4"/>
    <w:rsid w:val="00BB2D77"/>
    <w:rsid w:val="00BB320B"/>
    <w:rsid w:val="00BB32F0"/>
    <w:rsid w:val="00BB3B81"/>
    <w:rsid w:val="00BB3D26"/>
    <w:rsid w:val="00BB439A"/>
    <w:rsid w:val="00BB4BA1"/>
    <w:rsid w:val="00BB6669"/>
    <w:rsid w:val="00BB6906"/>
    <w:rsid w:val="00BB6A68"/>
    <w:rsid w:val="00BB7483"/>
    <w:rsid w:val="00BB7EB7"/>
    <w:rsid w:val="00BC04CE"/>
    <w:rsid w:val="00BC061F"/>
    <w:rsid w:val="00BC0827"/>
    <w:rsid w:val="00BC0E02"/>
    <w:rsid w:val="00BC1132"/>
    <w:rsid w:val="00BC1367"/>
    <w:rsid w:val="00BC27E9"/>
    <w:rsid w:val="00BC29C8"/>
    <w:rsid w:val="00BC2BE0"/>
    <w:rsid w:val="00BC3498"/>
    <w:rsid w:val="00BC366C"/>
    <w:rsid w:val="00BC447C"/>
    <w:rsid w:val="00BC4D6E"/>
    <w:rsid w:val="00BC4FE9"/>
    <w:rsid w:val="00BC577E"/>
    <w:rsid w:val="00BC5837"/>
    <w:rsid w:val="00BC5933"/>
    <w:rsid w:val="00BC5FDB"/>
    <w:rsid w:val="00BC61F4"/>
    <w:rsid w:val="00BC6F41"/>
    <w:rsid w:val="00BC7474"/>
    <w:rsid w:val="00BC78BF"/>
    <w:rsid w:val="00BC7B89"/>
    <w:rsid w:val="00BC7F15"/>
    <w:rsid w:val="00BD00D8"/>
    <w:rsid w:val="00BD0713"/>
    <w:rsid w:val="00BD0C32"/>
    <w:rsid w:val="00BD185F"/>
    <w:rsid w:val="00BD1E4B"/>
    <w:rsid w:val="00BD2F65"/>
    <w:rsid w:val="00BD3044"/>
    <w:rsid w:val="00BD3654"/>
    <w:rsid w:val="00BD3795"/>
    <w:rsid w:val="00BD4AAD"/>
    <w:rsid w:val="00BD4F18"/>
    <w:rsid w:val="00BD50F2"/>
    <w:rsid w:val="00BD5A41"/>
    <w:rsid w:val="00BD5FF9"/>
    <w:rsid w:val="00BD7C7C"/>
    <w:rsid w:val="00BE11C1"/>
    <w:rsid w:val="00BE17D4"/>
    <w:rsid w:val="00BE1E54"/>
    <w:rsid w:val="00BE25C7"/>
    <w:rsid w:val="00BE2601"/>
    <w:rsid w:val="00BE329D"/>
    <w:rsid w:val="00BE3662"/>
    <w:rsid w:val="00BE4CDE"/>
    <w:rsid w:val="00BE5085"/>
    <w:rsid w:val="00BE5432"/>
    <w:rsid w:val="00BE5BBD"/>
    <w:rsid w:val="00BE5D40"/>
    <w:rsid w:val="00BE6D8A"/>
    <w:rsid w:val="00BE7472"/>
    <w:rsid w:val="00BE7AC5"/>
    <w:rsid w:val="00BF0204"/>
    <w:rsid w:val="00BF06B1"/>
    <w:rsid w:val="00BF0C05"/>
    <w:rsid w:val="00BF10E2"/>
    <w:rsid w:val="00BF19F5"/>
    <w:rsid w:val="00BF1D8C"/>
    <w:rsid w:val="00BF22A8"/>
    <w:rsid w:val="00BF290F"/>
    <w:rsid w:val="00BF32EB"/>
    <w:rsid w:val="00BF3FF0"/>
    <w:rsid w:val="00BF4726"/>
    <w:rsid w:val="00BF5AE9"/>
    <w:rsid w:val="00BF5F8A"/>
    <w:rsid w:val="00BF6B93"/>
    <w:rsid w:val="00BF7109"/>
    <w:rsid w:val="00BF784D"/>
    <w:rsid w:val="00BF79E3"/>
    <w:rsid w:val="00C00621"/>
    <w:rsid w:val="00C00672"/>
    <w:rsid w:val="00C00BAA"/>
    <w:rsid w:val="00C00EBF"/>
    <w:rsid w:val="00C0119B"/>
    <w:rsid w:val="00C0182B"/>
    <w:rsid w:val="00C02471"/>
    <w:rsid w:val="00C024DD"/>
    <w:rsid w:val="00C02D65"/>
    <w:rsid w:val="00C0322A"/>
    <w:rsid w:val="00C03EEB"/>
    <w:rsid w:val="00C03FF6"/>
    <w:rsid w:val="00C042AB"/>
    <w:rsid w:val="00C04326"/>
    <w:rsid w:val="00C04736"/>
    <w:rsid w:val="00C05730"/>
    <w:rsid w:val="00C058E8"/>
    <w:rsid w:val="00C05ED3"/>
    <w:rsid w:val="00C05F7E"/>
    <w:rsid w:val="00C061F5"/>
    <w:rsid w:val="00C06430"/>
    <w:rsid w:val="00C065E0"/>
    <w:rsid w:val="00C06895"/>
    <w:rsid w:val="00C06F2E"/>
    <w:rsid w:val="00C07793"/>
    <w:rsid w:val="00C100B8"/>
    <w:rsid w:val="00C11DA6"/>
    <w:rsid w:val="00C11DFB"/>
    <w:rsid w:val="00C11FEF"/>
    <w:rsid w:val="00C12380"/>
    <w:rsid w:val="00C127D5"/>
    <w:rsid w:val="00C12F9B"/>
    <w:rsid w:val="00C1302F"/>
    <w:rsid w:val="00C136AC"/>
    <w:rsid w:val="00C1394A"/>
    <w:rsid w:val="00C139F0"/>
    <w:rsid w:val="00C13EA5"/>
    <w:rsid w:val="00C14B11"/>
    <w:rsid w:val="00C14BE4"/>
    <w:rsid w:val="00C14D1D"/>
    <w:rsid w:val="00C14F16"/>
    <w:rsid w:val="00C14FE6"/>
    <w:rsid w:val="00C152D7"/>
    <w:rsid w:val="00C15FC4"/>
    <w:rsid w:val="00C17117"/>
    <w:rsid w:val="00C1754A"/>
    <w:rsid w:val="00C17776"/>
    <w:rsid w:val="00C17DA4"/>
    <w:rsid w:val="00C200F2"/>
    <w:rsid w:val="00C20D46"/>
    <w:rsid w:val="00C228AF"/>
    <w:rsid w:val="00C23026"/>
    <w:rsid w:val="00C231A7"/>
    <w:rsid w:val="00C2341A"/>
    <w:rsid w:val="00C23AA8"/>
    <w:rsid w:val="00C248EA"/>
    <w:rsid w:val="00C24DB7"/>
    <w:rsid w:val="00C26606"/>
    <w:rsid w:val="00C26827"/>
    <w:rsid w:val="00C2794D"/>
    <w:rsid w:val="00C27F3B"/>
    <w:rsid w:val="00C306F7"/>
    <w:rsid w:val="00C30B14"/>
    <w:rsid w:val="00C31D15"/>
    <w:rsid w:val="00C322F1"/>
    <w:rsid w:val="00C32D17"/>
    <w:rsid w:val="00C3353A"/>
    <w:rsid w:val="00C3356A"/>
    <w:rsid w:val="00C33774"/>
    <w:rsid w:val="00C33974"/>
    <w:rsid w:val="00C33D33"/>
    <w:rsid w:val="00C34DB4"/>
    <w:rsid w:val="00C35BED"/>
    <w:rsid w:val="00C35D2C"/>
    <w:rsid w:val="00C3678C"/>
    <w:rsid w:val="00C370CD"/>
    <w:rsid w:val="00C3762E"/>
    <w:rsid w:val="00C4070C"/>
    <w:rsid w:val="00C40F65"/>
    <w:rsid w:val="00C419C9"/>
    <w:rsid w:val="00C4307B"/>
    <w:rsid w:val="00C439BE"/>
    <w:rsid w:val="00C43E40"/>
    <w:rsid w:val="00C43E5C"/>
    <w:rsid w:val="00C44131"/>
    <w:rsid w:val="00C44C58"/>
    <w:rsid w:val="00C44DB6"/>
    <w:rsid w:val="00C45300"/>
    <w:rsid w:val="00C4565E"/>
    <w:rsid w:val="00C462DD"/>
    <w:rsid w:val="00C46A90"/>
    <w:rsid w:val="00C47AB1"/>
    <w:rsid w:val="00C500DD"/>
    <w:rsid w:val="00C50201"/>
    <w:rsid w:val="00C50608"/>
    <w:rsid w:val="00C509EF"/>
    <w:rsid w:val="00C51B23"/>
    <w:rsid w:val="00C52179"/>
    <w:rsid w:val="00C52654"/>
    <w:rsid w:val="00C52E41"/>
    <w:rsid w:val="00C52F51"/>
    <w:rsid w:val="00C53658"/>
    <w:rsid w:val="00C540ED"/>
    <w:rsid w:val="00C54139"/>
    <w:rsid w:val="00C547B6"/>
    <w:rsid w:val="00C54AAA"/>
    <w:rsid w:val="00C55D02"/>
    <w:rsid w:val="00C568C8"/>
    <w:rsid w:val="00C570AA"/>
    <w:rsid w:val="00C5781F"/>
    <w:rsid w:val="00C603D8"/>
    <w:rsid w:val="00C61205"/>
    <w:rsid w:val="00C61757"/>
    <w:rsid w:val="00C61761"/>
    <w:rsid w:val="00C61977"/>
    <w:rsid w:val="00C61F0B"/>
    <w:rsid w:val="00C622D6"/>
    <w:rsid w:val="00C623DF"/>
    <w:rsid w:val="00C6285A"/>
    <w:rsid w:val="00C62FD1"/>
    <w:rsid w:val="00C6301A"/>
    <w:rsid w:val="00C642B6"/>
    <w:rsid w:val="00C64C18"/>
    <w:rsid w:val="00C64D5C"/>
    <w:rsid w:val="00C64DBC"/>
    <w:rsid w:val="00C6553D"/>
    <w:rsid w:val="00C65BC7"/>
    <w:rsid w:val="00C6670F"/>
    <w:rsid w:val="00C66E49"/>
    <w:rsid w:val="00C67765"/>
    <w:rsid w:val="00C67F4A"/>
    <w:rsid w:val="00C706FC"/>
    <w:rsid w:val="00C7075B"/>
    <w:rsid w:val="00C71596"/>
    <w:rsid w:val="00C72B37"/>
    <w:rsid w:val="00C73308"/>
    <w:rsid w:val="00C73B4D"/>
    <w:rsid w:val="00C742B0"/>
    <w:rsid w:val="00C747D5"/>
    <w:rsid w:val="00C74FA6"/>
    <w:rsid w:val="00C754A2"/>
    <w:rsid w:val="00C75A34"/>
    <w:rsid w:val="00C75A5A"/>
    <w:rsid w:val="00C75D51"/>
    <w:rsid w:val="00C75D58"/>
    <w:rsid w:val="00C7614C"/>
    <w:rsid w:val="00C76E9F"/>
    <w:rsid w:val="00C76F53"/>
    <w:rsid w:val="00C77033"/>
    <w:rsid w:val="00C77E48"/>
    <w:rsid w:val="00C800AA"/>
    <w:rsid w:val="00C80776"/>
    <w:rsid w:val="00C80ED4"/>
    <w:rsid w:val="00C8103A"/>
    <w:rsid w:val="00C8187A"/>
    <w:rsid w:val="00C81E15"/>
    <w:rsid w:val="00C82891"/>
    <w:rsid w:val="00C82DFA"/>
    <w:rsid w:val="00C83547"/>
    <w:rsid w:val="00C8360A"/>
    <w:rsid w:val="00C84EB4"/>
    <w:rsid w:val="00C85AA1"/>
    <w:rsid w:val="00C85F58"/>
    <w:rsid w:val="00C86FE3"/>
    <w:rsid w:val="00C8748A"/>
    <w:rsid w:val="00C875B1"/>
    <w:rsid w:val="00C87BE5"/>
    <w:rsid w:val="00C87C27"/>
    <w:rsid w:val="00C90FB4"/>
    <w:rsid w:val="00C912A0"/>
    <w:rsid w:val="00C91966"/>
    <w:rsid w:val="00C92757"/>
    <w:rsid w:val="00C92A18"/>
    <w:rsid w:val="00C92D1F"/>
    <w:rsid w:val="00C9333E"/>
    <w:rsid w:val="00C9401B"/>
    <w:rsid w:val="00C94EB0"/>
    <w:rsid w:val="00C957E0"/>
    <w:rsid w:val="00C96245"/>
    <w:rsid w:val="00C962BC"/>
    <w:rsid w:val="00C96C0D"/>
    <w:rsid w:val="00C97724"/>
    <w:rsid w:val="00C978A1"/>
    <w:rsid w:val="00CA01EC"/>
    <w:rsid w:val="00CA02E8"/>
    <w:rsid w:val="00CA100A"/>
    <w:rsid w:val="00CA1338"/>
    <w:rsid w:val="00CA181A"/>
    <w:rsid w:val="00CA2EFE"/>
    <w:rsid w:val="00CA39DA"/>
    <w:rsid w:val="00CA41FB"/>
    <w:rsid w:val="00CA43B6"/>
    <w:rsid w:val="00CA4612"/>
    <w:rsid w:val="00CA481B"/>
    <w:rsid w:val="00CA4B14"/>
    <w:rsid w:val="00CA501D"/>
    <w:rsid w:val="00CA6AB8"/>
    <w:rsid w:val="00CA6AC9"/>
    <w:rsid w:val="00CA6E39"/>
    <w:rsid w:val="00CA6EC8"/>
    <w:rsid w:val="00CA7193"/>
    <w:rsid w:val="00CA71BB"/>
    <w:rsid w:val="00CA7AD4"/>
    <w:rsid w:val="00CA7D7D"/>
    <w:rsid w:val="00CB1A1F"/>
    <w:rsid w:val="00CB1F05"/>
    <w:rsid w:val="00CB22E1"/>
    <w:rsid w:val="00CB235B"/>
    <w:rsid w:val="00CB2AEC"/>
    <w:rsid w:val="00CB4538"/>
    <w:rsid w:val="00CB4624"/>
    <w:rsid w:val="00CB5004"/>
    <w:rsid w:val="00CB517E"/>
    <w:rsid w:val="00CB5EBB"/>
    <w:rsid w:val="00CB6177"/>
    <w:rsid w:val="00CB643D"/>
    <w:rsid w:val="00CB6744"/>
    <w:rsid w:val="00CB68AC"/>
    <w:rsid w:val="00CB6B20"/>
    <w:rsid w:val="00CB6D43"/>
    <w:rsid w:val="00CB6FF0"/>
    <w:rsid w:val="00CB79B9"/>
    <w:rsid w:val="00CC086A"/>
    <w:rsid w:val="00CC0EC2"/>
    <w:rsid w:val="00CC1172"/>
    <w:rsid w:val="00CC1781"/>
    <w:rsid w:val="00CC1E4B"/>
    <w:rsid w:val="00CC1E6E"/>
    <w:rsid w:val="00CC1E7B"/>
    <w:rsid w:val="00CC1F7F"/>
    <w:rsid w:val="00CC2D0E"/>
    <w:rsid w:val="00CC2DD9"/>
    <w:rsid w:val="00CC316C"/>
    <w:rsid w:val="00CC339C"/>
    <w:rsid w:val="00CC347E"/>
    <w:rsid w:val="00CC3B4F"/>
    <w:rsid w:val="00CC4C99"/>
    <w:rsid w:val="00CC5864"/>
    <w:rsid w:val="00CD1307"/>
    <w:rsid w:val="00CD142A"/>
    <w:rsid w:val="00CD185A"/>
    <w:rsid w:val="00CD22A3"/>
    <w:rsid w:val="00CD3B37"/>
    <w:rsid w:val="00CD3ED9"/>
    <w:rsid w:val="00CD3F51"/>
    <w:rsid w:val="00CD4482"/>
    <w:rsid w:val="00CD45BE"/>
    <w:rsid w:val="00CD4F1E"/>
    <w:rsid w:val="00CD4FB4"/>
    <w:rsid w:val="00CD5103"/>
    <w:rsid w:val="00CD59F9"/>
    <w:rsid w:val="00CD649F"/>
    <w:rsid w:val="00CD65B8"/>
    <w:rsid w:val="00CD6684"/>
    <w:rsid w:val="00CD67C0"/>
    <w:rsid w:val="00CD6819"/>
    <w:rsid w:val="00CD6834"/>
    <w:rsid w:val="00CD70E0"/>
    <w:rsid w:val="00CD7201"/>
    <w:rsid w:val="00CD73C8"/>
    <w:rsid w:val="00CD7633"/>
    <w:rsid w:val="00CE058E"/>
    <w:rsid w:val="00CE06C8"/>
    <w:rsid w:val="00CE09F4"/>
    <w:rsid w:val="00CE09FF"/>
    <w:rsid w:val="00CE16D4"/>
    <w:rsid w:val="00CE1AAB"/>
    <w:rsid w:val="00CE22E9"/>
    <w:rsid w:val="00CE2653"/>
    <w:rsid w:val="00CE2CC7"/>
    <w:rsid w:val="00CE3005"/>
    <w:rsid w:val="00CE3191"/>
    <w:rsid w:val="00CE407E"/>
    <w:rsid w:val="00CE4346"/>
    <w:rsid w:val="00CE4C72"/>
    <w:rsid w:val="00CE73C9"/>
    <w:rsid w:val="00CE7937"/>
    <w:rsid w:val="00CE7B4F"/>
    <w:rsid w:val="00CF02EA"/>
    <w:rsid w:val="00CF0A78"/>
    <w:rsid w:val="00CF1695"/>
    <w:rsid w:val="00CF1A2E"/>
    <w:rsid w:val="00CF20AD"/>
    <w:rsid w:val="00CF3B88"/>
    <w:rsid w:val="00CF3FC4"/>
    <w:rsid w:val="00CF4B8A"/>
    <w:rsid w:val="00CF6737"/>
    <w:rsid w:val="00CF7A2B"/>
    <w:rsid w:val="00CF7B3D"/>
    <w:rsid w:val="00CF7FAF"/>
    <w:rsid w:val="00D001B6"/>
    <w:rsid w:val="00D0026F"/>
    <w:rsid w:val="00D00ED1"/>
    <w:rsid w:val="00D0117D"/>
    <w:rsid w:val="00D012D5"/>
    <w:rsid w:val="00D013BA"/>
    <w:rsid w:val="00D01664"/>
    <w:rsid w:val="00D0194F"/>
    <w:rsid w:val="00D01E30"/>
    <w:rsid w:val="00D02128"/>
    <w:rsid w:val="00D027D6"/>
    <w:rsid w:val="00D02C20"/>
    <w:rsid w:val="00D02D2A"/>
    <w:rsid w:val="00D03300"/>
    <w:rsid w:val="00D04193"/>
    <w:rsid w:val="00D047AE"/>
    <w:rsid w:val="00D051EC"/>
    <w:rsid w:val="00D0525A"/>
    <w:rsid w:val="00D059D4"/>
    <w:rsid w:val="00D05B4D"/>
    <w:rsid w:val="00D0665E"/>
    <w:rsid w:val="00D068C2"/>
    <w:rsid w:val="00D078C9"/>
    <w:rsid w:val="00D07CAF"/>
    <w:rsid w:val="00D1026E"/>
    <w:rsid w:val="00D1057B"/>
    <w:rsid w:val="00D10676"/>
    <w:rsid w:val="00D107A6"/>
    <w:rsid w:val="00D10A2D"/>
    <w:rsid w:val="00D10D5B"/>
    <w:rsid w:val="00D1228C"/>
    <w:rsid w:val="00D14840"/>
    <w:rsid w:val="00D152DD"/>
    <w:rsid w:val="00D1547B"/>
    <w:rsid w:val="00D15CA4"/>
    <w:rsid w:val="00D16A06"/>
    <w:rsid w:val="00D17722"/>
    <w:rsid w:val="00D203AA"/>
    <w:rsid w:val="00D20A27"/>
    <w:rsid w:val="00D20A87"/>
    <w:rsid w:val="00D211A9"/>
    <w:rsid w:val="00D21363"/>
    <w:rsid w:val="00D213A1"/>
    <w:rsid w:val="00D21766"/>
    <w:rsid w:val="00D223BF"/>
    <w:rsid w:val="00D226D2"/>
    <w:rsid w:val="00D22A3C"/>
    <w:rsid w:val="00D22BAF"/>
    <w:rsid w:val="00D22EF3"/>
    <w:rsid w:val="00D23553"/>
    <w:rsid w:val="00D23731"/>
    <w:rsid w:val="00D2396A"/>
    <w:rsid w:val="00D23F5D"/>
    <w:rsid w:val="00D23FBF"/>
    <w:rsid w:val="00D248E0"/>
    <w:rsid w:val="00D25988"/>
    <w:rsid w:val="00D263BB"/>
    <w:rsid w:val="00D2675A"/>
    <w:rsid w:val="00D26D7D"/>
    <w:rsid w:val="00D2709B"/>
    <w:rsid w:val="00D27CE8"/>
    <w:rsid w:val="00D27FE7"/>
    <w:rsid w:val="00D305E2"/>
    <w:rsid w:val="00D306C2"/>
    <w:rsid w:val="00D30CD4"/>
    <w:rsid w:val="00D31680"/>
    <w:rsid w:val="00D31A03"/>
    <w:rsid w:val="00D31E0B"/>
    <w:rsid w:val="00D326BF"/>
    <w:rsid w:val="00D332A2"/>
    <w:rsid w:val="00D3376A"/>
    <w:rsid w:val="00D3502F"/>
    <w:rsid w:val="00D35354"/>
    <w:rsid w:val="00D36D48"/>
    <w:rsid w:val="00D37F27"/>
    <w:rsid w:val="00D37F75"/>
    <w:rsid w:val="00D40E46"/>
    <w:rsid w:val="00D40EB9"/>
    <w:rsid w:val="00D42662"/>
    <w:rsid w:val="00D42810"/>
    <w:rsid w:val="00D428DD"/>
    <w:rsid w:val="00D42ED4"/>
    <w:rsid w:val="00D43086"/>
    <w:rsid w:val="00D43556"/>
    <w:rsid w:val="00D43DDB"/>
    <w:rsid w:val="00D443AF"/>
    <w:rsid w:val="00D44507"/>
    <w:rsid w:val="00D44A73"/>
    <w:rsid w:val="00D44F60"/>
    <w:rsid w:val="00D46022"/>
    <w:rsid w:val="00D4606B"/>
    <w:rsid w:val="00D46791"/>
    <w:rsid w:val="00D469FE"/>
    <w:rsid w:val="00D4733B"/>
    <w:rsid w:val="00D47762"/>
    <w:rsid w:val="00D50181"/>
    <w:rsid w:val="00D507D5"/>
    <w:rsid w:val="00D51733"/>
    <w:rsid w:val="00D51DFC"/>
    <w:rsid w:val="00D53156"/>
    <w:rsid w:val="00D54A2E"/>
    <w:rsid w:val="00D556FE"/>
    <w:rsid w:val="00D55FBF"/>
    <w:rsid w:val="00D56AFF"/>
    <w:rsid w:val="00D56D66"/>
    <w:rsid w:val="00D57354"/>
    <w:rsid w:val="00D57AEC"/>
    <w:rsid w:val="00D603E1"/>
    <w:rsid w:val="00D60B00"/>
    <w:rsid w:val="00D60B33"/>
    <w:rsid w:val="00D60D56"/>
    <w:rsid w:val="00D60E8B"/>
    <w:rsid w:val="00D61146"/>
    <w:rsid w:val="00D61948"/>
    <w:rsid w:val="00D61AB2"/>
    <w:rsid w:val="00D621E3"/>
    <w:rsid w:val="00D62709"/>
    <w:rsid w:val="00D62C69"/>
    <w:rsid w:val="00D63419"/>
    <w:rsid w:val="00D63575"/>
    <w:rsid w:val="00D6385B"/>
    <w:rsid w:val="00D65A8F"/>
    <w:rsid w:val="00D66019"/>
    <w:rsid w:val="00D66301"/>
    <w:rsid w:val="00D66B7B"/>
    <w:rsid w:val="00D67639"/>
    <w:rsid w:val="00D676B5"/>
    <w:rsid w:val="00D7022C"/>
    <w:rsid w:val="00D703B7"/>
    <w:rsid w:val="00D7041C"/>
    <w:rsid w:val="00D70567"/>
    <w:rsid w:val="00D707EB"/>
    <w:rsid w:val="00D70E1D"/>
    <w:rsid w:val="00D70E44"/>
    <w:rsid w:val="00D71EFB"/>
    <w:rsid w:val="00D727A5"/>
    <w:rsid w:val="00D73097"/>
    <w:rsid w:val="00D73479"/>
    <w:rsid w:val="00D73682"/>
    <w:rsid w:val="00D7409D"/>
    <w:rsid w:val="00D74654"/>
    <w:rsid w:val="00D7518B"/>
    <w:rsid w:val="00D763CD"/>
    <w:rsid w:val="00D7671B"/>
    <w:rsid w:val="00D77482"/>
    <w:rsid w:val="00D77E2C"/>
    <w:rsid w:val="00D80222"/>
    <w:rsid w:val="00D804D2"/>
    <w:rsid w:val="00D80879"/>
    <w:rsid w:val="00D81641"/>
    <w:rsid w:val="00D823A3"/>
    <w:rsid w:val="00D824E6"/>
    <w:rsid w:val="00D82A75"/>
    <w:rsid w:val="00D84053"/>
    <w:rsid w:val="00D8439B"/>
    <w:rsid w:val="00D84D73"/>
    <w:rsid w:val="00D8544F"/>
    <w:rsid w:val="00D85E37"/>
    <w:rsid w:val="00D86346"/>
    <w:rsid w:val="00D877B7"/>
    <w:rsid w:val="00D87937"/>
    <w:rsid w:val="00D87A0B"/>
    <w:rsid w:val="00D87B4B"/>
    <w:rsid w:val="00D90407"/>
    <w:rsid w:val="00D90EEE"/>
    <w:rsid w:val="00D91660"/>
    <w:rsid w:val="00D91ADC"/>
    <w:rsid w:val="00D91CDB"/>
    <w:rsid w:val="00D926FA"/>
    <w:rsid w:val="00D93094"/>
    <w:rsid w:val="00D938DE"/>
    <w:rsid w:val="00D94A52"/>
    <w:rsid w:val="00D94FD3"/>
    <w:rsid w:val="00D954D6"/>
    <w:rsid w:val="00D9581E"/>
    <w:rsid w:val="00D9605A"/>
    <w:rsid w:val="00D962FD"/>
    <w:rsid w:val="00D96A6D"/>
    <w:rsid w:val="00D9745B"/>
    <w:rsid w:val="00D977D3"/>
    <w:rsid w:val="00D978A0"/>
    <w:rsid w:val="00D97DB3"/>
    <w:rsid w:val="00DA04E9"/>
    <w:rsid w:val="00DA0909"/>
    <w:rsid w:val="00DA0BF2"/>
    <w:rsid w:val="00DA1A28"/>
    <w:rsid w:val="00DA1ECF"/>
    <w:rsid w:val="00DA2212"/>
    <w:rsid w:val="00DA291B"/>
    <w:rsid w:val="00DA2B4D"/>
    <w:rsid w:val="00DA302F"/>
    <w:rsid w:val="00DA3465"/>
    <w:rsid w:val="00DA4A3E"/>
    <w:rsid w:val="00DA4BCD"/>
    <w:rsid w:val="00DA6517"/>
    <w:rsid w:val="00DA66E2"/>
    <w:rsid w:val="00DA6C16"/>
    <w:rsid w:val="00DA6DEC"/>
    <w:rsid w:val="00DA703E"/>
    <w:rsid w:val="00DA7371"/>
    <w:rsid w:val="00DA78A5"/>
    <w:rsid w:val="00DA7951"/>
    <w:rsid w:val="00DA7EE8"/>
    <w:rsid w:val="00DA7FE8"/>
    <w:rsid w:val="00DB1597"/>
    <w:rsid w:val="00DB178F"/>
    <w:rsid w:val="00DB1FF2"/>
    <w:rsid w:val="00DB2E67"/>
    <w:rsid w:val="00DB2E7A"/>
    <w:rsid w:val="00DB38CE"/>
    <w:rsid w:val="00DB3964"/>
    <w:rsid w:val="00DB4A17"/>
    <w:rsid w:val="00DB4E9A"/>
    <w:rsid w:val="00DB5AE9"/>
    <w:rsid w:val="00DB77FC"/>
    <w:rsid w:val="00DC012B"/>
    <w:rsid w:val="00DC018D"/>
    <w:rsid w:val="00DC20AF"/>
    <w:rsid w:val="00DC211F"/>
    <w:rsid w:val="00DC22EC"/>
    <w:rsid w:val="00DC27B6"/>
    <w:rsid w:val="00DC2BC6"/>
    <w:rsid w:val="00DC3560"/>
    <w:rsid w:val="00DC4379"/>
    <w:rsid w:val="00DC43CF"/>
    <w:rsid w:val="00DC4B01"/>
    <w:rsid w:val="00DC5576"/>
    <w:rsid w:val="00DC593F"/>
    <w:rsid w:val="00DC5967"/>
    <w:rsid w:val="00DC5ABB"/>
    <w:rsid w:val="00DC5D22"/>
    <w:rsid w:val="00DC60A5"/>
    <w:rsid w:val="00DC6813"/>
    <w:rsid w:val="00DC6970"/>
    <w:rsid w:val="00DC70DD"/>
    <w:rsid w:val="00DC7AB7"/>
    <w:rsid w:val="00DC7AE6"/>
    <w:rsid w:val="00DD013B"/>
    <w:rsid w:val="00DD0EC5"/>
    <w:rsid w:val="00DD0F89"/>
    <w:rsid w:val="00DD1753"/>
    <w:rsid w:val="00DD1DD2"/>
    <w:rsid w:val="00DD1F36"/>
    <w:rsid w:val="00DD3A3F"/>
    <w:rsid w:val="00DD3E21"/>
    <w:rsid w:val="00DD3EB8"/>
    <w:rsid w:val="00DD43CD"/>
    <w:rsid w:val="00DD5585"/>
    <w:rsid w:val="00DD5D5C"/>
    <w:rsid w:val="00DD61EA"/>
    <w:rsid w:val="00DD6252"/>
    <w:rsid w:val="00DD65E8"/>
    <w:rsid w:val="00DD765C"/>
    <w:rsid w:val="00DD7A8B"/>
    <w:rsid w:val="00DD7CDE"/>
    <w:rsid w:val="00DD7F24"/>
    <w:rsid w:val="00DE035C"/>
    <w:rsid w:val="00DE0AF5"/>
    <w:rsid w:val="00DE0D8F"/>
    <w:rsid w:val="00DE156B"/>
    <w:rsid w:val="00DE1C68"/>
    <w:rsid w:val="00DE287A"/>
    <w:rsid w:val="00DE2B21"/>
    <w:rsid w:val="00DE3995"/>
    <w:rsid w:val="00DE3C0E"/>
    <w:rsid w:val="00DE5238"/>
    <w:rsid w:val="00DE527A"/>
    <w:rsid w:val="00DE55E4"/>
    <w:rsid w:val="00DE58E5"/>
    <w:rsid w:val="00DE5DDF"/>
    <w:rsid w:val="00DE5FD8"/>
    <w:rsid w:val="00DE66A3"/>
    <w:rsid w:val="00DE6A62"/>
    <w:rsid w:val="00DE6B1C"/>
    <w:rsid w:val="00DE704D"/>
    <w:rsid w:val="00DE776F"/>
    <w:rsid w:val="00DF0105"/>
    <w:rsid w:val="00DF0B6A"/>
    <w:rsid w:val="00DF251E"/>
    <w:rsid w:val="00DF2869"/>
    <w:rsid w:val="00DF2989"/>
    <w:rsid w:val="00DF2BA5"/>
    <w:rsid w:val="00DF3162"/>
    <w:rsid w:val="00DF3644"/>
    <w:rsid w:val="00DF3792"/>
    <w:rsid w:val="00DF4BAF"/>
    <w:rsid w:val="00DF50A5"/>
    <w:rsid w:val="00DF54D6"/>
    <w:rsid w:val="00DF68BE"/>
    <w:rsid w:val="00DF6C19"/>
    <w:rsid w:val="00DF7283"/>
    <w:rsid w:val="00DF75BF"/>
    <w:rsid w:val="00DF7C10"/>
    <w:rsid w:val="00E0123B"/>
    <w:rsid w:val="00E0164C"/>
    <w:rsid w:val="00E01CB0"/>
    <w:rsid w:val="00E024FA"/>
    <w:rsid w:val="00E02502"/>
    <w:rsid w:val="00E030CD"/>
    <w:rsid w:val="00E03A88"/>
    <w:rsid w:val="00E03CCE"/>
    <w:rsid w:val="00E04B70"/>
    <w:rsid w:val="00E04FEF"/>
    <w:rsid w:val="00E05A95"/>
    <w:rsid w:val="00E07B63"/>
    <w:rsid w:val="00E10110"/>
    <w:rsid w:val="00E1032A"/>
    <w:rsid w:val="00E1093F"/>
    <w:rsid w:val="00E1099B"/>
    <w:rsid w:val="00E10BBF"/>
    <w:rsid w:val="00E10D16"/>
    <w:rsid w:val="00E11C3D"/>
    <w:rsid w:val="00E1231C"/>
    <w:rsid w:val="00E12CC1"/>
    <w:rsid w:val="00E1351C"/>
    <w:rsid w:val="00E139D7"/>
    <w:rsid w:val="00E13DDA"/>
    <w:rsid w:val="00E15766"/>
    <w:rsid w:val="00E1595C"/>
    <w:rsid w:val="00E15A1A"/>
    <w:rsid w:val="00E16B19"/>
    <w:rsid w:val="00E16C6B"/>
    <w:rsid w:val="00E179EF"/>
    <w:rsid w:val="00E17B34"/>
    <w:rsid w:val="00E17CC8"/>
    <w:rsid w:val="00E17D0B"/>
    <w:rsid w:val="00E17D7C"/>
    <w:rsid w:val="00E200DC"/>
    <w:rsid w:val="00E20166"/>
    <w:rsid w:val="00E202B0"/>
    <w:rsid w:val="00E203A9"/>
    <w:rsid w:val="00E21D48"/>
    <w:rsid w:val="00E223D0"/>
    <w:rsid w:val="00E227D3"/>
    <w:rsid w:val="00E22CC0"/>
    <w:rsid w:val="00E2304F"/>
    <w:rsid w:val="00E236A5"/>
    <w:rsid w:val="00E23A84"/>
    <w:rsid w:val="00E24CAF"/>
    <w:rsid w:val="00E25B60"/>
    <w:rsid w:val="00E301DF"/>
    <w:rsid w:val="00E30E07"/>
    <w:rsid w:val="00E3159E"/>
    <w:rsid w:val="00E31A8D"/>
    <w:rsid w:val="00E3229D"/>
    <w:rsid w:val="00E327A0"/>
    <w:rsid w:val="00E33720"/>
    <w:rsid w:val="00E338AD"/>
    <w:rsid w:val="00E33909"/>
    <w:rsid w:val="00E33B57"/>
    <w:rsid w:val="00E33BA4"/>
    <w:rsid w:val="00E33D8C"/>
    <w:rsid w:val="00E34462"/>
    <w:rsid w:val="00E34644"/>
    <w:rsid w:val="00E3485D"/>
    <w:rsid w:val="00E34C22"/>
    <w:rsid w:val="00E352FC"/>
    <w:rsid w:val="00E356B1"/>
    <w:rsid w:val="00E3690B"/>
    <w:rsid w:val="00E37183"/>
    <w:rsid w:val="00E37254"/>
    <w:rsid w:val="00E372F7"/>
    <w:rsid w:val="00E377E9"/>
    <w:rsid w:val="00E40BDC"/>
    <w:rsid w:val="00E4103D"/>
    <w:rsid w:val="00E41194"/>
    <w:rsid w:val="00E41B67"/>
    <w:rsid w:val="00E4270A"/>
    <w:rsid w:val="00E42776"/>
    <w:rsid w:val="00E42C91"/>
    <w:rsid w:val="00E43254"/>
    <w:rsid w:val="00E43688"/>
    <w:rsid w:val="00E44A26"/>
    <w:rsid w:val="00E45244"/>
    <w:rsid w:val="00E4603B"/>
    <w:rsid w:val="00E4680A"/>
    <w:rsid w:val="00E46CDB"/>
    <w:rsid w:val="00E46D43"/>
    <w:rsid w:val="00E46E92"/>
    <w:rsid w:val="00E46F8F"/>
    <w:rsid w:val="00E47A29"/>
    <w:rsid w:val="00E47D30"/>
    <w:rsid w:val="00E50322"/>
    <w:rsid w:val="00E50DD9"/>
    <w:rsid w:val="00E5101A"/>
    <w:rsid w:val="00E5147A"/>
    <w:rsid w:val="00E520A6"/>
    <w:rsid w:val="00E521E5"/>
    <w:rsid w:val="00E52E97"/>
    <w:rsid w:val="00E53373"/>
    <w:rsid w:val="00E53661"/>
    <w:rsid w:val="00E5409A"/>
    <w:rsid w:val="00E543B1"/>
    <w:rsid w:val="00E544AB"/>
    <w:rsid w:val="00E55302"/>
    <w:rsid w:val="00E55A13"/>
    <w:rsid w:val="00E55FD1"/>
    <w:rsid w:val="00E563AB"/>
    <w:rsid w:val="00E56858"/>
    <w:rsid w:val="00E56868"/>
    <w:rsid w:val="00E56A0E"/>
    <w:rsid w:val="00E56FC3"/>
    <w:rsid w:val="00E57126"/>
    <w:rsid w:val="00E5715D"/>
    <w:rsid w:val="00E57B09"/>
    <w:rsid w:val="00E600F1"/>
    <w:rsid w:val="00E6033E"/>
    <w:rsid w:val="00E6073D"/>
    <w:rsid w:val="00E62050"/>
    <w:rsid w:val="00E6246C"/>
    <w:rsid w:val="00E6365C"/>
    <w:rsid w:val="00E63BF4"/>
    <w:rsid w:val="00E63E88"/>
    <w:rsid w:val="00E649FD"/>
    <w:rsid w:val="00E64B88"/>
    <w:rsid w:val="00E650F8"/>
    <w:rsid w:val="00E65D73"/>
    <w:rsid w:val="00E66EBE"/>
    <w:rsid w:val="00E671BF"/>
    <w:rsid w:val="00E673D6"/>
    <w:rsid w:val="00E678BF"/>
    <w:rsid w:val="00E67A13"/>
    <w:rsid w:val="00E67B51"/>
    <w:rsid w:val="00E70BE6"/>
    <w:rsid w:val="00E70CB0"/>
    <w:rsid w:val="00E70EA9"/>
    <w:rsid w:val="00E71097"/>
    <w:rsid w:val="00E721A5"/>
    <w:rsid w:val="00E7261E"/>
    <w:rsid w:val="00E72E5C"/>
    <w:rsid w:val="00E73501"/>
    <w:rsid w:val="00E7404C"/>
    <w:rsid w:val="00E74187"/>
    <w:rsid w:val="00E741D2"/>
    <w:rsid w:val="00E7462D"/>
    <w:rsid w:val="00E74E17"/>
    <w:rsid w:val="00E74F72"/>
    <w:rsid w:val="00E7514D"/>
    <w:rsid w:val="00E76D5C"/>
    <w:rsid w:val="00E80346"/>
    <w:rsid w:val="00E81B50"/>
    <w:rsid w:val="00E81B8C"/>
    <w:rsid w:val="00E82A55"/>
    <w:rsid w:val="00E8305C"/>
    <w:rsid w:val="00E83327"/>
    <w:rsid w:val="00E84335"/>
    <w:rsid w:val="00E84946"/>
    <w:rsid w:val="00E84965"/>
    <w:rsid w:val="00E84EC9"/>
    <w:rsid w:val="00E8506B"/>
    <w:rsid w:val="00E85080"/>
    <w:rsid w:val="00E852A4"/>
    <w:rsid w:val="00E859BC"/>
    <w:rsid w:val="00E85EE2"/>
    <w:rsid w:val="00E863DB"/>
    <w:rsid w:val="00E86517"/>
    <w:rsid w:val="00E86E24"/>
    <w:rsid w:val="00E8737C"/>
    <w:rsid w:val="00E873C8"/>
    <w:rsid w:val="00E873E0"/>
    <w:rsid w:val="00E87BAA"/>
    <w:rsid w:val="00E90BB1"/>
    <w:rsid w:val="00E913DC"/>
    <w:rsid w:val="00E91BB5"/>
    <w:rsid w:val="00E91D3D"/>
    <w:rsid w:val="00E928F1"/>
    <w:rsid w:val="00E93CBB"/>
    <w:rsid w:val="00E94814"/>
    <w:rsid w:val="00E94E8D"/>
    <w:rsid w:val="00E94F92"/>
    <w:rsid w:val="00E9557F"/>
    <w:rsid w:val="00E95C15"/>
    <w:rsid w:val="00E96A37"/>
    <w:rsid w:val="00E96A40"/>
    <w:rsid w:val="00E96EF6"/>
    <w:rsid w:val="00E96FF6"/>
    <w:rsid w:val="00E971F9"/>
    <w:rsid w:val="00E97590"/>
    <w:rsid w:val="00E97F45"/>
    <w:rsid w:val="00EA0254"/>
    <w:rsid w:val="00EA205F"/>
    <w:rsid w:val="00EA2B6A"/>
    <w:rsid w:val="00EA30EA"/>
    <w:rsid w:val="00EA319D"/>
    <w:rsid w:val="00EA328C"/>
    <w:rsid w:val="00EA342A"/>
    <w:rsid w:val="00EA36C6"/>
    <w:rsid w:val="00EA3A3B"/>
    <w:rsid w:val="00EA44F9"/>
    <w:rsid w:val="00EA4C27"/>
    <w:rsid w:val="00EA5038"/>
    <w:rsid w:val="00EA51ED"/>
    <w:rsid w:val="00EA5512"/>
    <w:rsid w:val="00EA5643"/>
    <w:rsid w:val="00EA5F3E"/>
    <w:rsid w:val="00EA777B"/>
    <w:rsid w:val="00EB015D"/>
    <w:rsid w:val="00EB0402"/>
    <w:rsid w:val="00EB0D74"/>
    <w:rsid w:val="00EB1931"/>
    <w:rsid w:val="00EB2446"/>
    <w:rsid w:val="00EB24B5"/>
    <w:rsid w:val="00EB274F"/>
    <w:rsid w:val="00EB2DD2"/>
    <w:rsid w:val="00EB3527"/>
    <w:rsid w:val="00EB4C81"/>
    <w:rsid w:val="00EB4E50"/>
    <w:rsid w:val="00EB50AF"/>
    <w:rsid w:val="00EB5113"/>
    <w:rsid w:val="00EB6172"/>
    <w:rsid w:val="00EB69B2"/>
    <w:rsid w:val="00EB6BCE"/>
    <w:rsid w:val="00EB73C1"/>
    <w:rsid w:val="00EC0413"/>
    <w:rsid w:val="00EC2013"/>
    <w:rsid w:val="00EC243C"/>
    <w:rsid w:val="00EC2472"/>
    <w:rsid w:val="00EC3583"/>
    <w:rsid w:val="00EC3912"/>
    <w:rsid w:val="00EC3F11"/>
    <w:rsid w:val="00EC494E"/>
    <w:rsid w:val="00EC4C58"/>
    <w:rsid w:val="00EC4EAA"/>
    <w:rsid w:val="00EC4FB5"/>
    <w:rsid w:val="00EC578E"/>
    <w:rsid w:val="00EC5F5C"/>
    <w:rsid w:val="00EC63B3"/>
    <w:rsid w:val="00EC693F"/>
    <w:rsid w:val="00EC6D9E"/>
    <w:rsid w:val="00EC6E29"/>
    <w:rsid w:val="00EC75D5"/>
    <w:rsid w:val="00EC7B3D"/>
    <w:rsid w:val="00ED0A90"/>
    <w:rsid w:val="00ED0E79"/>
    <w:rsid w:val="00ED1208"/>
    <w:rsid w:val="00ED19FC"/>
    <w:rsid w:val="00ED1BB7"/>
    <w:rsid w:val="00ED24B4"/>
    <w:rsid w:val="00ED3712"/>
    <w:rsid w:val="00ED41EA"/>
    <w:rsid w:val="00ED4787"/>
    <w:rsid w:val="00ED49D4"/>
    <w:rsid w:val="00ED4C58"/>
    <w:rsid w:val="00ED64CA"/>
    <w:rsid w:val="00ED66F9"/>
    <w:rsid w:val="00ED6905"/>
    <w:rsid w:val="00ED768F"/>
    <w:rsid w:val="00EE08AD"/>
    <w:rsid w:val="00EE0A2C"/>
    <w:rsid w:val="00EE0D84"/>
    <w:rsid w:val="00EE0DB6"/>
    <w:rsid w:val="00EE224A"/>
    <w:rsid w:val="00EE3023"/>
    <w:rsid w:val="00EE3724"/>
    <w:rsid w:val="00EE3A66"/>
    <w:rsid w:val="00EE43CC"/>
    <w:rsid w:val="00EE499C"/>
    <w:rsid w:val="00EE515A"/>
    <w:rsid w:val="00EE54A0"/>
    <w:rsid w:val="00EE5C06"/>
    <w:rsid w:val="00EE5C2E"/>
    <w:rsid w:val="00EE60C8"/>
    <w:rsid w:val="00EE632D"/>
    <w:rsid w:val="00EE6E83"/>
    <w:rsid w:val="00EF0711"/>
    <w:rsid w:val="00EF0E3B"/>
    <w:rsid w:val="00EF101F"/>
    <w:rsid w:val="00EF12AA"/>
    <w:rsid w:val="00EF1AE0"/>
    <w:rsid w:val="00EF24EA"/>
    <w:rsid w:val="00EF3F62"/>
    <w:rsid w:val="00EF45D1"/>
    <w:rsid w:val="00EF61FC"/>
    <w:rsid w:val="00EF64CA"/>
    <w:rsid w:val="00EF6792"/>
    <w:rsid w:val="00EF6F7D"/>
    <w:rsid w:val="00EF7881"/>
    <w:rsid w:val="00F008AB"/>
    <w:rsid w:val="00F01027"/>
    <w:rsid w:val="00F016D8"/>
    <w:rsid w:val="00F0184A"/>
    <w:rsid w:val="00F020A4"/>
    <w:rsid w:val="00F0260F"/>
    <w:rsid w:val="00F0279A"/>
    <w:rsid w:val="00F02B23"/>
    <w:rsid w:val="00F03417"/>
    <w:rsid w:val="00F03D4D"/>
    <w:rsid w:val="00F03FD8"/>
    <w:rsid w:val="00F04414"/>
    <w:rsid w:val="00F04B06"/>
    <w:rsid w:val="00F0550F"/>
    <w:rsid w:val="00F057F9"/>
    <w:rsid w:val="00F05E14"/>
    <w:rsid w:val="00F05FEF"/>
    <w:rsid w:val="00F062C9"/>
    <w:rsid w:val="00F06E7D"/>
    <w:rsid w:val="00F07FAE"/>
    <w:rsid w:val="00F07FE0"/>
    <w:rsid w:val="00F13D7F"/>
    <w:rsid w:val="00F14311"/>
    <w:rsid w:val="00F14A0A"/>
    <w:rsid w:val="00F154A1"/>
    <w:rsid w:val="00F1586A"/>
    <w:rsid w:val="00F15C97"/>
    <w:rsid w:val="00F1661C"/>
    <w:rsid w:val="00F17D24"/>
    <w:rsid w:val="00F20E04"/>
    <w:rsid w:val="00F210C3"/>
    <w:rsid w:val="00F2123E"/>
    <w:rsid w:val="00F216D1"/>
    <w:rsid w:val="00F22564"/>
    <w:rsid w:val="00F22B1B"/>
    <w:rsid w:val="00F23680"/>
    <w:rsid w:val="00F23C57"/>
    <w:rsid w:val="00F24324"/>
    <w:rsid w:val="00F2641A"/>
    <w:rsid w:val="00F26F5F"/>
    <w:rsid w:val="00F27805"/>
    <w:rsid w:val="00F278DC"/>
    <w:rsid w:val="00F30898"/>
    <w:rsid w:val="00F3098C"/>
    <w:rsid w:val="00F30C29"/>
    <w:rsid w:val="00F314A4"/>
    <w:rsid w:val="00F31735"/>
    <w:rsid w:val="00F32D13"/>
    <w:rsid w:val="00F33166"/>
    <w:rsid w:val="00F3351A"/>
    <w:rsid w:val="00F33D5C"/>
    <w:rsid w:val="00F345A7"/>
    <w:rsid w:val="00F346AA"/>
    <w:rsid w:val="00F35E5E"/>
    <w:rsid w:val="00F372E7"/>
    <w:rsid w:val="00F379C6"/>
    <w:rsid w:val="00F37CAA"/>
    <w:rsid w:val="00F37F6C"/>
    <w:rsid w:val="00F40241"/>
    <w:rsid w:val="00F408A1"/>
    <w:rsid w:val="00F412D1"/>
    <w:rsid w:val="00F41345"/>
    <w:rsid w:val="00F416DE"/>
    <w:rsid w:val="00F41819"/>
    <w:rsid w:val="00F42347"/>
    <w:rsid w:val="00F4254D"/>
    <w:rsid w:val="00F42971"/>
    <w:rsid w:val="00F42CA6"/>
    <w:rsid w:val="00F42D2D"/>
    <w:rsid w:val="00F42E91"/>
    <w:rsid w:val="00F4309D"/>
    <w:rsid w:val="00F4353D"/>
    <w:rsid w:val="00F43AB3"/>
    <w:rsid w:val="00F43BB5"/>
    <w:rsid w:val="00F44BC3"/>
    <w:rsid w:val="00F45477"/>
    <w:rsid w:val="00F47240"/>
    <w:rsid w:val="00F47298"/>
    <w:rsid w:val="00F47762"/>
    <w:rsid w:val="00F478A8"/>
    <w:rsid w:val="00F47923"/>
    <w:rsid w:val="00F50FC3"/>
    <w:rsid w:val="00F512B6"/>
    <w:rsid w:val="00F517EE"/>
    <w:rsid w:val="00F519FE"/>
    <w:rsid w:val="00F52104"/>
    <w:rsid w:val="00F5218E"/>
    <w:rsid w:val="00F5244D"/>
    <w:rsid w:val="00F536CC"/>
    <w:rsid w:val="00F54001"/>
    <w:rsid w:val="00F547D5"/>
    <w:rsid w:val="00F549C3"/>
    <w:rsid w:val="00F54A5F"/>
    <w:rsid w:val="00F54C6D"/>
    <w:rsid w:val="00F54D5A"/>
    <w:rsid w:val="00F55113"/>
    <w:rsid w:val="00F55126"/>
    <w:rsid w:val="00F55642"/>
    <w:rsid w:val="00F55BE9"/>
    <w:rsid w:val="00F56123"/>
    <w:rsid w:val="00F56443"/>
    <w:rsid w:val="00F57F64"/>
    <w:rsid w:val="00F61060"/>
    <w:rsid w:val="00F61687"/>
    <w:rsid w:val="00F627AE"/>
    <w:rsid w:val="00F62F46"/>
    <w:rsid w:val="00F63449"/>
    <w:rsid w:val="00F634ED"/>
    <w:rsid w:val="00F64A72"/>
    <w:rsid w:val="00F64BF3"/>
    <w:rsid w:val="00F64F38"/>
    <w:rsid w:val="00F65854"/>
    <w:rsid w:val="00F65E1B"/>
    <w:rsid w:val="00F660B8"/>
    <w:rsid w:val="00F666DA"/>
    <w:rsid w:val="00F66D0F"/>
    <w:rsid w:val="00F67599"/>
    <w:rsid w:val="00F67628"/>
    <w:rsid w:val="00F67B0B"/>
    <w:rsid w:val="00F7004F"/>
    <w:rsid w:val="00F7153D"/>
    <w:rsid w:val="00F71A41"/>
    <w:rsid w:val="00F72659"/>
    <w:rsid w:val="00F73431"/>
    <w:rsid w:val="00F74108"/>
    <w:rsid w:val="00F75AAC"/>
    <w:rsid w:val="00F75C90"/>
    <w:rsid w:val="00F75F94"/>
    <w:rsid w:val="00F7644C"/>
    <w:rsid w:val="00F76F1E"/>
    <w:rsid w:val="00F76F3E"/>
    <w:rsid w:val="00F76F49"/>
    <w:rsid w:val="00F76FDF"/>
    <w:rsid w:val="00F771A1"/>
    <w:rsid w:val="00F77F1C"/>
    <w:rsid w:val="00F77F67"/>
    <w:rsid w:val="00F80353"/>
    <w:rsid w:val="00F8135F"/>
    <w:rsid w:val="00F816D8"/>
    <w:rsid w:val="00F820D7"/>
    <w:rsid w:val="00F827A7"/>
    <w:rsid w:val="00F827DE"/>
    <w:rsid w:val="00F828B7"/>
    <w:rsid w:val="00F82C58"/>
    <w:rsid w:val="00F82DB7"/>
    <w:rsid w:val="00F83763"/>
    <w:rsid w:val="00F8382D"/>
    <w:rsid w:val="00F84928"/>
    <w:rsid w:val="00F84D58"/>
    <w:rsid w:val="00F856B3"/>
    <w:rsid w:val="00F85D3F"/>
    <w:rsid w:val="00F85F6B"/>
    <w:rsid w:val="00F87718"/>
    <w:rsid w:val="00F87B8B"/>
    <w:rsid w:val="00F87CD0"/>
    <w:rsid w:val="00F90016"/>
    <w:rsid w:val="00F90E19"/>
    <w:rsid w:val="00F90E72"/>
    <w:rsid w:val="00F90F12"/>
    <w:rsid w:val="00F910F9"/>
    <w:rsid w:val="00F91770"/>
    <w:rsid w:val="00F92F3C"/>
    <w:rsid w:val="00F92F6F"/>
    <w:rsid w:val="00F931B2"/>
    <w:rsid w:val="00F93238"/>
    <w:rsid w:val="00F93A71"/>
    <w:rsid w:val="00F93FC1"/>
    <w:rsid w:val="00F9421C"/>
    <w:rsid w:val="00F94C0F"/>
    <w:rsid w:val="00F94E6C"/>
    <w:rsid w:val="00F9660B"/>
    <w:rsid w:val="00F97620"/>
    <w:rsid w:val="00F9795F"/>
    <w:rsid w:val="00FA036B"/>
    <w:rsid w:val="00FA05D3"/>
    <w:rsid w:val="00FA0677"/>
    <w:rsid w:val="00FA097E"/>
    <w:rsid w:val="00FA10F9"/>
    <w:rsid w:val="00FA1253"/>
    <w:rsid w:val="00FA1690"/>
    <w:rsid w:val="00FA3003"/>
    <w:rsid w:val="00FA35DC"/>
    <w:rsid w:val="00FA3865"/>
    <w:rsid w:val="00FA4D73"/>
    <w:rsid w:val="00FA4DBA"/>
    <w:rsid w:val="00FA5DE5"/>
    <w:rsid w:val="00FA5FAA"/>
    <w:rsid w:val="00FA6647"/>
    <w:rsid w:val="00FA7655"/>
    <w:rsid w:val="00FA7C79"/>
    <w:rsid w:val="00FB002D"/>
    <w:rsid w:val="00FB0A5D"/>
    <w:rsid w:val="00FB0DA2"/>
    <w:rsid w:val="00FB21C7"/>
    <w:rsid w:val="00FB2840"/>
    <w:rsid w:val="00FB2F8A"/>
    <w:rsid w:val="00FB376F"/>
    <w:rsid w:val="00FB4E64"/>
    <w:rsid w:val="00FB5893"/>
    <w:rsid w:val="00FB688C"/>
    <w:rsid w:val="00FB7545"/>
    <w:rsid w:val="00FB7AD2"/>
    <w:rsid w:val="00FC010F"/>
    <w:rsid w:val="00FC0F97"/>
    <w:rsid w:val="00FC1547"/>
    <w:rsid w:val="00FC154C"/>
    <w:rsid w:val="00FC16E7"/>
    <w:rsid w:val="00FC19F7"/>
    <w:rsid w:val="00FC1B5F"/>
    <w:rsid w:val="00FC30B1"/>
    <w:rsid w:val="00FC32C4"/>
    <w:rsid w:val="00FC38B7"/>
    <w:rsid w:val="00FC3EFC"/>
    <w:rsid w:val="00FC4180"/>
    <w:rsid w:val="00FC443C"/>
    <w:rsid w:val="00FC4652"/>
    <w:rsid w:val="00FC6001"/>
    <w:rsid w:val="00FC655D"/>
    <w:rsid w:val="00FC73A6"/>
    <w:rsid w:val="00FC7F4F"/>
    <w:rsid w:val="00FD0098"/>
    <w:rsid w:val="00FD0386"/>
    <w:rsid w:val="00FD052E"/>
    <w:rsid w:val="00FD0681"/>
    <w:rsid w:val="00FD0AFE"/>
    <w:rsid w:val="00FD0E43"/>
    <w:rsid w:val="00FD17B4"/>
    <w:rsid w:val="00FD37B3"/>
    <w:rsid w:val="00FD429E"/>
    <w:rsid w:val="00FD42A6"/>
    <w:rsid w:val="00FD4796"/>
    <w:rsid w:val="00FD4818"/>
    <w:rsid w:val="00FD49C3"/>
    <w:rsid w:val="00FD4D7F"/>
    <w:rsid w:val="00FD5302"/>
    <w:rsid w:val="00FD64B6"/>
    <w:rsid w:val="00FD663E"/>
    <w:rsid w:val="00FD6A2F"/>
    <w:rsid w:val="00FD6E29"/>
    <w:rsid w:val="00FD750E"/>
    <w:rsid w:val="00FD7579"/>
    <w:rsid w:val="00FE0025"/>
    <w:rsid w:val="00FE3571"/>
    <w:rsid w:val="00FE4546"/>
    <w:rsid w:val="00FE5624"/>
    <w:rsid w:val="00FE58B8"/>
    <w:rsid w:val="00FE5C81"/>
    <w:rsid w:val="00FE5E54"/>
    <w:rsid w:val="00FE6605"/>
    <w:rsid w:val="00FE73EA"/>
    <w:rsid w:val="00FE77AF"/>
    <w:rsid w:val="00FE7BBB"/>
    <w:rsid w:val="00FF00E1"/>
    <w:rsid w:val="00FF0DD1"/>
    <w:rsid w:val="00FF140A"/>
    <w:rsid w:val="00FF1729"/>
    <w:rsid w:val="00FF1AA4"/>
    <w:rsid w:val="00FF2525"/>
    <w:rsid w:val="00FF2A99"/>
    <w:rsid w:val="00FF3139"/>
    <w:rsid w:val="00FF3E28"/>
    <w:rsid w:val="00FF4989"/>
    <w:rsid w:val="00FF49F2"/>
    <w:rsid w:val="00FF59D2"/>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0D1C84"/>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0D1C84"/>
    <w:pPr>
      <w:keepNext/>
      <w:keepLines/>
      <w:spacing w:before="260" w:after="260" w:line="416" w:lineRule="auto"/>
      <w:outlineLvl w:val="1"/>
    </w:pPr>
    <w:rPr>
      <w:rFonts w:ascii="Arial" w:eastAsia="黑体" w:hAnsi="Arial"/>
      <w:b/>
      <w:bCs/>
      <w:sz w:val="32"/>
      <w:szCs w:val="32"/>
    </w:rPr>
  </w:style>
  <w:style w:type="paragraph" w:styleId="30">
    <w:name w:val="heading 3"/>
    <w:aliases w:val="标题样式1"/>
    <w:basedOn w:val="a"/>
    <w:next w:val="a"/>
    <w:link w:val="3Char"/>
    <w:qFormat/>
    <w:rsid w:val="000D1C84"/>
    <w:pPr>
      <w:keepNext/>
      <w:keepLines/>
      <w:spacing w:before="260" w:after="260" w:line="416" w:lineRule="auto"/>
      <w:outlineLvl w:val="2"/>
    </w:pPr>
    <w:rPr>
      <w:b/>
      <w:bCs/>
      <w:sz w:val="32"/>
      <w:szCs w:val="32"/>
      <w:lang/>
    </w:rPr>
  </w:style>
  <w:style w:type="paragraph" w:styleId="40">
    <w:name w:val="heading 4"/>
    <w:basedOn w:val="a"/>
    <w:next w:val="a"/>
    <w:qFormat/>
    <w:rsid w:val="000D1C84"/>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0D1C84"/>
    <w:pPr>
      <w:keepNext/>
      <w:keepLines/>
      <w:spacing w:before="280" w:after="290" w:line="376" w:lineRule="auto"/>
      <w:outlineLvl w:val="4"/>
    </w:pPr>
    <w:rPr>
      <w:b/>
      <w:bCs/>
      <w:sz w:val="28"/>
      <w:szCs w:val="28"/>
    </w:rPr>
  </w:style>
  <w:style w:type="paragraph" w:styleId="6">
    <w:name w:val="heading 6"/>
    <w:basedOn w:val="a"/>
    <w:next w:val="a"/>
    <w:qFormat/>
    <w:rsid w:val="000D1C84"/>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0D1C84"/>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0D1C84"/>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0D1C84"/>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0D1C84"/>
  </w:style>
  <w:style w:type="paragraph" w:styleId="a3">
    <w:name w:val="footer"/>
    <w:basedOn w:val="a"/>
    <w:link w:val="Char0"/>
    <w:uiPriority w:val="99"/>
    <w:rsid w:val="000D1C84"/>
    <w:pPr>
      <w:tabs>
        <w:tab w:val="center" w:pos="4153"/>
        <w:tab w:val="right" w:pos="8306"/>
      </w:tabs>
      <w:snapToGrid w:val="0"/>
      <w:jc w:val="left"/>
    </w:pPr>
    <w:rPr>
      <w:sz w:val="18"/>
      <w:szCs w:val="18"/>
      <w:lang/>
    </w:rPr>
  </w:style>
  <w:style w:type="character" w:styleId="a4">
    <w:name w:val="annotation reference"/>
    <w:semiHidden/>
    <w:rsid w:val="00070D95"/>
    <w:rPr>
      <w:sz w:val="21"/>
      <w:szCs w:val="21"/>
    </w:rPr>
  </w:style>
  <w:style w:type="paragraph" w:styleId="a5">
    <w:name w:val="Body Text"/>
    <w:aliases w:val="正文文字 Char Char Char Char Char Char Char"/>
    <w:basedOn w:val="a"/>
    <w:rsid w:val="000D1C84"/>
    <w:pPr>
      <w:adjustRightInd w:val="0"/>
      <w:snapToGrid w:val="0"/>
      <w:spacing w:line="324" w:lineRule="auto"/>
      <w:ind w:right="28"/>
      <w:jc w:val="left"/>
    </w:pPr>
    <w:rPr>
      <w:rFonts w:ascii="仿宋_GB2312" w:eastAsia="仿宋_GB2312" w:hint="eastAsia"/>
      <w:kern w:val="0"/>
      <w:sz w:val="28"/>
      <w:szCs w:val="20"/>
    </w:rPr>
  </w:style>
  <w:style w:type="paragraph" w:styleId="a6">
    <w:name w:val="Normal (Web)"/>
    <w:basedOn w:val="a"/>
    <w:uiPriority w:val="99"/>
    <w:rsid w:val="000D1C84"/>
    <w:pPr>
      <w:widowControl/>
      <w:spacing w:before="100" w:beforeAutospacing="1" w:after="100" w:afterAutospacing="1"/>
      <w:jc w:val="left"/>
    </w:pPr>
    <w:rPr>
      <w:rFonts w:ascii="宋体" w:hAnsi="宋体"/>
      <w:kern w:val="0"/>
      <w:sz w:val="24"/>
    </w:rPr>
  </w:style>
  <w:style w:type="paragraph" w:styleId="a7">
    <w:name w:val="Document Map"/>
    <w:basedOn w:val="a"/>
    <w:semiHidden/>
    <w:rsid w:val="000D1C84"/>
    <w:pPr>
      <w:shd w:val="clear" w:color="auto" w:fill="000080"/>
    </w:pPr>
  </w:style>
  <w:style w:type="character" w:customStyle="1" w:styleId="CharCharCharCharCharCharCharChar">
    <w:name w:val="正文文字 Char Char Char Char Char Char Char Char"/>
    <w:aliases w:val="正文文本2,正文文本1"/>
    <w:rsid w:val="000D1C84"/>
    <w:rPr>
      <w:rFonts w:ascii="仿宋_GB2312" w:eastAsia="仿宋_GB2312"/>
      <w:sz w:val="28"/>
      <w:lang w:val="en-US" w:eastAsia="zh-CN" w:bidi="ar-SA"/>
    </w:rPr>
  </w:style>
  <w:style w:type="character" w:customStyle="1" w:styleId="afont1">
    <w:name w:val="afont1"/>
    <w:rsid w:val="000D1C84"/>
    <w:rPr>
      <w:rFonts w:ascii="Arial Narrow" w:hAnsi="Arial Narrow" w:hint="default"/>
      <w:sz w:val="21"/>
      <w:szCs w:val="21"/>
    </w:rPr>
  </w:style>
  <w:style w:type="paragraph" w:customStyle="1" w:styleId="CharChar">
    <w:name w:val="Char Char"/>
    <w:basedOn w:val="a"/>
    <w:rsid w:val="000D1C84"/>
  </w:style>
  <w:style w:type="paragraph" w:customStyle="1" w:styleId="Default">
    <w:name w:val="Default"/>
    <w:rsid w:val="000D1C84"/>
    <w:pPr>
      <w:widowControl w:val="0"/>
      <w:autoSpaceDE w:val="0"/>
      <w:autoSpaceDN w:val="0"/>
      <w:adjustRightInd w:val="0"/>
    </w:pPr>
    <w:rPr>
      <w:rFonts w:ascii="宋体" w:cs="宋体"/>
      <w:color w:val="000000"/>
      <w:sz w:val="24"/>
      <w:szCs w:val="24"/>
    </w:rPr>
  </w:style>
  <w:style w:type="paragraph" w:styleId="a8">
    <w:name w:val="Date"/>
    <w:basedOn w:val="a"/>
    <w:next w:val="a"/>
    <w:rsid w:val="000D1C84"/>
    <w:rPr>
      <w:sz w:val="24"/>
      <w:szCs w:val="20"/>
    </w:rPr>
  </w:style>
  <w:style w:type="paragraph" w:customStyle="1" w:styleId="CharCharCharChar">
    <w:name w:val="Char Char Char Char"/>
    <w:basedOn w:val="a"/>
    <w:autoRedefine/>
    <w:rsid w:val="000D1C84"/>
    <w:pPr>
      <w:tabs>
        <w:tab w:val="num" w:pos="840"/>
      </w:tabs>
      <w:adjustRightInd w:val="0"/>
      <w:spacing w:line="360" w:lineRule="atLeast"/>
      <w:ind w:left="840" w:hanging="360"/>
      <w:textAlignment w:val="baseline"/>
    </w:pPr>
    <w:rPr>
      <w:sz w:val="24"/>
    </w:rPr>
  </w:style>
  <w:style w:type="character" w:styleId="a9">
    <w:name w:val="page number"/>
    <w:basedOn w:val="a0"/>
    <w:rsid w:val="000D1C84"/>
  </w:style>
  <w:style w:type="paragraph" w:customStyle="1" w:styleId="xl33">
    <w:name w:val="xl33"/>
    <w:basedOn w:val="a"/>
    <w:rsid w:val="000D1C8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0D1C84"/>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0D1C84"/>
    <w:pPr>
      <w:tabs>
        <w:tab w:val="num" w:pos="360"/>
      </w:tabs>
      <w:ind w:left="360" w:hanging="360"/>
    </w:pPr>
    <w:rPr>
      <w:sz w:val="24"/>
      <w:szCs w:val="20"/>
    </w:rPr>
  </w:style>
  <w:style w:type="paragraph" w:customStyle="1" w:styleId="aa">
    <w:name w:val="简单回函地址"/>
    <w:basedOn w:val="a"/>
    <w:rsid w:val="000D1C84"/>
  </w:style>
  <w:style w:type="paragraph" w:customStyle="1" w:styleId="FormLabel">
    <w:name w:val="Form Label"/>
    <w:basedOn w:val="a"/>
    <w:rsid w:val="000D1C84"/>
    <w:pPr>
      <w:widowControl/>
      <w:spacing w:line="280" w:lineRule="exact"/>
      <w:jc w:val="left"/>
    </w:pPr>
    <w:rPr>
      <w:kern w:val="0"/>
      <w:sz w:val="18"/>
      <w:szCs w:val="20"/>
      <w:lang w:val="en-GB" w:eastAsia="en-US"/>
    </w:rPr>
  </w:style>
  <w:style w:type="character" w:styleId="ab">
    <w:name w:val="Strong"/>
    <w:qFormat/>
    <w:rsid w:val="000D1C84"/>
    <w:rPr>
      <w:b/>
      <w:bCs/>
    </w:rPr>
  </w:style>
  <w:style w:type="paragraph" w:customStyle="1" w:styleId="Char1">
    <w:name w:val="Char1"/>
    <w:basedOn w:val="a"/>
    <w:rsid w:val="000D1C84"/>
  </w:style>
  <w:style w:type="character" w:customStyle="1" w:styleId="2CharCharChar">
    <w:name w:val="标题 2 Char Char Char"/>
    <w:rsid w:val="000D1C84"/>
    <w:rPr>
      <w:rFonts w:ascii="Arial" w:eastAsia="宋体" w:hAnsi="Arial"/>
      <w:b/>
      <w:kern w:val="2"/>
      <w:sz w:val="28"/>
      <w:szCs w:val="28"/>
      <w:lang w:val="en-US" w:eastAsia="zh-CN" w:bidi="ar-SA"/>
    </w:rPr>
  </w:style>
  <w:style w:type="paragraph" w:styleId="ac">
    <w:name w:val="Balloon Text"/>
    <w:basedOn w:val="a"/>
    <w:semiHidden/>
    <w:rsid w:val="000D1C84"/>
    <w:rPr>
      <w:sz w:val="18"/>
      <w:szCs w:val="18"/>
    </w:rPr>
  </w:style>
  <w:style w:type="paragraph" w:styleId="ad">
    <w:name w:val="footnote text"/>
    <w:basedOn w:val="a"/>
    <w:semiHidden/>
    <w:rsid w:val="000D1C84"/>
    <w:pPr>
      <w:snapToGrid w:val="0"/>
      <w:jc w:val="left"/>
    </w:pPr>
    <w:rPr>
      <w:sz w:val="18"/>
      <w:szCs w:val="18"/>
    </w:rPr>
  </w:style>
  <w:style w:type="character" w:styleId="ae">
    <w:name w:val="footnote reference"/>
    <w:semiHidden/>
    <w:rsid w:val="000D1C84"/>
    <w:rPr>
      <w:vertAlign w:val="superscript"/>
    </w:rPr>
  </w:style>
  <w:style w:type="character" w:styleId="af">
    <w:name w:val="Hyperlink"/>
    <w:rsid w:val="000D1C84"/>
    <w:rPr>
      <w:color w:val="0000FF"/>
      <w:u w:val="single"/>
    </w:rPr>
  </w:style>
  <w:style w:type="paragraph" w:customStyle="1" w:styleId="xl31">
    <w:name w:val="xl31"/>
    <w:basedOn w:val="a"/>
    <w:rsid w:val="000D1C84"/>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0D1C84"/>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0D1C84"/>
    <w:pPr>
      <w:widowControl/>
      <w:spacing w:after="160" w:line="240" w:lineRule="exact"/>
      <w:jc w:val="left"/>
    </w:pPr>
    <w:rPr>
      <w:rFonts w:ascii="Verdana" w:hAnsi="Verdana" w:cs="Verdana"/>
      <w:kern w:val="0"/>
      <w:sz w:val="20"/>
      <w:szCs w:val="20"/>
      <w:lang w:eastAsia="en-US"/>
    </w:rPr>
  </w:style>
  <w:style w:type="paragraph" w:styleId="af0">
    <w:name w:val="annotation text"/>
    <w:basedOn w:val="a"/>
    <w:link w:val="Char2"/>
    <w:semiHidden/>
    <w:rsid w:val="00070D95"/>
    <w:pPr>
      <w:jc w:val="left"/>
    </w:pPr>
  </w:style>
  <w:style w:type="paragraph" w:styleId="af1">
    <w:name w:val="annotation subject"/>
    <w:basedOn w:val="af0"/>
    <w:next w:val="af0"/>
    <w:semiHidden/>
    <w:rsid w:val="00070D95"/>
    <w:rPr>
      <w:b/>
      <w:bCs/>
    </w:rPr>
  </w:style>
  <w:style w:type="character" w:customStyle="1" w:styleId="Char2">
    <w:name w:val="批注文字 Char"/>
    <w:link w:val="af0"/>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2">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3">
    <w:name w:val="endnote text"/>
    <w:basedOn w:val="a"/>
    <w:semiHidden/>
    <w:rsid w:val="00196473"/>
    <w:pPr>
      <w:snapToGrid w:val="0"/>
      <w:jc w:val="left"/>
    </w:pPr>
  </w:style>
  <w:style w:type="character" w:styleId="af4">
    <w:name w:val="endnote reference"/>
    <w:semiHidden/>
    <w:rsid w:val="00196473"/>
    <w:rPr>
      <w:vertAlign w:val="superscript"/>
    </w:rPr>
  </w:style>
  <w:style w:type="table" w:styleId="af5">
    <w:name w:val="Table Grid"/>
    <w:basedOn w:val="a1"/>
    <w:uiPriority w:val="39"/>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customStyle="1" w:styleId="11">
    <w:name w:val="列出段落1"/>
    <w:basedOn w:val="a"/>
    <w:rsid w:val="00BF0204"/>
    <w:pPr>
      <w:ind w:firstLineChars="200" w:firstLine="420"/>
    </w:pPr>
    <w:rPr>
      <w:rFonts w:ascii="Calibri" w:hAnsi="Calibri"/>
      <w:szCs w:val="22"/>
    </w:rPr>
  </w:style>
  <w:style w:type="paragraph" w:customStyle="1" w:styleId="af6">
    <w:name w:val="正文所"/>
    <w:basedOn w:val="a"/>
    <w:rsid w:val="00E95C15"/>
    <w:pPr>
      <w:spacing w:line="360" w:lineRule="auto"/>
      <w:ind w:firstLineChars="200" w:firstLine="420"/>
    </w:pPr>
    <w:rPr>
      <w:rFonts w:ascii="宋体"/>
      <w:szCs w:val="20"/>
    </w:rPr>
  </w:style>
  <w:style w:type="paragraph" w:styleId="af7">
    <w:name w:val="Revision"/>
    <w:hidden/>
    <w:uiPriority w:val="99"/>
    <w:semiHidden/>
    <w:rsid w:val="00970843"/>
    <w:rPr>
      <w:kern w:val="2"/>
      <w:sz w:val="21"/>
      <w:szCs w:val="24"/>
    </w:rPr>
  </w:style>
  <w:style w:type="character" w:customStyle="1" w:styleId="Char0">
    <w:name w:val="页脚 Char"/>
    <w:link w:val="a3"/>
    <w:uiPriority w:val="99"/>
    <w:rsid w:val="00C139F0"/>
    <w:rPr>
      <w:kern w:val="2"/>
      <w:sz w:val="18"/>
      <w:szCs w:val="18"/>
    </w:rPr>
  </w:style>
  <w:style w:type="paragraph" w:styleId="af8">
    <w:name w:val="header"/>
    <w:basedOn w:val="a"/>
    <w:link w:val="Char3"/>
    <w:rsid w:val="00967F05"/>
    <w:pPr>
      <w:pBdr>
        <w:bottom w:val="single" w:sz="6" w:space="1" w:color="auto"/>
      </w:pBdr>
      <w:tabs>
        <w:tab w:val="center" w:pos="4153"/>
        <w:tab w:val="right" w:pos="8306"/>
      </w:tabs>
      <w:snapToGrid w:val="0"/>
      <w:jc w:val="center"/>
    </w:pPr>
    <w:rPr>
      <w:sz w:val="18"/>
      <w:szCs w:val="18"/>
      <w:lang/>
    </w:rPr>
  </w:style>
  <w:style w:type="character" w:customStyle="1" w:styleId="Char3">
    <w:name w:val="页眉 Char"/>
    <w:link w:val="af8"/>
    <w:rsid w:val="00967F05"/>
    <w:rPr>
      <w:kern w:val="2"/>
      <w:sz w:val="18"/>
      <w:szCs w:val="18"/>
    </w:rPr>
  </w:style>
  <w:style w:type="character" w:styleId="af9">
    <w:name w:val="Emphasis"/>
    <w:uiPriority w:val="20"/>
    <w:qFormat/>
    <w:rsid w:val="009811A0"/>
    <w:rPr>
      <w:i/>
      <w:iCs/>
    </w:rPr>
  </w:style>
  <w:style w:type="paragraph" w:styleId="afa">
    <w:name w:val="List Paragraph"/>
    <w:basedOn w:val="a"/>
    <w:uiPriority w:val="34"/>
    <w:qFormat/>
    <w:rsid w:val="00A22B1D"/>
    <w:pPr>
      <w:ind w:firstLineChars="200" w:firstLine="420"/>
    </w:pPr>
  </w:style>
  <w:style w:type="character" w:customStyle="1" w:styleId="3Char">
    <w:name w:val="标题 3 Char"/>
    <w:aliases w:val="标题样式1 Char"/>
    <w:link w:val="30"/>
    <w:rsid w:val="00932B96"/>
    <w:rPr>
      <w:b/>
      <w:bCs/>
      <w:kern w:val="2"/>
      <w:sz w:val="32"/>
      <w:szCs w:val="32"/>
    </w:rPr>
  </w:style>
  <w:style w:type="table" w:customStyle="1" w:styleId="TableNormal">
    <w:name w:val="Table Normal"/>
    <w:uiPriority w:val="2"/>
    <w:semiHidden/>
    <w:unhideWhenUsed/>
    <w:qFormat/>
    <w:rsid w:val="00475A8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5A85"/>
    <w:pPr>
      <w:autoSpaceDE w:val="0"/>
      <w:autoSpaceDN w:val="0"/>
      <w:spacing w:line="274" w:lineRule="exact"/>
      <w:ind w:left="100"/>
      <w:jc w:val="left"/>
    </w:pPr>
    <w:rPr>
      <w:rFonts w:ascii="宋体" w:hAnsi="宋体" w:cs="宋体"/>
      <w:kern w:val="0"/>
      <w:sz w:val="22"/>
      <w:szCs w:val="22"/>
      <w:lang w:eastAsia="en-US"/>
    </w:rPr>
  </w:style>
  <w:style w:type="numbering" w:customStyle="1" w:styleId="1111111">
    <w:name w:val="1 / 1.1 / 1.1.11"/>
    <w:basedOn w:val="a2"/>
    <w:next w:val="111111"/>
    <w:rsid w:val="00681821"/>
  </w:style>
</w:styles>
</file>

<file path=word/webSettings.xml><?xml version="1.0" encoding="utf-8"?>
<w:webSettings xmlns:r="http://schemas.openxmlformats.org/officeDocument/2006/relationships" xmlns:w="http://schemas.openxmlformats.org/wordprocessingml/2006/main">
  <w:divs>
    <w:div w:id="18554029">
      <w:bodyDiv w:val="1"/>
      <w:marLeft w:val="0"/>
      <w:marRight w:val="0"/>
      <w:marTop w:val="0"/>
      <w:marBottom w:val="0"/>
      <w:divBdr>
        <w:top w:val="none" w:sz="0" w:space="0" w:color="auto"/>
        <w:left w:val="none" w:sz="0" w:space="0" w:color="auto"/>
        <w:bottom w:val="none" w:sz="0" w:space="0" w:color="auto"/>
        <w:right w:val="none" w:sz="0" w:space="0" w:color="auto"/>
      </w:divBdr>
    </w:div>
    <w:div w:id="64571589">
      <w:bodyDiv w:val="1"/>
      <w:marLeft w:val="0"/>
      <w:marRight w:val="0"/>
      <w:marTop w:val="0"/>
      <w:marBottom w:val="0"/>
      <w:divBdr>
        <w:top w:val="none" w:sz="0" w:space="0" w:color="auto"/>
        <w:left w:val="none" w:sz="0" w:space="0" w:color="auto"/>
        <w:bottom w:val="none" w:sz="0" w:space="0" w:color="auto"/>
        <w:right w:val="none" w:sz="0" w:space="0" w:color="auto"/>
      </w:divBdr>
    </w:div>
    <w:div w:id="103158610">
      <w:bodyDiv w:val="1"/>
      <w:marLeft w:val="0"/>
      <w:marRight w:val="0"/>
      <w:marTop w:val="0"/>
      <w:marBottom w:val="0"/>
      <w:divBdr>
        <w:top w:val="none" w:sz="0" w:space="0" w:color="auto"/>
        <w:left w:val="none" w:sz="0" w:space="0" w:color="auto"/>
        <w:bottom w:val="none" w:sz="0" w:space="0" w:color="auto"/>
        <w:right w:val="none" w:sz="0" w:space="0" w:color="auto"/>
      </w:divBdr>
    </w:div>
    <w:div w:id="112948913">
      <w:bodyDiv w:val="1"/>
      <w:marLeft w:val="0"/>
      <w:marRight w:val="0"/>
      <w:marTop w:val="0"/>
      <w:marBottom w:val="0"/>
      <w:divBdr>
        <w:top w:val="none" w:sz="0" w:space="0" w:color="auto"/>
        <w:left w:val="none" w:sz="0" w:space="0" w:color="auto"/>
        <w:bottom w:val="none" w:sz="0" w:space="0" w:color="auto"/>
        <w:right w:val="none" w:sz="0" w:space="0" w:color="auto"/>
      </w:divBdr>
    </w:div>
    <w:div w:id="159463474">
      <w:bodyDiv w:val="1"/>
      <w:marLeft w:val="0"/>
      <w:marRight w:val="0"/>
      <w:marTop w:val="0"/>
      <w:marBottom w:val="0"/>
      <w:divBdr>
        <w:top w:val="none" w:sz="0" w:space="0" w:color="auto"/>
        <w:left w:val="none" w:sz="0" w:space="0" w:color="auto"/>
        <w:bottom w:val="none" w:sz="0" w:space="0" w:color="auto"/>
        <w:right w:val="none" w:sz="0" w:space="0" w:color="auto"/>
      </w:divBdr>
    </w:div>
    <w:div w:id="162015626">
      <w:bodyDiv w:val="1"/>
      <w:marLeft w:val="0"/>
      <w:marRight w:val="0"/>
      <w:marTop w:val="0"/>
      <w:marBottom w:val="0"/>
      <w:divBdr>
        <w:top w:val="none" w:sz="0" w:space="0" w:color="auto"/>
        <w:left w:val="none" w:sz="0" w:space="0" w:color="auto"/>
        <w:bottom w:val="none" w:sz="0" w:space="0" w:color="auto"/>
        <w:right w:val="none" w:sz="0" w:space="0" w:color="auto"/>
      </w:divBdr>
    </w:div>
    <w:div w:id="228156584">
      <w:bodyDiv w:val="1"/>
      <w:marLeft w:val="0"/>
      <w:marRight w:val="0"/>
      <w:marTop w:val="0"/>
      <w:marBottom w:val="0"/>
      <w:divBdr>
        <w:top w:val="none" w:sz="0" w:space="0" w:color="auto"/>
        <w:left w:val="none" w:sz="0" w:space="0" w:color="auto"/>
        <w:bottom w:val="none" w:sz="0" w:space="0" w:color="auto"/>
        <w:right w:val="none" w:sz="0" w:space="0" w:color="auto"/>
      </w:divBdr>
    </w:div>
    <w:div w:id="231045109">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15233282">
      <w:bodyDiv w:val="1"/>
      <w:marLeft w:val="0"/>
      <w:marRight w:val="0"/>
      <w:marTop w:val="0"/>
      <w:marBottom w:val="0"/>
      <w:divBdr>
        <w:top w:val="none" w:sz="0" w:space="0" w:color="auto"/>
        <w:left w:val="none" w:sz="0" w:space="0" w:color="auto"/>
        <w:bottom w:val="none" w:sz="0" w:space="0" w:color="auto"/>
        <w:right w:val="none" w:sz="0" w:space="0" w:color="auto"/>
      </w:divBdr>
    </w:div>
    <w:div w:id="330378921">
      <w:bodyDiv w:val="1"/>
      <w:marLeft w:val="0"/>
      <w:marRight w:val="0"/>
      <w:marTop w:val="0"/>
      <w:marBottom w:val="0"/>
      <w:divBdr>
        <w:top w:val="none" w:sz="0" w:space="0" w:color="auto"/>
        <w:left w:val="none" w:sz="0" w:space="0" w:color="auto"/>
        <w:bottom w:val="none" w:sz="0" w:space="0" w:color="auto"/>
        <w:right w:val="none" w:sz="0" w:space="0" w:color="auto"/>
      </w:divBdr>
    </w:div>
    <w:div w:id="355470139">
      <w:bodyDiv w:val="1"/>
      <w:marLeft w:val="0"/>
      <w:marRight w:val="0"/>
      <w:marTop w:val="0"/>
      <w:marBottom w:val="0"/>
      <w:divBdr>
        <w:top w:val="none" w:sz="0" w:space="0" w:color="auto"/>
        <w:left w:val="none" w:sz="0" w:space="0" w:color="auto"/>
        <w:bottom w:val="none" w:sz="0" w:space="0" w:color="auto"/>
        <w:right w:val="none" w:sz="0" w:space="0" w:color="auto"/>
      </w:divBdr>
    </w:div>
    <w:div w:id="374161228">
      <w:bodyDiv w:val="1"/>
      <w:marLeft w:val="0"/>
      <w:marRight w:val="0"/>
      <w:marTop w:val="0"/>
      <w:marBottom w:val="0"/>
      <w:divBdr>
        <w:top w:val="none" w:sz="0" w:space="0" w:color="auto"/>
        <w:left w:val="none" w:sz="0" w:space="0" w:color="auto"/>
        <w:bottom w:val="none" w:sz="0" w:space="0" w:color="auto"/>
        <w:right w:val="none" w:sz="0" w:space="0" w:color="auto"/>
      </w:divBdr>
    </w:div>
    <w:div w:id="405566695">
      <w:bodyDiv w:val="1"/>
      <w:marLeft w:val="0"/>
      <w:marRight w:val="0"/>
      <w:marTop w:val="0"/>
      <w:marBottom w:val="0"/>
      <w:divBdr>
        <w:top w:val="none" w:sz="0" w:space="0" w:color="auto"/>
        <w:left w:val="none" w:sz="0" w:space="0" w:color="auto"/>
        <w:bottom w:val="none" w:sz="0" w:space="0" w:color="auto"/>
        <w:right w:val="none" w:sz="0" w:space="0" w:color="auto"/>
      </w:divBdr>
    </w:div>
    <w:div w:id="421804742">
      <w:bodyDiv w:val="1"/>
      <w:marLeft w:val="0"/>
      <w:marRight w:val="0"/>
      <w:marTop w:val="0"/>
      <w:marBottom w:val="0"/>
      <w:divBdr>
        <w:top w:val="none" w:sz="0" w:space="0" w:color="auto"/>
        <w:left w:val="none" w:sz="0" w:space="0" w:color="auto"/>
        <w:bottom w:val="none" w:sz="0" w:space="0" w:color="auto"/>
        <w:right w:val="none" w:sz="0" w:space="0" w:color="auto"/>
      </w:divBdr>
    </w:div>
    <w:div w:id="502821101">
      <w:bodyDiv w:val="1"/>
      <w:marLeft w:val="0"/>
      <w:marRight w:val="0"/>
      <w:marTop w:val="0"/>
      <w:marBottom w:val="0"/>
      <w:divBdr>
        <w:top w:val="none" w:sz="0" w:space="0" w:color="auto"/>
        <w:left w:val="none" w:sz="0" w:space="0" w:color="auto"/>
        <w:bottom w:val="none" w:sz="0" w:space="0" w:color="auto"/>
        <w:right w:val="none" w:sz="0" w:space="0" w:color="auto"/>
      </w:divBdr>
    </w:div>
    <w:div w:id="522404585">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27509938">
      <w:bodyDiv w:val="1"/>
      <w:marLeft w:val="0"/>
      <w:marRight w:val="0"/>
      <w:marTop w:val="0"/>
      <w:marBottom w:val="0"/>
      <w:divBdr>
        <w:top w:val="none" w:sz="0" w:space="0" w:color="auto"/>
        <w:left w:val="none" w:sz="0" w:space="0" w:color="auto"/>
        <w:bottom w:val="none" w:sz="0" w:space="0" w:color="auto"/>
        <w:right w:val="none" w:sz="0" w:space="0" w:color="auto"/>
      </w:divBdr>
    </w:div>
    <w:div w:id="719671274">
      <w:bodyDiv w:val="1"/>
      <w:marLeft w:val="0"/>
      <w:marRight w:val="0"/>
      <w:marTop w:val="0"/>
      <w:marBottom w:val="0"/>
      <w:divBdr>
        <w:top w:val="none" w:sz="0" w:space="0" w:color="auto"/>
        <w:left w:val="none" w:sz="0" w:space="0" w:color="auto"/>
        <w:bottom w:val="none" w:sz="0" w:space="0" w:color="auto"/>
        <w:right w:val="none" w:sz="0" w:space="0" w:color="auto"/>
      </w:divBdr>
    </w:div>
    <w:div w:id="730663459">
      <w:bodyDiv w:val="1"/>
      <w:marLeft w:val="0"/>
      <w:marRight w:val="0"/>
      <w:marTop w:val="0"/>
      <w:marBottom w:val="0"/>
      <w:divBdr>
        <w:top w:val="none" w:sz="0" w:space="0" w:color="auto"/>
        <w:left w:val="none" w:sz="0" w:space="0" w:color="auto"/>
        <w:bottom w:val="none" w:sz="0" w:space="0" w:color="auto"/>
        <w:right w:val="none" w:sz="0" w:space="0" w:color="auto"/>
      </w:divBdr>
    </w:div>
    <w:div w:id="735324363">
      <w:bodyDiv w:val="1"/>
      <w:marLeft w:val="0"/>
      <w:marRight w:val="0"/>
      <w:marTop w:val="0"/>
      <w:marBottom w:val="0"/>
      <w:divBdr>
        <w:top w:val="none" w:sz="0" w:space="0" w:color="auto"/>
        <w:left w:val="none" w:sz="0" w:space="0" w:color="auto"/>
        <w:bottom w:val="none" w:sz="0" w:space="0" w:color="auto"/>
        <w:right w:val="none" w:sz="0" w:space="0" w:color="auto"/>
      </w:divBdr>
    </w:div>
    <w:div w:id="757795106">
      <w:bodyDiv w:val="1"/>
      <w:marLeft w:val="0"/>
      <w:marRight w:val="0"/>
      <w:marTop w:val="0"/>
      <w:marBottom w:val="0"/>
      <w:divBdr>
        <w:top w:val="none" w:sz="0" w:space="0" w:color="auto"/>
        <w:left w:val="none" w:sz="0" w:space="0" w:color="auto"/>
        <w:bottom w:val="none" w:sz="0" w:space="0" w:color="auto"/>
        <w:right w:val="none" w:sz="0" w:space="0" w:color="auto"/>
      </w:divBdr>
    </w:div>
    <w:div w:id="849953294">
      <w:bodyDiv w:val="1"/>
      <w:marLeft w:val="0"/>
      <w:marRight w:val="0"/>
      <w:marTop w:val="0"/>
      <w:marBottom w:val="0"/>
      <w:divBdr>
        <w:top w:val="none" w:sz="0" w:space="0" w:color="auto"/>
        <w:left w:val="none" w:sz="0" w:space="0" w:color="auto"/>
        <w:bottom w:val="none" w:sz="0" w:space="0" w:color="auto"/>
        <w:right w:val="none" w:sz="0" w:space="0" w:color="auto"/>
      </w:divBdr>
    </w:div>
    <w:div w:id="862397078">
      <w:bodyDiv w:val="1"/>
      <w:marLeft w:val="0"/>
      <w:marRight w:val="0"/>
      <w:marTop w:val="0"/>
      <w:marBottom w:val="0"/>
      <w:divBdr>
        <w:top w:val="none" w:sz="0" w:space="0" w:color="auto"/>
        <w:left w:val="none" w:sz="0" w:space="0" w:color="auto"/>
        <w:bottom w:val="none" w:sz="0" w:space="0" w:color="auto"/>
        <w:right w:val="none" w:sz="0" w:space="0" w:color="auto"/>
      </w:divBdr>
    </w:div>
    <w:div w:id="918752580">
      <w:bodyDiv w:val="1"/>
      <w:marLeft w:val="0"/>
      <w:marRight w:val="0"/>
      <w:marTop w:val="0"/>
      <w:marBottom w:val="0"/>
      <w:divBdr>
        <w:top w:val="none" w:sz="0" w:space="0" w:color="auto"/>
        <w:left w:val="none" w:sz="0" w:space="0" w:color="auto"/>
        <w:bottom w:val="none" w:sz="0" w:space="0" w:color="auto"/>
        <w:right w:val="none" w:sz="0" w:space="0" w:color="auto"/>
      </w:divBdr>
    </w:div>
    <w:div w:id="940989910">
      <w:bodyDiv w:val="1"/>
      <w:marLeft w:val="0"/>
      <w:marRight w:val="0"/>
      <w:marTop w:val="0"/>
      <w:marBottom w:val="0"/>
      <w:divBdr>
        <w:top w:val="none" w:sz="0" w:space="0" w:color="auto"/>
        <w:left w:val="none" w:sz="0" w:space="0" w:color="auto"/>
        <w:bottom w:val="none" w:sz="0" w:space="0" w:color="auto"/>
        <w:right w:val="none" w:sz="0" w:space="0" w:color="auto"/>
      </w:divBdr>
    </w:div>
    <w:div w:id="1029375047">
      <w:bodyDiv w:val="1"/>
      <w:marLeft w:val="0"/>
      <w:marRight w:val="0"/>
      <w:marTop w:val="0"/>
      <w:marBottom w:val="0"/>
      <w:divBdr>
        <w:top w:val="none" w:sz="0" w:space="0" w:color="auto"/>
        <w:left w:val="none" w:sz="0" w:space="0" w:color="auto"/>
        <w:bottom w:val="none" w:sz="0" w:space="0" w:color="auto"/>
        <w:right w:val="none" w:sz="0" w:space="0" w:color="auto"/>
      </w:divBdr>
    </w:div>
    <w:div w:id="1058743203">
      <w:bodyDiv w:val="1"/>
      <w:marLeft w:val="0"/>
      <w:marRight w:val="0"/>
      <w:marTop w:val="0"/>
      <w:marBottom w:val="0"/>
      <w:divBdr>
        <w:top w:val="none" w:sz="0" w:space="0" w:color="auto"/>
        <w:left w:val="none" w:sz="0" w:space="0" w:color="auto"/>
        <w:bottom w:val="none" w:sz="0" w:space="0" w:color="auto"/>
        <w:right w:val="none" w:sz="0" w:space="0" w:color="auto"/>
      </w:divBdr>
    </w:div>
    <w:div w:id="1155804631">
      <w:bodyDiv w:val="1"/>
      <w:marLeft w:val="0"/>
      <w:marRight w:val="0"/>
      <w:marTop w:val="0"/>
      <w:marBottom w:val="0"/>
      <w:divBdr>
        <w:top w:val="none" w:sz="0" w:space="0" w:color="auto"/>
        <w:left w:val="none" w:sz="0" w:space="0" w:color="auto"/>
        <w:bottom w:val="none" w:sz="0" w:space="0" w:color="auto"/>
        <w:right w:val="none" w:sz="0" w:space="0" w:color="auto"/>
      </w:divBdr>
    </w:div>
    <w:div w:id="1223905804">
      <w:bodyDiv w:val="1"/>
      <w:marLeft w:val="0"/>
      <w:marRight w:val="0"/>
      <w:marTop w:val="0"/>
      <w:marBottom w:val="0"/>
      <w:divBdr>
        <w:top w:val="none" w:sz="0" w:space="0" w:color="auto"/>
        <w:left w:val="none" w:sz="0" w:space="0" w:color="auto"/>
        <w:bottom w:val="none" w:sz="0" w:space="0" w:color="auto"/>
        <w:right w:val="none" w:sz="0" w:space="0" w:color="auto"/>
      </w:divBdr>
    </w:div>
    <w:div w:id="1259948404">
      <w:bodyDiv w:val="1"/>
      <w:marLeft w:val="0"/>
      <w:marRight w:val="0"/>
      <w:marTop w:val="0"/>
      <w:marBottom w:val="0"/>
      <w:divBdr>
        <w:top w:val="none" w:sz="0" w:space="0" w:color="auto"/>
        <w:left w:val="none" w:sz="0" w:space="0" w:color="auto"/>
        <w:bottom w:val="none" w:sz="0" w:space="0" w:color="auto"/>
        <w:right w:val="none" w:sz="0" w:space="0" w:color="auto"/>
      </w:divBdr>
    </w:div>
    <w:div w:id="1289624893">
      <w:bodyDiv w:val="1"/>
      <w:marLeft w:val="0"/>
      <w:marRight w:val="0"/>
      <w:marTop w:val="0"/>
      <w:marBottom w:val="0"/>
      <w:divBdr>
        <w:top w:val="none" w:sz="0" w:space="0" w:color="auto"/>
        <w:left w:val="none" w:sz="0" w:space="0" w:color="auto"/>
        <w:bottom w:val="none" w:sz="0" w:space="0" w:color="auto"/>
        <w:right w:val="none" w:sz="0" w:space="0" w:color="auto"/>
      </w:divBdr>
    </w:div>
    <w:div w:id="1358889342">
      <w:bodyDiv w:val="1"/>
      <w:marLeft w:val="0"/>
      <w:marRight w:val="0"/>
      <w:marTop w:val="0"/>
      <w:marBottom w:val="0"/>
      <w:divBdr>
        <w:top w:val="none" w:sz="0" w:space="0" w:color="auto"/>
        <w:left w:val="none" w:sz="0" w:space="0" w:color="auto"/>
        <w:bottom w:val="none" w:sz="0" w:space="0" w:color="auto"/>
        <w:right w:val="none" w:sz="0" w:space="0" w:color="auto"/>
      </w:divBdr>
    </w:div>
    <w:div w:id="1443643691">
      <w:bodyDiv w:val="1"/>
      <w:marLeft w:val="0"/>
      <w:marRight w:val="0"/>
      <w:marTop w:val="0"/>
      <w:marBottom w:val="0"/>
      <w:divBdr>
        <w:top w:val="none" w:sz="0" w:space="0" w:color="auto"/>
        <w:left w:val="none" w:sz="0" w:space="0" w:color="auto"/>
        <w:bottom w:val="none" w:sz="0" w:space="0" w:color="auto"/>
        <w:right w:val="none" w:sz="0" w:space="0" w:color="auto"/>
      </w:divBdr>
    </w:div>
    <w:div w:id="1459445639">
      <w:bodyDiv w:val="1"/>
      <w:marLeft w:val="0"/>
      <w:marRight w:val="0"/>
      <w:marTop w:val="0"/>
      <w:marBottom w:val="0"/>
      <w:divBdr>
        <w:top w:val="none" w:sz="0" w:space="0" w:color="auto"/>
        <w:left w:val="none" w:sz="0" w:space="0" w:color="auto"/>
        <w:bottom w:val="none" w:sz="0" w:space="0" w:color="auto"/>
        <w:right w:val="none" w:sz="0" w:space="0" w:color="auto"/>
      </w:divBdr>
    </w:div>
    <w:div w:id="1549217251">
      <w:bodyDiv w:val="1"/>
      <w:marLeft w:val="0"/>
      <w:marRight w:val="0"/>
      <w:marTop w:val="0"/>
      <w:marBottom w:val="0"/>
      <w:divBdr>
        <w:top w:val="none" w:sz="0" w:space="0" w:color="auto"/>
        <w:left w:val="none" w:sz="0" w:space="0" w:color="auto"/>
        <w:bottom w:val="none" w:sz="0" w:space="0" w:color="auto"/>
        <w:right w:val="none" w:sz="0" w:space="0" w:color="auto"/>
      </w:divBdr>
    </w:div>
    <w:div w:id="1564171987">
      <w:bodyDiv w:val="1"/>
      <w:marLeft w:val="0"/>
      <w:marRight w:val="0"/>
      <w:marTop w:val="0"/>
      <w:marBottom w:val="0"/>
      <w:divBdr>
        <w:top w:val="none" w:sz="0" w:space="0" w:color="auto"/>
        <w:left w:val="none" w:sz="0" w:space="0" w:color="auto"/>
        <w:bottom w:val="none" w:sz="0" w:space="0" w:color="auto"/>
        <w:right w:val="none" w:sz="0" w:space="0" w:color="auto"/>
      </w:divBdr>
    </w:div>
    <w:div w:id="1565329961">
      <w:bodyDiv w:val="1"/>
      <w:marLeft w:val="0"/>
      <w:marRight w:val="0"/>
      <w:marTop w:val="0"/>
      <w:marBottom w:val="0"/>
      <w:divBdr>
        <w:top w:val="none" w:sz="0" w:space="0" w:color="auto"/>
        <w:left w:val="none" w:sz="0" w:space="0" w:color="auto"/>
        <w:bottom w:val="none" w:sz="0" w:space="0" w:color="auto"/>
        <w:right w:val="none" w:sz="0" w:space="0" w:color="auto"/>
      </w:divBdr>
    </w:div>
    <w:div w:id="1602300957">
      <w:bodyDiv w:val="1"/>
      <w:marLeft w:val="0"/>
      <w:marRight w:val="0"/>
      <w:marTop w:val="0"/>
      <w:marBottom w:val="0"/>
      <w:divBdr>
        <w:top w:val="none" w:sz="0" w:space="0" w:color="auto"/>
        <w:left w:val="none" w:sz="0" w:space="0" w:color="auto"/>
        <w:bottom w:val="none" w:sz="0" w:space="0" w:color="auto"/>
        <w:right w:val="none" w:sz="0" w:space="0" w:color="auto"/>
      </w:divBdr>
    </w:div>
    <w:div w:id="1688484501">
      <w:bodyDiv w:val="1"/>
      <w:marLeft w:val="0"/>
      <w:marRight w:val="0"/>
      <w:marTop w:val="0"/>
      <w:marBottom w:val="0"/>
      <w:divBdr>
        <w:top w:val="none" w:sz="0" w:space="0" w:color="auto"/>
        <w:left w:val="none" w:sz="0" w:space="0" w:color="auto"/>
        <w:bottom w:val="none" w:sz="0" w:space="0" w:color="auto"/>
        <w:right w:val="none" w:sz="0" w:space="0" w:color="auto"/>
      </w:divBdr>
    </w:div>
    <w:div w:id="1739550209">
      <w:bodyDiv w:val="1"/>
      <w:marLeft w:val="0"/>
      <w:marRight w:val="0"/>
      <w:marTop w:val="0"/>
      <w:marBottom w:val="0"/>
      <w:divBdr>
        <w:top w:val="none" w:sz="0" w:space="0" w:color="auto"/>
        <w:left w:val="none" w:sz="0" w:space="0" w:color="auto"/>
        <w:bottom w:val="none" w:sz="0" w:space="0" w:color="auto"/>
        <w:right w:val="none" w:sz="0" w:space="0" w:color="auto"/>
      </w:divBdr>
    </w:div>
    <w:div w:id="179065911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61166224">
      <w:bodyDiv w:val="1"/>
      <w:marLeft w:val="0"/>
      <w:marRight w:val="0"/>
      <w:marTop w:val="0"/>
      <w:marBottom w:val="0"/>
      <w:divBdr>
        <w:top w:val="none" w:sz="0" w:space="0" w:color="auto"/>
        <w:left w:val="none" w:sz="0" w:space="0" w:color="auto"/>
        <w:bottom w:val="none" w:sz="0" w:space="0" w:color="auto"/>
        <w:right w:val="none" w:sz="0" w:space="0" w:color="auto"/>
      </w:divBdr>
    </w:div>
    <w:div w:id="1900434012">
      <w:bodyDiv w:val="1"/>
      <w:marLeft w:val="0"/>
      <w:marRight w:val="0"/>
      <w:marTop w:val="0"/>
      <w:marBottom w:val="0"/>
      <w:divBdr>
        <w:top w:val="none" w:sz="0" w:space="0" w:color="auto"/>
        <w:left w:val="none" w:sz="0" w:space="0" w:color="auto"/>
        <w:bottom w:val="none" w:sz="0" w:space="0" w:color="auto"/>
        <w:right w:val="none" w:sz="0" w:space="0" w:color="auto"/>
      </w:divBdr>
    </w:div>
    <w:div w:id="1912933507">
      <w:bodyDiv w:val="1"/>
      <w:marLeft w:val="0"/>
      <w:marRight w:val="0"/>
      <w:marTop w:val="0"/>
      <w:marBottom w:val="0"/>
      <w:divBdr>
        <w:top w:val="none" w:sz="0" w:space="0" w:color="auto"/>
        <w:left w:val="none" w:sz="0" w:space="0" w:color="auto"/>
        <w:bottom w:val="none" w:sz="0" w:space="0" w:color="auto"/>
        <w:right w:val="none" w:sz="0" w:space="0" w:color="auto"/>
      </w:divBdr>
    </w:div>
    <w:div w:id="1917131169">
      <w:bodyDiv w:val="1"/>
      <w:marLeft w:val="0"/>
      <w:marRight w:val="0"/>
      <w:marTop w:val="0"/>
      <w:marBottom w:val="0"/>
      <w:divBdr>
        <w:top w:val="none" w:sz="0" w:space="0" w:color="auto"/>
        <w:left w:val="none" w:sz="0" w:space="0" w:color="auto"/>
        <w:bottom w:val="none" w:sz="0" w:space="0" w:color="auto"/>
        <w:right w:val="none" w:sz="0" w:space="0" w:color="auto"/>
      </w:divBdr>
    </w:div>
    <w:div w:id="1996109461">
      <w:bodyDiv w:val="1"/>
      <w:marLeft w:val="0"/>
      <w:marRight w:val="0"/>
      <w:marTop w:val="0"/>
      <w:marBottom w:val="0"/>
      <w:divBdr>
        <w:top w:val="none" w:sz="0" w:space="0" w:color="auto"/>
        <w:left w:val="none" w:sz="0" w:space="0" w:color="auto"/>
        <w:bottom w:val="none" w:sz="0" w:space="0" w:color="auto"/>
        <w:right w:val="none" w:sz="0" w:space="0" w:color="auto"/>
      </w:divBdr>
    </w:div>
    <w:div w:id="2001426692">
      <w:bodyDiv w:val="1"/>
      <w:marLeft w:val="0"/>
      <w:marRight w:val="0"/>
      <w:marTop w:val="0"/>
      <w:marBottom w:val="0"/>
      <w:divBdr>
        <w:top w:val="none" w:sz="0" w:space="0" w:color="auto"/>
        <w:left w:val="none" w:sz="0" w:space="0" w:color="auto"/>
        <w:bottom w:val="none" w:sz="0" w:space="0" w:color="auto"/>
        <w:right w:val="none" w:sz="0" w:space="0" w:color="auto"/>
      </w:divBdr>
    </w:div>
    <w:div w:id="2061897501">
      <w:bodyDiv w:val="1"/>
      <w:marLeft w:val="0"/>
      <w:marRight w:val="0"/>
      <w:marTop w:val="0"/>
      <w:marBottom w:val="0"/>
      <w:divBdr>
        <w:top w:val="none" w:sz="0" w:space="0" w:color="auto"/>
        <w:left w:val="none" w:sz="0" w:space="0" w:color="auto"/>
        <w:bottom w:val="none" w:sz="0" w:space="0" w:color="auto"/>
        <w:right w:val="none" w:sz="0" w:space="0" w:color="auto"/>
      </w:divBdr>
    </w:div>
    <w:div w:id="2070953987">
      <w:bodyDiv w:val="1"/>
      <w:marLeft w:val="0"/>
      <w:marRight w:val="0"/>
      <w:marTop w:val="0"/>
      <w:marBottom w:val="0"/>
      <w:divBdr>
        <w:top w:val="none" w:sz="0" w:space="0" w:color="auto"/>
        <w:left w:val="none" w:sz="0" w:space="0" w:color="auto"/>
        <w:bottom w:val="none" w:sz="0" w:space="0" w:color="auto"/>
        <w:right w:val="none" w:sz="0" w:space="0" w:color="auto"/>
      </w:divBdr>
    </w:div>
    <w:div w:id="2089108826">
      <w:bodyDiv w:val="1"/>
      <w:marLeft w:val="0"/>
      <w:marRight w:val="0"/>
      <w:marTop w:val="0"/>
      <w:marBottom w:val="0"/>
      <w:divBdr>
        <w:top w:val="none" w:sz="0" w:space="0" w:color="auto"/>
        <w:left w:val="none" w:sz="0" w:space="0" w:color="auto"/>
        <w:bottom w:val="none" w:sz="0" w:space="0" w:color="auto"/>
        <w:right w:val="none" w:sz="0" w:space="0" w:color="auto"/>
      </w:divBdr>
    </w:div>
    <w:div w:id="2094661711">
      <w:bodyDiv w:val="1"/>
      <w:marLeft w:val="0"/>
      <w:marRight w:val="0"/>
      <w:marTop w:val="0"/>
      <w:marBottom w:val="0"/>
      <w:divBdr>
        <w:top w:val="none" w:sz="0" w:space="0" w:color="auto"/>
        <w:left w:val="none" w:sz="0" w:space="0" w:color="auto"/>
        <w:bottom w:val="none" w:sz="0" w:space="0" w:color="auto"/>
        <w:right w:val="none" w:sz="0" w:space="0" w:color="auto"/>
      </w:divBdr>
    </w:div>
    <w:div w:id="2108958821">
      <w:bodyDiv w:val="1"/>
      <w:marLeft w:val="0"/>
      <w:marRight w:val="0"/>
      <w:marTop w:val="0"/>
      <w:marBottom w:val="0"/>
      <w:divBdr>
        <w:top w:val="none" w:sz="0" w:space="0" w:color="auto"/>
        <w:left w:val="none" w:sz="0" w:space="0" w:color="auto"/>
        <w:bottom w:val="none" w:sz="0" w:space="0" w:color="auto"/>
        <w:right w:val="none" w:sz="0" w:space="0" w:color="auto"/>
      </w:divBdr>
    </w:div>
    <w:div w:id="213910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qiao_ying\AppData\Local\Microsoft\Windows\Temporary%20Internet%20Files\Content.Outlook\1NUZJKW9\&#22269;&#27888;&#20013;&#22269;&#20225;&#19994;&#22659;&#22806;&#39640;&#25910;&#30410;&#20538;&#21048;&#65288;QDII&#65289;&#22522;&#37329;&#24320;&#25918;&#26085;&#24120;&#30003;&#36141;&#12289;&#36174;&#22238;&#12289;&#23450;&#26399;&#23450;&#39069;&#25237;&#36164;&#19994;&#21153;&#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E8791-DF1F-4E79-A5F2-DC4C6FCA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国泰中国企业境外高收益债券（QDII）基金开放日常申购、赎回、定期定额投资业务公告.dot</Template>
  <TotalTime>0</TotalTime>
  <Pages>3</Pages>
  <Words>1037</Words>
  <Characters>5912</Characters>
  <Application>Microsoft Office Word</Application>
  <DocSecurity>4</DocSecurity>
  <Lines>49</Lines>
  <Paragraphs>13</Paragraphs>
  <ScaleCrop>false</ScaleCrop>
  <Company>WwW.YlmF.CoM</Company>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dc:description/>
  <cp:lastModifiedBy>ZHONGM</cp:lastModifiedBy>
  <cp:revision>2</cp:revision>
  <cp:lastPrinted>2019-09-03T08:42:00Z</cp:lastPrinted>
  <dcterms:created xsi:type="dcterms:W3CDTF">2025-10-21T16:01:00Z</dcterms:created>
  <dcterms:modified xsi:type="dcterms:W3CDTF">2025-10-21T16:01:00Z</dcterms:modified>
  <dc:identifier/>
  <dc:language/>
</cp:coreProperties>
</file>