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89C" w:rsidRPr="00161B0C" w:rsidRDefault="00CB189C" w:rsidP="006200A5">
      <w:pPr>
        <w:spacing w:line="360" w:lineRule="auto"/>
        <w:jc w:val="center"/>
        <w:rPr>
          <w:rFonts w:asciiTheme="minorEastAsia" w:hAnsiTheme="minorEastAsia"/>
          <w:b/>
          <w:sz w:val="28"/>
          <w:szCs w:val="24"/>
        </w:rPr>
      </w:pPr>
      <w:r w:rsidRPr="00161B0C">
        <w:rPr>
          <w:rFonts w:asciiTheme="minorEastAsia" w:hAnsiTheme="minorEastAsia" w:hint="eastAsia"/>
          <w:b/>
          <w:sz w:val="28"/>
          <w:szCs w:val="24"/>
        </w:rPr>
        <w:t>关于</w:t>
      </w:r>
      <w:r w:rsidR="00161B0C" w:rsidRPr="00161B0C">
        <w:rPr>
          <w:rFonts w:asciiTheme="minorEastAsia" w:hAnsiTheme="minorEastAsia" w:hint="eastAsia"/>
          <w:b/>
          <w:sz w:val="28"/>
          <w:szCs w:val="24"/>
        </w:rPr>
        <w:t>汇添富ESG可持续成长股票型证券投资基金</w:t>
      </w:r>
      <w:r w:rsidRPr="00161B0C">
        <w:rPr>
          <w:rFonts w:asciiTheme="minorEastAsia" w:hAnsiTheme="minorEastAsia" w:hint="eastAsia"/>
          <w:b/>
          <w:sz w:val="28"/>
          <w:szCs w:val="24"/>
        </w:rPr>
        <w:t>开通同一基金不同类别份额转换业务的公告</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为满足广大投资者的理财需求，</w:t>
      </w:r>
      <w:r w:rsidR="0016244A" w:rsidRPr="00161B0C">
        <w:rPr>
          <w:rFonts w:asciiTheme="minorEastAsia" w:hAnsiTheme="minorEastAsia" w:hint="eastAsia"/>
          <w:sz w:val="24"/>
          <w:szCs w:val="24"/>
        </w:rPr>
        <w:t>汇添富基金管理股份有限公司</w:t>
      </w:r>
      <w:r w:rsidRPr="00161B0C">
        <w:rPr>
          <w:rFonts w:asciiTheme="minorEastAsia" w:hAnsiTheme="minorEastAsia" w:hint="eastAsia"/>
          <w:sz w:val="24"/>
          <w:szCs w:val="24"/>
        </w:rPr>
        <w:t>（以下简称“本公司”）决定从</w:t>
      </w:r>
      <w:r w:rsidR="00EF6DD5" w:rsidRPr="00161B0C">
        <w:rPr>
          <w:rFonts w:asciiTheme="minorEastAsia" w:hAnsiTheme="minorEastAsia" w:hint="eastAsia"/>
          <w:sz w:val="24"/>
          <w:szCs w:val="24"/>
        </w:rPr>
        <w:t>2025年</w:t>
      </w:r>
      <w:r w:rsidR="00EF6DD5" w:rsidRPr="00161B0C">
        <w:rPr>
          <w:rFonts w:asciiTheme="minorEastAsia" w:hAnsiTheme="minorEastAsia"/>
          <w:sz w:val="24"/>
          <w:szCs w:val="24"/>
        </w:rPr>
        <w:t>10</w:t>
      </w:r>
      <w:r w:rsidR="0016244A" w:rsidRPr="00161B0C">
        <w:rPr>
          <w:rFonts w:asciiTheme="minorEastAsia" w:hAnsiTheme="minorEastAsia" w:hint="eastAsia"/>
          <w:sz w:val="24"/>
          <w:szCs w:val="24"/>
        </w:rPr>
        <w:t>月</w:t>
      </w:r>
      <w:r w:rsidR="00161B0C" w:rsidRPr="00161B0C">
        <w:rPr>
          <w:rFonts w:asciiTheme="minorEastAsia" w:hAnsiTheme="minorEastAsia"/>
          <w:sz w:val="24"/>
          <w:szCs w:val="24"/>
        </w:rPr>
        <w:t>23</w:t>
      </w:r>
      <w:bookmarkStart w:id="0" w:name="_GoBack"/>
      <w:bookmarkEnd w:id="0"/>
      <w:r w:rsidRPr="00161B0C">
        <w:rPr>
          <w:rFonts w:asciiTheme="minorEastAsia" w:hAnsiTheme="minorEastAsia" w:hint="eastAsia"/>
          <w:sz w:val="24"/>
          <w:szCs w:val="24"/>
        </w:rPr>
        <w:t>日起，对</w:t>
      </w:r>
      <w:r w:rsidR="00161B0C" w:rsidRPr="00161B0C">
        <w:rPr>
          <w:rFonts w:asciiTheme="minorEastAsia" w:hAnsiTheme="minorEastAsia" w:hint="eastAsia"/>
          <w:sz w:val="24"/>
          <w:szCs w:val="24"/>
        </w:rPr>
        <w:t>汇添富ESG可持续成长股票型证券投资基金</w:t>
      </w:r>
      <w:r w:rsidRPr="00161B0C">
        <w:rPr>
          <w:rFonts w:asciiTheme="minorEastAsia" w:hAnsiTheme="minorEastAsia" w:hint="eastAsia"/>
          <w:sz w:val="24"/>
          <w:szCs w:val="24"/>
        </w:rPr>
        <w:t>开通同一基金不同类别基金份额之间的转换业务。现将有关事项公告如下：</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一、业务规则</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1、不同类别基金份额之间的转换业务是指：若投资者持有的某只基金产品具有两种或两种以上份额类别（基金</w:t>
      </w:r>
      <w:r w:rsidR="004F67D3" w:rsidRPr="00161B0C">
        <w:rPr>
          <w:rFonts w:asciiTheme="minorEastAsia" w:hAnsiTheme="minorEastAsia" w:hint="eastAsia"/>
          <w:sz w:val="24"/>
          <w:szCs w:val="24"/>
        </w:rPr>
        <w:t>份额</w:t>
      </w:r>
      <w:r w:rsidRPr="00161B0C">
        <w:rPr>
          <w:rFonts w:asciiTheme="minorEastAsia" w:hAnsiTheme="minorEastAsia" w:hint="eastAsia"/>
          <w:sz w:val="24"/>
          <w:szCs w:val="24"/>
        </w:rPr>
        <w:t>代码不同），投资者可以将其持有的某一类份额转换成同只基金的另一类份额，转换规则遵从注册登记机构业务规则。</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2、转换费用的计算</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（1）基金转换业务需要收取一定的转换费。基金转换费用由转出基金份额的基金份额持有人承担，在基金份额持有人进行基金转换时收取。</w:t>
      </w:r>
    </w:p>
    <w:p w:rsidR="0016244A"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（2）基金转换费用按照转出基金的赎回费用加上转出基金与转入基金申购费用补差的标准收取。</w:t>
      </w:r>
      <w:r w:rsidR="0016244A" w:rsidRPr="00161B0C">
        <w:rPr>
          <w:rFonts w:asciiTheme="minorEastAsia" w:hAnsiTheme="minorEastAsia" w:hint="eastAsia"/>
          <w:sz w:val="24"/>
          <w:szCs w:val="24"/>
        </w:rPr>
        <w:t xml:space="preserve">当转出基金申购费率低于转入基金申购费率时，费用补差为按照转出基金金额计算的申购费用差额；当转出基金申购费率不低于转入基金申购费率时，不收取费用补差。 </w:t>
      </w:r>
    </w:p>
    <w:p w:rsidR="0016244A" w:rsidRPr="00161B0C" w:rsidRDefault="0016244A"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基金转换份额的计算公式：</w:t>
      </w:r>
    </w:p>
    <w:p w:rsidR="0016244A" w:rsidRPr="00161B0C" w:rsidRDefault="0016244A"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 xml:space="preserve">转出确认金额＝转出份额×转出基金份额净值 </w:t>
      </w:r>
    </w:p>
    <w:p w:rsidR="0016244A" w:rsidRPr="00161B0C" w:rsidRDefault="0016244A"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赎回费＝转出确认金额×赎回费率</w:t>
      </w:r>
    </w:p>
    <w:p w:rsidR="0016244A" w:rsidRPr="00161B0C" w:rsidRDefault="0016244A"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补差费＝(转出确认金额－赎回费)×补差费率÷(1＋补差费率)</w:t>
      </w:r>
    </w:p>
    <w:p w:rsidR="0016244A" w:rsidRPr="00161B0C" w:rsidRDefault="0016244A"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转入确认金额＝转出确认金额－赎回费－补差费</w:t>
      </w:r>
    </w:p>
    <w:p w:rsidR="0016244A" w:rsidRPr="00161B0C" w:rsidRDefault="0016244A"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转入确认份额＝转入确认金额÷转入基金份额净值</w:t>
      </w:r>
    </w:p>
    <w:p w:rsidR="0016244A" w:rsidRPr="00161B0C" w:rsidRDefault="0016244A"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（若转出基金申购费率不低于转入基金申购费率时，补差费为零）</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（3）投资者在各基金销售机构办理基金转换业务时，具体费率优惠细则请以销售机构的相关公告和规定为准。</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3、转换业务基本规则</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（1）基金转换只能在同一销售机构进行。</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（2）基金转换以份额为单位进行申请。投资者同一天可以发起多次基金转换业务，基金转换费用按每笔申请单独计算，计算结果按照四舍五入方法，保留</w:t>
      </w:r>
      <w:r w:rsidRPr="00161B0C">
        <w:rPr>
          <w:rFonts w:asciiTheme="minorEastAsia" w:hAnsiTheme="minorEastAsia" w:hint="eastAsia"/>
          <w:sz w:val="24"/>
          <w:szCs w:val="24"/>
        </w:rPr>
        <w:lastRenderedPageBreak/>
        <w:t>小数点后两位。</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（3）基金转换采取未知价法，即基金的转换价格以转换申请受理当日各转出、转入基金的份额净值为基准进行计算。</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（4）基金份额持有人可将其全部或部分基金份额转换成另一只基金份额，每类基金份额单笔转出申请不得少于</w:t>
      </w:r>
      <w:r w:rsidR="0016244A" w:rsidRPr="00161B0C">
        <w:rPr>
          <w:rFonts w:asciiTheme="minorEastAsia" w:hAnsiTheme="minorEastAsia"/>
          <w:sz w:val="24"/>
          <w:szCs w:val="24"/>
        </w:rPr>
        <w:t>0.1</w:t>
      </w:r>
      <w:r w:rsidRPr="00161B0C">
        <w:rPr>
          <w:rFonts w:asciiTheme="minorEastAsia" w:hAnsiTheme="minorEastAsia" w:hint="eastAsia"/>
          <w:sz w:val="24"/>
          <w:szCs w:val="24"/>
        </w:rPr>
        <w:t>份（如该账户在该销售机构托管的该类基金份额余额不足</w:t>
      </w:r>
      <w:r w:rsidR="0016244A" w:rsidRPr="00161B0C">
        <w:rPr>
          <w:rFonts w:asciiTheme="minorEastAsia" w:hAnsiTheme="minorEastAsia"/>
          <w:sz w:val="24"/>
          <w:szCs w:val="24"/>
        </w:rPr>
        <w:t>0.1</w:t>
      </w:r>
      <w:r w:rsidRPr="00161B0C">
        <w:rPr>
          <w:rFonts w:asciiTheme="minorEastAsia" w:hAnsiTheme="minorEastAsia" w:hint="eastAsia"/>
          <w:sz w:val="24"/>
          <w:szCs w:val="24"/>
        </w:rPr>
        <w:t>份，则必须一次性转出该类基金</w:t>
      </w:r>
      <w:r w:rsidR="00364566" w:rsidRPr="00161B0C">
        <w:rPr>
          <w:rFonts w:asciiTheme="minorEastAsia" w:hAnsiTheme="minorEastAsia" w:hint="eastAsia"/>
          <w:sz w:val="24"/>
          <w:szCs w:val="24"/>
        </w:rPr>
        <w:t>份额</w:t>
      </w:r>
      <w:r w:rsidRPr="00161B0C">
        <w:rPr>
          <w:rFonts w:asciiTheme="minorEastAsia" w:hAnsiTheme="minorEastAsia" w:hint="eastAsia"/>
          <w:sz w:val="24"/>
          <w:szCs w:val="24"/>
        </w:rPr>
        <w:t>全部份额）；若某笔转换导致投资者在该销售机构托管的该类基金份额余额低于该类基金份额在《招募说明书》（含更新）或相关公告中约定的最低</w:t>
      </w:r>
      <w:r w:rsidR="00364566" w:rsidRPr="00161B0C">
        <w:rPr>
          <w:rFonts w:asciiTheme="minorEastAsia" w:hAnsiTheme="minorEastAsia" w:hint="eastAsia"/>
          <w:sz w:val="24"/>
          <w:szCs w:val="24"/>
        </w:rPr>
        <w:t>持有</w:t>
      </w:r>
      <w:r w:rsidRPr="00161B0C">
        <w:rPr>
          <w:rFonts w:asciiTheme="minorEastAsia" w:hAnsiTheme="minorEastAsia" w:hint="eastAsia"/>
          <w:sz w:val="24"/>
          <w:szCs w:val="24"/>
        </w:rPr>
        <w:t>份额时，本公司有权将投资者在该销售机构托管的该类基金剩余份额一次性全部赎回。</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（5）投资者办理基金转换业务时，转出方的基金必须处于可赎回状态，转入方的基金必须处于可申购状态。</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（6）转换结果以注册登记机构的记录为准，转入份额的计算结果保留位数依照转入基金的《招募说明书》（含更新）的规定。由此误差产生的损失由基金财产承担，产生的收益归基金财产所有。</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（7）本公司旗下各基金的转换业务的解释权归本公司，本公司可以根据市场情况在不违反有关法律法规和基金合同的规定</w:t>
      </w:r>
      <w:r w:rsidR="00364566" w:rsidRPr="00161B0C">
        <w:rPr>
          <w:rFonts w:asciiTheme="minorEastAsia" w:hAnsiTheme="minorEastAsia" w:hint="eastAsia"/>
          <w:sz w:val="24"/>
          <w:szCs w:val="24"/>
        </w:rPr>
        <w:t>的</w:t>
      </w:r>
      <w:r w:rsidRPr="00161B0C">
        <w:rPr>
          <w:rFonts w:asciiTheme="minorEastAsia" w:hAnsiTheme="minorEastAsia" w:hint="eastAsia"/>
          <w:sz w:val="24"/>
          <w:szCs w:val="24"/>
        </w:rPr>
        <w:t>前提下调整上述转换的业务规则及有关限制。</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二、适用</w:t>
      </w:r>
      <w:r w:rsidR="004F67D3" w:rsidRPr="00161B0C">
        <w:rPr>
          <w:rFonts w:asciiTheme="minorEastAsia" w:hAnsiTheme="minorEastAsia" w:hint="eastAsia"/>
          <w:sz w:val="24"/>
          <w:szCs w:val="24"/>
        </w:rPr>
        <w:t>基金份额类别及</w:t>
      </w:r>
      <w:r w:rsidRPr="00161B0C">
        <w:rPr>
          <w:rFonts w:asciiTheme="minorEastAsia" w:hAnsiTheme="minorEastAsia" w:hint="eastAsia"/>
          <w:sz w:val="24"/>
          <w:szCs w:val="24"/>
        </w:rPr>
        <w:t>销售渠道</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自</w:t>
      </w:r>
      <w:r w:rsidR="00EF6DD5" w:rsidRPr="00161B0C">
        <w:rPr>
          <w:rFonts w:asciiTheme="minorEastAsia" w:hAnsiTheme="minorEastAsia" w:hint="eastAsia"/>
          <w:sz w:val="24"/>
          <w:szCs w:val="24"/>
        </w:rPr>
        <w:t>2025年</w:t>
      </w:r>
      <w:r w:rsidR="00EF6DD5" w:rsidRPr="00161B0C">
        <w:rPr>
          <w:rFonts w:asciiTheme="minorEastAsia" w:hAnsiTheme="minorEastAsia"/>
          <w:sz w:val="24"/>
          <w:szCs w:val="24"/>
        </w:rPr>
        <w:t>10</w:t>
      </w:r>
      <w:r w:rsidRPr="00161B0C">
        <w:rPr>
          <w:rFonts w:asciiTheme="minorEastAsia" w:hAnsiTheme="minorEastAsia" w:hint="eastAsia"/>
          <w:sz w:val="24"/>
          <w:szCs w:val="24"/>
        </w:rPr>
        <w:t>月</w:t>
      </w:r>
      <w:r w:rsidR="00161B0C" w:rsidRPr="00161B0C">
        <w:rPr>
          <w:rFonts w:asciiTheme="minorEastAsia" w:hAnsiTheme="minorEastAsia"/>
          <w:sz w:val="24"/>
          <w:szCs w:val="24"/>
        </w:rPr>
        <w:t>23</w:t>
      </w:r>
      <w:r w:rsidRPr="00161B0C">
        <w:rPr>
          <w:rFonts w:asciiTheme="minorEastAsia" w:hAnsiTheme="minorEastAsia" w:hint="eastAsia"/>
          <w:sz w:val="24"/>
          <w:szCs w:val="24"/>
        </w:rPr>
        <w:t>日起，投资者可以通过</w:t>
      </w:r>
      <w:r w:rsidR="00310759" w:rsidRPr="00161B0C">
        <w:rPr>
          <w:rFonts w:asciiTheme="minorEastAsia" w:hAnsiTheme="minorEastAsia" w:hint="eastAsia"/>
          <w:sz w:val="24"/>
          <w:szCs w:val="24"/>
        </w:rPr>
        <w:t>汇添富基金管理股份有限公司</w:t>
      </w:r>
      <w:r w:rsidR="00737C98" w:rsidRPr="00161B0C">
        <w:rPr>
          <w:rFonts w:asciiTheme="minorEastAsia" w:hAnsiTheme="minorEastAsia" w:hint="eastAsia"/>
          <w:sz w:val="24"/>
          <w:szCs w:val="24"/>
        </w:rPr>
        <w:t>直销中心、线上直销系统及代销机构</w:t>
      </w:r>
      <w:r w:rsidRPr="00161B0C">
        <w:rPr>
          <w:rFonts w:asciiTheme="minorEastAsia" w:hAnsiTheme="minorEastAsia" w:hint="eastAsia"/>
          <w:sz w:val="24"/>
          <w:szCs w:val="24"/>
        </w:rPr>
        <w:t>办理</w:t>
      </w:r>
      <w:r w:rsidR="00161B0C" w:rsidRPr="00161B0C">
        <w:rPr>
          <w:rFonts w:asciiTheme="minorEastAsia" w:hAnsiTheme="minorEastAsia" w:hint="eastAsia"/>
          <w:sz w:val="24"/>
          <w:szCs w:val="24"/>
        </w:rPr>
        <w:t>汇添富ESG可持续成长股票型证券投资基金</w:t>
      </w:r>
      <w:r w:rsidR="006200A5" w:rsidRPr="00161B0C">
        <w:rPr>
          <w:rFonts w:asciiTheme="minorEastAsia" w:hAnsiTheme="minorEastAsia" w:hint="eastAsia"/>
          <w:sz w:val="24"/>
          <w:szCs w:val="24"/>
        </w:rPr>
        <w:t>的同一基金不同类别基金份额之间的转换业务</w:t>
      </w:r>
      <w:r w:rsidRPr="00161B0C">
        <w:rPr>
          <w:rFonts w:asciiTheme="minorEastAsia" w:hAnsiTheme="minorEastAsia" w:hint="eastAsia"/>
          <w:sz w:val="24"/>
          <w:szCs w:val="24"/>
        </w:rPr>
        <w:t>。</w:t>
      </w:r>
    </w:p>
    <w:tbl>
      <w:tblPr>
        <w:tblStyle w:val="a4"/>
        <w:tblW w:w="0" w:type="auto"/>
        <w:tblLook w:val="04A0"/>
      </w:tblPr>
      <w:tblGrid>
        <w:gridCol w:w="704"/>
        <w:gridCol w:w="4111"/>
        <w:gridCol w:w="3481"/>
      </w:tblGrid>
      <w:tr w:rsidR="00310759" w:rsidRPr="00161B0C" w:rsidTr="00991D49">
        <w:tc>
          <w:tcPr>
            <w:tcW w:w="704" w:type="dxa"/>
            <w:vAlign w:val="center"/>
          </w:tcPr>
          <w:p w:rsidR="00310759" w:rsidRPr="00161B0C" w:rsidRDefault="00310759" w:rsidP="00991D49">
            <w:pPr>
              <w:spacing w:line="360" w:lineRule="auto"/>
              <w:jc w:val="center"/>
              <w:rPr>
                <w:rFonts w:asciiTheme="minorEastAsia" w:hAnsiTheme="minorEastAsia"/>
                <w:sz w:val="24"/>
                <w:szCs w:val="24"/>
              </w:rPr>
            </w:pPr>
            <w:r w:rsidRPr="00161B0C">
              <w:rPr>
                <w:rFonts w:asciiTheme="minorEastAsia" w:hAnsiTheme="minorEastAsia" w:hint="eastAsia"/>
                <w:sz w:val="24"/>
                <w:szCs w:val="24"/>
              </w:rPr>
              <w:t>序号</w:t>
            </w:r>
          </w:p>
        </w:tc>
        <w:tc>
          <w:tcPr>
            <w:tcW w:w="4111" w:type="dxa"/>
            <w:vAlign w:val="center"/>
          </w:tcPr>
          <w:p w:rsidR="00310759" w:rsidRPr="00161B0C" w:rsidRDefault="00310759" w:rsidP="00991D49">
            <w:pPr>
              <w:spacing w:line="360" w:lineRule="auto"/>
              <w:jc w:val="center"/>
              <w:rPr>
                <w:rFonts w:asciiTheme="minorEastAsia" w:hAnsiTheme="minorEastAsia"/>
                <w:sz w:val="24"/>
                <w:szCs w:val="24"/>
              </w:rPr>
            </w:pPr>
            <w:r w:rsidRPr="00161B0C">
              <w:rPr>
                <w:rFonts w:asciiTheme="minorEastAsia" w:hAnsiTheme="minorEastAsia" w:hint="eastAsia"/>
                <w:sz w:val="24"/>
                <w:szCs w:val="24"/>
              </w:rPr>
              <w:t>基金名称</w:t>
            </w:r>
          </w:p>
        </w:tc>
        <w:tc>
          <w:tcPr>
            <w:tcW w:w="3481" w:type="dxa"/>
            <w:vAlign w:val="center"/>
          </w:tcPr>
          <w:p w:rsidR="00310759" w:rsidRPr="00161B0C" w:rsidRDefault="00310759" w:rsidP="00991D49">
            <w:pPr>
              <w:spacing w:line="360" w:lineRule="auto"/>
              <w:jc w:val="center"/>
              <w:rPr>
                <w:rFonts w:asciiTheme="minorEastAsia" w:hAnsiTheme="minorEastAsia"/>
                <w:sz w:val="24"/>
                <w:szCs w:val="24"/>
              </w:rPr>
            </w:pPr>
            <w:r w:rsidRPr="00161B0C">
              <w:rPr>
                <w:rFonts w:asciiTheme="minorEastAsia" w:hAnsiTheme="minorEastAsia" w:hint="eastAsia"/>
                <w:sz w:val="24"/>
                <w:szCs w:val="24"/>
              </w:rPr>
              <w:t>基金</w:t>
            </w:r>
            <w:r w:rsidR="004F67D3" w:rsidRPr="00161B0C">
              <w:rPr>
                <w:rFonts w:asciiTheme="minorEastAsia" w:hAnsiTheme="minorEastAsia" w:hint="eastAsia"/>
                <w:sz w:val="24"/>
                <w:szCs w:val="24"/>
              </w:rPr>
              <w:t>份额</w:t>
            </w:r>
            <w:r w:rsidRPr="00161B0C">
              <w:rPr>
                <w:rFonts w:asciiTheme="minorEastAsia" w:hAnsiTheme="minorEastAsia" w:hint="eastAsia"/>
                <w:sz w:val="24"/>
                <w:szCs w:val="24"/>
              </w:rPr>
              <w:t>代码</w:t>
            </w:r>
          </w:p>
        </w:tc>
      </w:tr>
      <w:tr w:rsidR="00310759" w:rsidRPr="00161B0C" w:rsidTr="00991D49">
        <w:tc>
          <w:tcPr>
            <w:tcW w:w="704" w:type="dxa"/>
            <w:vAlign w:val="center"/>
          </w:tcPr>
          <w:p w:rsidR="00310759" w:rsidRPr="00161B0C" w:rsidRDefault="00310759" w:rsidP="00991D49">
            <w:pPr>
              <w:spacing w:line="360" w:lineRule="auto"/>
              <w:jc w:val="center"/>
              <w:rPr>
                <w:rFonts w:asciiTheme="minorEastAsia" w:hAnsiTheme="minorEastAsia"/>
                <w:sz w:val="24"/>
                <w:szCs w:val="24"/>
                <w:highlight w:val="yellow"/>
              </w:rPr>
            </w:pPr>
            <w:r w:rsidRPr="00161B0C">
              <w:rPr>
                <w:rFonts w:asciiTheme="minorEastAsia" w:hAnsiTheme="minorEastAsia"/>
                <w:sz w:val="24"/>
                <w:szCs w:val="24"/>
              </w:rPr>
              <w:t>1</w:t>
            </w:r>
          </w:p>
        </w:tc>
        <w:tc>
          <w:tcPr>
            <w:tcW w:w="4111" w:type="dxa"/>
            <w:vAlign w:val="center"/>
          </w:tcPr>
          <w:p w:rsidR="00310759" w:rsidRPr="00161B0C" w:rsidRDefault="00161B0C" w:rsidP="00991D49">
            <w:pPr>
              <w:spacing w:line="360" w:lineRule="auto"/>
              <w:jc w:val="center"/>
              <w:rPr>
                <w:rFonts w:asciiTheme="minorEastAsia" w:hAnsiTheme="minorEastAsia"/>
                <w:sz w:val="24"/>
                <w:szCs w:val="24"/>
                <w:highlight w:val="yellow"/>
              </w:rPr>
            </w:pPr>
            <w:r w:rsidRPr="00161B0C">
              <w:rPr>
                <w:rFonts w:asciiTheme="minorEastAsia" w:hAnsiTheme="minorEastAsia" w:hint="eastAsia"/>
                <w:sz w:val="24"/>
                <w:szCs w:val="24"/>
              </w:rPr>
              <w:t>汇添富ESG可持续成长股票型证券投资基金</w:t>
            </w:r>
          </w:p>
        </w:tc>
        <w:tc>
          <w:tcPr>
            <w:tcW w:w="3481" w:type="dxa"/>
            <w:vAlign w:val="center"/>
          </w:tcPr>
          <w:p w:rsidR="00EF6DD5" w:rsidRPr="00161B0C" w:rsidRDefault="00EF6DD5" w:rsidP="008D2740">
            <w:pPr>
              <w:spacing w:line="360" w:lineRule="auto"/>
              <w:jc w:val="center"/>
              <w:rPr>
                <w:rFonts w:asciiTheme="minorEastAsia" w:hAnsiTheme="minorEastAsia"/>
                <w:sz w:val="24"/>
                <w:szCs w:val="24"/>
              </w:rPr>
            </w:pPr>
            <w:r w:rsidRPr="00161B0C">
              <w:rPr>
                <w:rFonts w:asciiTheme="minorEastAsia" w:hAnsiTheme="minorEastAsia" w:hint="eastAsia"/>
                <w:sz w:val="24"/>
                <w:szCs w:val="24"/>
              </w:rPr>
              <w:t>A类</w:t>
            </w:r>
            <w:r w:rsidR="00161B0C" w:rsidRPr="00161B0C">
              <w:rPr>
                <w:rFonts w:asciiTheme="minorEastAsia" w:hAnsiTheme="minorEastAsia"/>
                <w:sz w:val="24"/>
                <w:szCs w:val="24"/>
              </w:rPr>
              <w:t>011122</w:t>
            </w:r>
          </w:p>
          <w:p w:rsidR="00310759" w:rsidRPr="00161B0C" w:rsidRDefault="00EF6DD5" w:rsidP="008D2740">
            <w:pPr>
              <w:spacing w:line="360" w:lineRule="auto"/>
              <w:jc w:val="center"/>
              <w:rPr>
                <w:rFonts w:asciiTheme="minorEastAsia" w:hAnsiTheme="minorEastAsia"/>
                <w:sz w:val="24"/>
                <w:szCs w:val="24"/>
                <w:highlight w:val="yellow"/>
              </w:rPr>
            </w:pPr>
            <w:r w:rsidRPr="00161B0C">
              <w:rPr>
                <w:rFonts w:asciiTheme="minorEastAsia" w:hAnsiTheme="minorEastAsia" w:hint="eastAsia"/>
                <w:sz w:val="24"/>
                <w:szCs w:val="24"/>
              </w:rPr>
              <w:t>C类</w:t>
            </w:r>
            <w:r w:rsidR="00161B0C" w:rsidRPr="00161B0C">
              <w:rPr>
                <w:rFonts w:asciiTheme="minorEastAsia" w:hAnsiTheme="minorEastAsia"/>
                <w:sz w:val="24"/>
                <w:szCs w:val="24"/>
              </w:rPr>
              <w:t>011123</w:t>
            </w:r>
          </w:p>
        </w:tc>
      </w:tr>
    </w:tbl>
    <w:p w:rsidR="00CB189C" w:rsidRPr="00161B0C" w:rsidRDefault="006200A5"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三</w:t>
      </w:r>
      <w:r w:rsidR="00CB189C" w:rsidRPr="00161B0C">
        <w:rPr>
          <w:rFonts w:asciiTheme="minorEastAsia" w:hAnsiTheme="minorEastAsia" w:hint="eastAsia"/>
          <w:sz w:val="24"/>
          <w:szCs w:val="24"/>
        </w:rPr>
        <w:t>、重要提示</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1、上述业务的解释权归</w:t>
      </w:r>
      <w:r w:rsidR="00310759" w:rsidRPr="00161B0C">
        <w:rPr>
          <w:rFonts w:asciiTheme="minorEastAsia" w:hAnsiTheme="minorEastAsia" w:hint="eastAsia"/>
          <w:sz w:val="24"/>
          <w:szCs w:val="24"/>
        </w:rPr>
        <w:t>汇添富基金管理股份有限公司</w:t>
      </w:r>
      <w:r w:rsidRPr="00161B0C">
        <w:rPr>
          <w:rFonts w:asciiTheme="minorEastAsia" w:hAnsiTheme="minorEastAsia" w:hint="eastAsia"/>
          <w:sz w:val="24"/>
          <w:szCs w:val="24"/>
        </w:rPr>
        <w:t>。</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2</w:t>
      </w:r>
      <w:r w:rsidR="00C7002E" w:rsidRPr="00161B0C">
        <w:rPr>
          <w:rFonts w:asciiTheme="minorEastAsia" w:hAnsiTheme="minorEastAsia" w:hint="eastAsia"/>
          <w:sz w:val="24"/>
          <w:szCs w:val="24"/>
        </w:rPr>
        <w:t>、投资者可登录</w:t>
      </w:r>
      <w:r w:rsidRPr="00161B0C">
        <w:rPr>
          <w:rFonts w:asciiTheme="minorEastAsia" w:hAnsiTheme="minorEastAsia" w:hint="eastAsia"/>
          <w:sz w:val="24"/>
          <w:szCs w:val="24"/>
        </w:rPr>
        <w:t>本基金管理人网站</w:t>
      </w:r>
      <w:r w:rsidR="00310759" w:rsidRPr="00161B0C">
        <w:rPr>
          <w:rFonts w:asciiTheme="minorEastAsia" w:hAnsiTheme="minorEastAsia"/>
          <w:sz w:val="24"/>
          <w:szCs w:val="24"/>
        </w:rPr>
        <w:t>(www.99fund.com)</w:t>
      </w:r>
      <w:r w:rsidRPr="00161B0C">
        <w:rPr>
          <w:rFonts w:asciiTheme="minorEastAsia" w:hAnsiTheme="minorEastAsia" w:hint="eastAsia"/>
          <w:sz w:val="24"/>
          <w:szCs w:val="24"/>
        </w:rPr>
        <w:t>或拨打本基金管理人的客户服务电话</w:t>
      </w:r>
      <w:r w:rsidR="00310759" w:rsidRPr="00161B0C">
        <w:rPr>
          <w:rFonts w:asciiTheme="minorEastAsia" w:hAnsiTheme="minorEastAsia" w:hint="eastAsia"/>
          <w:sz w:val="24"/>
          <w:szCs w:val="24"/>
        </w:rPr>
        <w:t>（400-888-9918）</w:t>
      </w:r>
      <w:r w:rsidRPr="00161B0C">
        <w:rPr>
          <w:rFonts w:asciiTheme="minorEastAsia" w:hAnsiTheme="minorEastAsia" w:hint="eastAsia"/>
          <w:sz w:val="24"/>
          <w:szCs w:val="24"/>
        </w:rPr>
        <w:t>获取相关信息。</w:t>
      </w:r>
    </w:p>
    <w:p w:rsidR="00310759" w:rsidRPr="00161B0C" w:rsidRDefault="00310759"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汇添富基金高度重视投资者服务和投资者教育，特此提醒投资者需正确认知</w:t>
      </w:r>
      <w:r w:rsidRPr="00161B0C">
        <w:rPr>
          <w:rFonts w:asciiTheme="minorEastAsia" w:hAnsiTheme="minorEastAsia" w:hint="eastAsia"/>
          <w:sz w:val="24"/>
          <w:szCs w:val="24"/>
        </w:rPr>
        <w:lastRenderedPageBreak/>
        <w:t>基金投资的风险和长期收益，做理性的基金投资人、做明白的基金投资人，享受长期投资的快乐！</w:t>
      </w:r>
    </w:p>
    <w:p w:rsidR="00CB189C" w:rsidRPr="00161B0C" w:rsidRDefault="00CB189C" w:rsidP="006200A5">
      <w:pPr>
        <w:spacing w:line="360" w:lineRule="auto"/>
        <w:ind w:firstLineChars="200" w:firstLine="480"/>
        <w:rPr>
          <w:rFonts w:asciiTheme="minorEastAsia" w:hAnsiTheme="minorEastAsia"/>
          <w:sz w:val="24"/>
          <w:szCs w:val="24"/>
        </w:rPr>
      </w:pPr>
      <w:r w:rsidRPr="00161B0C">
        <w:rPr>
          <w:rFonts w:asciiTheme="minorEastAsia" w:hAnsiTheme="minorEastAsia" w:hint="eastAsia"/>
          <w:sz w:val="24"/>
          <w:szCs w:val="24"/>
        </w:rPr>
        <w:t>特此公告。</w:t>
      </w:r>
    </w:p>
    <w:p w:rsidR="00310759" w:rsidRPr="00161B0C" w:rsidRDefault="00310759" w:rsidP="006200A5">
      <w:pPr>
        <w:spacing w:line="360" w:lineRule="auto"/>
        <w:ind w:firstLineChars="200" w:firstLine="480"/>
        <w:rPr>
          <w:rFonts w:asciiTheme="minorEastAsia" w:hAnsiTheme="minorEastAsia"/>
          <w:sz w:val="24"/>
          <w:szCs w:val="24"/>
        </w:rPr>
      </w:pPr>
    </w:p>
    <w:p w:rsidR="00310759" w:rsidRPr="00161B0C" w:rsidRDefault="00310759" w:rsidP="006200A5">
      <w:pPr>
        <w:spacing w:line="360" w:lineRule="auto"/>
        <w:jc w:val="right"/>
        <w:rPr>
          <w:rFonts w:asciiTheme="minorEastAsia" w:hAnsiTheme="minorEastAsia"/>
          <w:sz w:val="24"/>
          <w:szCs w:val="24"/>
        </w:rPr>
      </w:pPr>
      <w:r w:rsidRPr="00161B0C">
        <w:rPr>
          <w:rFonts w:asciiTheme="minorEastAsia" w:hAnsiTheme="minorEastAsia" w:hint="eastAsia"/>
          <w:sz w:val="24"/>
          <w:szCs w:val="24"/>
        </w:rPr>
        <w:t>汇添富基金管理股份有限公司</w:t>
      </w:r>
    </w:p>
    <w:p w:rsidR="00B43BD0" w:rsidRPr="006200A5" w:rsidRDefault="00EF6DD5" w:rsidP="006200A5">
      <w:pPr>
        <w:spacing w:line="360" w:lineRule="auto"/>
        <w:jc w:val="right"/>
        <w:rPr>
          <w:rFonts w:asciiTheme="minorEastAsia" w:hAnsiTheme="minorEastAsia"/>
          <w:sz w:val="24"/>
          <w:szCs w:val="24"/>
        </w:rPr>
      </w:pPr>
      <w:r w:rsidRPr="00161B0C">
        <w:rPr>
          <w:rFonts w:asciiTheme="minorEastAsia" w:hAnsiTheme="minorEastAsia" w:hint="eastAsia"/>
          <w:sz w:val="24"/>
          <w:szCs w:val="24"/>
        </w:rPr>
        <w:t>2025年</w:t>
      </w:r>
      <w:r w:rsidRPr="00161B0C">
        <w:rPr>
          <w:rFonts w:asciiTheme="minorEastAsia" w:hAnsiTheme="minorEastAsia"/>
          <w:sz w:val="24"/>
          <w:szCs w:val="24"/>
        </w:rPr>
        <w:t>10</w:t>
      </w:r>
      <w:r w:rsidR="00310759" w:rsidRPr="00161B0C">
        <w:rPr>
          <w:rFonts w:asciiTheme="minorEastAsia" w:hAnsiTheme="minorEastAsia" w:hint="eastAsia"/>
          <w:sz w:val="24"/>
          <w:szCs w:val="24"/>
        </w:rPr>
        <w:t>月</w:t>
      </w:r>
      <w:r w:rsidR="00161B0C" w:rsidRPr="00161B0C">
        <w:rPr>
          <w:rFonts w:asciiTheme="minorEastAsia" w:hAnsiTheme="minorEastAsia"/>
          <w:sz w:val="24"/>
          <w:szCs w:val="24"/>
        </w:rPr>
        <w:t>22</w:t>
      </w:r>
      <w:r w:rsidR="00310759" w:rsidRPr="00161B0C">
        <w:rPr>
          <w:rFonts w:asciiTheme="minorEastAsia" w:hAnsiTheme="minorEastAsia" w:hint="eastAsia"/>
          <w:sz w:val="24"/>
          <w:szCs w:val="24"/>
        </w:rPr>
        <w:t>日</w:t>
      </w:r>
    </w:p>
    <w:sectPr w:rsidR="00B43BD0" w:rsidRPr="006200A5" w:rsidSect="00FB1B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CCE" w:rsidRDefault="00DA2CCE" w:rsidP="006200A5">
      <w:r>
        <w:separator/>
      </w:r>
    </w:p>
  </w:endnote>
  <w:endnote w:type="continuationSeparator" w:id="0">
    <w:p w:rsidR="00DA2CCE" w:rsidRDefault="00DA2CCE" w:rsidP="006200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CCE" w:rsidRDefault="00DA2CCE" w:rsidP="006200A5">
      <w:r>
        <w:separator/>
      </w:r>
    </w:p>
  </w:footnote>
  <w:footnote w:type="continuationSeparator" w:id="0">
    <w:p w:rsidR="00DA2CCE" w:rsidRDefault="00DA2CCE" w:rsidP="006200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189C"/>
    <w:rsid w:val="00161B0C"/>
    <w:rsid w:val="0016244A"/>
    <w:rsid w:val="00310759"/>
    <w:rsid w:val="00355C3E"/>
    <w:rsid w:val="00364566"/>
    <w:rsid w:val="00381C72"/>
    <w:rsid w:val="004F67D3"/>
    <w:rsid w:val="006168BC"/>
    <w:rsid w:val="006200A5"/>
    <w:rsid w:val="006311A1"/>
    <w:rsid w:val="006D6290"/>
    <w:rsid w:val="00737C98"/>
    <w:rsid w:val="00756B59"/>
    <w:rsid w:val="007810B4"/>
    <w:rsid w:val="008D2740"/>
    <w:rsid w:val="0090610F"/>
    <w:rsid w:val="00991D49"/>
    <w:rsid w:val="009F5CAA"/>
    <w:rsid w:val="00A6353F"/>
    <w:rsid w:val="00AA1FA7"/>
    <w:rsid w:val="00B43BD0"/>
    <w:rsid w:val="00BE67FF"/>
    <w:rsid w:val="00C7002E"/>
    <w:rsid w:val="00CB189C"/>
    <w:rsid w:val="00CB62D9"/>
    <w:rsid w:val="00CE228B"/>
    <w:rsid w:val="00DA2CCE"/>
    <w:rsid w:val="00E815B8"/>
    <w:rsid w:val="00EE7BD6"/>
    <w:rsid w:val="00EF6DD5"/>
    <w:rsid w:val="00FB1B9F"/>
    <w:rsid w:val="00FC0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B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6244A"/>
    <w:rPr>
      <w:sz w:val="18"/>
      <w:szCs w:val="18"/>
    </w:rPr>
  </w:style>
  <w:style w:type="character" w:customStyle="1" w:styleId="Char">
    <w:name w:val="批注框文本 Char"/>
    <w:basedOn w:val="a0"/>
    <w:link w:val="a3"/>
    <w:uiPriority w:val="99"/>
    <w:semiHidden/>
    <w:rsid w:val="0016244A"/>
    <w:rPr>
      <w:sz w:val="18"/>
      <w:szCs w:val="18"/>
    </w:rPr>
  </w:style>
  <w:style w:type="table" w:styleId="a4">
    <w:name w:val="Table Grid"/>
    <w:basedOn w:val="a1"/>
    <w:uiPriority w:val="39"/>
    <w:rsid w:val="003107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6200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200A5"/>
    <w:rPr>
      <w:sz w:val="18"/>
      <w:szCs w:val="18"/>
    </w:rPr>
  </w:style>
  <w:style w:type="paragraph" w:styleId="a6">
    <w:name w:val="footer"/>
    <w:basedOn w:val="a"/>
    <w:link w:val="Char1"/>
    <w:uiPriority w:val="99"/>
    <w:unhideWhenUsed/>
    <w:rsid w:val="006200A5"/>
    <w:pPr>
      <w:tabs>
        <w:tab w:val="center" w:pos="4153"/>
        <w:tab w:val="right" w:pos="8306"/>
      </w:tabs>
      <w:snapToGrid w:val="0"/>
      <w:jc w:val="left"/>
    </w:pPr>
    <w:rPr>
      <w:sz w:val="18"/>
      <w:szCs w:val="18"/>
    </w:rPr>
  </w:style>
  <w:style w:type="character" w:customStyle="1" w:styleId="Char1">
    <w:name w:val="页脚 Char"/>
    <w:basedOn w:val="a0"/>
    <w:link w:val="a6"/>
    <w:uiPriority w:val="99"/>
    <w:rsid w:val="006200A5"/>
    <w:rPr>
      <w:sz w:val="18"/>
      <w:szCs w:val="18"/>
    </w:rPr>
  </w:style>
  <w:style w:type="paragraph" w:styleId="a7">
    <w:name w:val="Revision"/>
    <w:hidden/>
    <w:uiPriority w:val="99"/>
    <w:semiHidden/>
    <w:rsid w:val="0036456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1375</Characters>
  <Application>Microsoft Office Word</Application>
  <DocSecurity>4</DocSecurity>
  <Lines>11</Lines>
  <Paragraphs>3</Paragraphs>
  <ScaleCrop>false</ScaleCrop>
  <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王梦晖</dc:creator>
  <cp:keywords/>
  <dc:description/>
  <cp:lastModifiedBy>ZHONGM</cp:lastModifiedBy>
  <cp:revision>2</cp:revision>
  <dcterms:created xsi:type="dcterms:W3CDTF">2025-10-21T16:02:00Z</dcterms:created>
  <dcterms:modified xsi:type="dcterms:W3CDTF">2025-10-21T16:02:00Z</dcterms:modified>
</cp:coreProperties>
</file>